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050108">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0A0F43">
        <w:rPr>
          <w:rFonts w:ascii="Arial" w:hAnsi="Arial" w:cs="Arial"/>
          <w:b/>
          <w:sz w:val="22"/>
          <w:szCs w:val="22"/>
        </w:rPr>
        <w:t>475/2018</w:t>
      </w:r>
    </w:p>
    <w:p w:rsidR="0096148E" w:rsidRPr="00386410" w:rsidRDefault="0096148E" w:rsidP="0096148E">
      <w:pPr>
        <w:rPr>
          <w:rFonts w:ascii="Arial" w:hAnsi="Arial" w:cs="Arial"/>
          <w:b/>
          <w:sz w:val="22"/>
          <w:szCs w:val="22"/>
        </w:rPr>
      </w:pPr>
    </w:p>
    <w:p w:rsidR="00864AB4" w:rsidRPr="00386410" w:rsidRDefault="00864AB4" w:rsidP="00864AB4">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DE783C" w:rsidRDefault="00DE783C" w:rsidP="00DE783C">
      <w:pPr>
        <w:tabs>
          <w:tab w:val="left" w:pos="4080"/>
        </w:tabs>
        <w:jc w:val="center"/>
        <w:rPr>
          <w:rFonts w:ascii="Arial" w:hAnsi="Arial" w:cs="Arial"/>
          <w:b/>
          <w:szCs w:val="24"/>
        </w:rPr>
      </w:pPr>
      <w:r w:rsidRPr="00F20004">
        <w:rPr>
          <w:rFonts w:ascii="Arial" w:hAnsi="Arial" w:cs="Arial"/>
          <w:b/>
          <w:szCs w:val="24"/>
        </w:rPr>
        <w:t>Sečení travních porostů na Pšovce v intravilánu Mělníka - rok 201</w:t>
      </w:r>
      <w:r>
        <w:rPr>
          <w:rFonts w:ascii="Arial" w:hAnsi="Arial" w:cs="Arial"/>
          <w:b/>
          <w:szCs w:val="24"/>
        </w:rPr>
        <w:t>8</w:t>
      </w:r>
    </w:p>
    <w:p w:rsidR="00683133" w:rsidRPr="00386410" w:rsidRDefault="00683133" w:rsidP="00E95E53">
      <w:pPr>
        <w:tabs>
          <w:tab w:val="left" w:pos="4080"/>
        </w:tabs>
        <w:jc w:val="center"/>
        <w:rPr>
          <w:rFonts w:ascii="Arial" w:hAnsi="Arial" w:cs="Arial"/>
          <w:b/>
          <w:sz w:val="32"/>
          <w:szCs w:val="32"/>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864AB4" w:rsidRPr="00386410" w:rsidRDefault="00864AB4" w:rsidP="00864AB4">
      <w:pPr>
        <w:tabs>
          <w:tab w:val="left" w:pos="4080"/>
        </w:tabs>
        <w:jc w:val="both"/>
        <w:rPr>
          <w:rFonts w:ascii="Arial" w:hAnsi="Arial" w:cs="Arial"/>
          <w:b/>
          <w:sz w:val="32"/>
          <w:szCs w:val="32"/>
        </w:rPr>
      </w:pPr>
    </w:p>
    <w:p w:rsidR="00DE783C" w:rsidRPr="00432702" w:rsidRDefault="00DE783C" w:rsidP="00DE783C">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DE783C" w:rsidRPr="00432702" w:rsidRDefault="00DE783C" w:rsidP="00DE783C">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DE783C" w:rsidRPr="00432702" w:rsidRDefault="00DE783C" w:rsidP="00DE783C">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DE783C" w:rsidRPr="00432702" w:rsidRDefault="00DE783C" w:rsidP="00DE783C">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DE783C" w:rsidRPr="00432702" w:rsidRDefault="00DE783C" w:rsidP="00DE783C">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864AB4" w:rsidRPr="00D74A50" w:rsidRDefault="00864AB4" w:rsidP="00864AB4">
      <w:pPr>
        <w:tabs>
          <w:tab w:val="left" w:pos="3960"/>
        </w:tabs>
        <w:jc w:val="both"/>
        <w:rPr>
          <w:rFonts w:ascii="Arial" w:hAnsi="Arial" w:cs="Arial"/>
          <w:b/>
          <w:sz w:val="22"/>
          <w:szCs w:val="22"/>
        </w:rPr>
      </w:pPr>
    </w:p>
    <w:p w:rsidR="00864AB4" w:rsidRPr="00D74A50" w:rsidRDefault="00864AB4" w:rsidP="00864AB4">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64AB4" w:rsidRPr="00D74A50" w:rsidRDefault="00864AB4" w:rsidP="00864AB4">
      <w:pPr>
        <w:tabs>
          <w:tab w:val="left" w:pos="3960"/>
        </w:tabs>
        <w:jc w:val="both"/>
        <w:rPr>
          <w:rFonts w:ascii="Arial" w:hAnsi="Arial" w:cs="Arial"/>
          <w:sz w:val="22"/>
          <w:szCs w:val="22"/>
        </w:rPr>
      </w:pPr>
    </w:p>
    <w:p w:rsidR="00864AB4" w:rsidRPr="00B1004E" w:rsidRDefault="00864AB4" w:rsidP="00864AB4">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64AB4" w:rsidRPr="00386410" w:rsidRDefault="00864AB4" w:rsidP="00864AB4">
      <w:pPr>
        <w:tabs>
          <w:tab w:val="left" w:pos="3960"/>
        </w:tabs>
        <w:jc w:val="both"/>
        <w:rPr>
          <w:rFonts w:ascii="Arial" w:hAnsi="Arial" w:cs="Arial"/>
          <w:sz w:val="22"/>
          <w:szCs w:val="22"/>
        </w:rPr>
      </w:pPr>
    </w:p>
    <w:p w:rsidR="000A0F43" w:rsidRPr="009C7C25" w:rsidRDefault="000A0F43" w:rsidP="000A0F43">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0A0F43" w:rsidRPr="00663AFE" w:rsidRDefault="000A0F43" w:rsidP="000A0F43">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0A0F43" w:rsidRPr="00663AFE" w:rsidRDefault="000A0F43" w:rsidP="000A0F43">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0A0F43" w:rsidRPr="00663AFE" w:rsidRDefault="000A0F43" w:rsidP="000A0F43">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0A0F43" w:rsidRDefault="000A0F43" w:rsidP="000A0F43">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0A0F43" w:rsidRDefault="000A0F43" w:rsidP="000A0F43">
      <w:pPr>
        <w:tabs>
          <w:tab w:val="left" w:pos="3960"/>
        </w:tabs>
        <w:jc w:val="both"/>
        <w:rPr>
          <w:rFonts w:ascii="Arial" w:hAnsi="Arial" w:cs="Arial"/>
          <w:snapToGrid w:val="0"/>
          <w:sz w:val="22"/>
          <w:szCs w:val="22"/>
        </w:rPr>
      </w:pPr>
    </w:p>
    <w:p w:rsidR="000A0F43" w:rsidRDefault="000A0F43" w:rsidP="000A0F43">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0A0F43" w:rsidRPr="00454D43" w:rsidRDefault="000A0F43" w:rsidP="000A0F43">
      <w:pPr>
        <w:pStyle w:val="Zkladntext"/>
        <w:widowControl/>
        <w:spacing w:before="120"/>
        <w:jc w:val="center"/>
        <w:rPr>
          <w:rFonts w:cs="Arial"/>
          <w:color w:val="auto"/>
          <w:sz w:val="22"/>
          <w:szCs w:val="22"/>
        </w:rPr>
      </w:pPr>
    </w:p>
    <w:p w:rsidR="000A0F43" w:rsidRPr="00454D43" w:rsidRDefault="000A0F43" w:rsidP="000A0F43">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A3FBD" w:rsidRDefault="00985301" w:rsidP="00864AB4">
      <w:pPr>
        <w:jc w:val="both"/>
        <w:rPr>
          <w:rFonts w:ascii="Arial" w:hAnsi="Arial" w:cs="Arial"/>
          <w:iCs/>
          <w:sz w:val="22"/>
          <w:szCs w:val="22"/>
        </w:rPr>
      </w:pPr>
      <w:r w:rsidRPr="00985301">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3516F9" w:rsidRDefault="00985301" w:rsidP="00864AB4">
      <w:pPr>
        <w:jc w:val="both"/>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Vzhledem k tomu, že si objednatel přeje, aby </w:t>
      </w:r>
      <w:r w:rsidR="00050108">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864AB4" w:rsidRPr="00B368E0" w:rsidRDefault="00864AB4" w:rsidP="0082405F">
      <w:pPr>
        <w:jc w:val="center"/>
        <w:rPr>
          <w:rFonts w:ascii="Arial" w:hAnsi="Arial" w:cs="Arial"/>
          <w:sz w:val="22"/>
          <w:szCs w:val="22"/>
        </w:rPr>
      </w:pPr>
    </w:p>
    <w:p w:rsidR="0082405F" w:rsidRDefault="00DE783C" w:rsidP="00DE783C">
      <w:pPr>
        <w:jc w:val="center"/>
        <w:rPr>
          <w:rFonts w:ascii="Arial" w:hAnsi="Arial" w:cs="Arial"/>
          <w:b/>
          <w:sz w:val="22"/>
          <w:szCs w:val="22"/>
        </w:rPr>
      </w:pPr>
      <w:r w:rsidRPr="00DE783C">
        <w:rPr>
          <w:rFonts w:ascii="Arial" w:hAnsi="Arial" w:cs="Arial"/>
          <w:b/>
          <w:sz w:val="22"/>
          <w:szCs w:val="22"/>
        </w:rPr>
        <w:t>Sečení travních porostů na Pšovce v intravilánu Mělníka - rok 2018</w:t>
      </w:r>
    </w:p>
    <w:p w:rsidR="00DE783C" w:rsidRPr="00B368E0" w:rsidRDefault="00DE783C" w:rsidP="00DE783C">
      <w:pPr>
        <w:jc w:val="center"/>
        <w:rPr>
          <w:rFonts w:ascii="Arial" w:hAnsi="Arial" w:cs="Arial"/>
          <w:sz w:val="22"/>
          <w:szCs w:val="22"/>
        </w:rPr>
      </w:pPr>
    </w:p>
    <w:p w:rsidR="00864AB4" w:rsidRPr="00B1004E" w:rsidRDefault="00864AB4" w:rsidP="00864AB4">
      <w:pPr>
        <w:jc w:val="both"/>
        <w:rPr>
          <w:rFonts w:ascii="Arial" w:hAnsi="Arial" w:cs="Arial"/>
          <w:sz w:val="22"/>
          <w:szCs w:val="22"/>
        </w:rPr>
      </w:pPr>
      <w:r w:rsidRPr="00B1004E">
        <w:rPr>
          <w:rFonts w:ascii="Arial" w:hAnsi="Arial" w:cs="Arial"/>
          <w:sz w:val="22"/>
          <w:szCs w:val="22"/>
        </w:rPr>
        <w:t xml:space="preserve">a přijal nabídku </w:t>
      </w:r>
      <w:r w:rsidR="00050108">
        <w:rPr>
          <w:rFonts w:ascii="Arial" w:hAnsi="Arial" w:cs="Arial"/>
          <w:sz w:val="22"/>
          <w:szCs w:val="22"/>
        </w:rPr>
        <w:t>zhotovitel</w:t>
      </w:r>
      <w:r w:rsidR="00FF5046">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864AB4" w:rsidRPr="00B1004E" w:rsidRDefault="00864AB4" w:rsidP="00864AB4">
      <w:pPr>
        <w:jc w:val="both"/>
        <w:rPr>
          <w:rFonts w:ascii="Arial" w:hAnsi="Arial" w:cs="Arial"/>
          <w:sz w:val="22"/>
          <w:szCs w:val="22"/>
        </w:rPr>
      </w:pPr>
    </w:p>
    <w:p w:rsidR="00864AB4" w:rsidRPr="00B1004E" w:rsidRDefault="00864AB4" w:rsidP="00864AB4">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0A0F43" w:rsidRPr="00C9354A" w:rsidRDefault="000A0F43" w:rsidP="000A0F43">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0A0F43" w:rsidRPr="00432702" w:rsidRDefault="000A0F43" w:rsidP="000A0F43">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0A0F43" w:rsidRPr="00432702" w:rsidRDefault="000A0F43" w:rsidP="000A0F43">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0A0F43" w:rsidRPr="00432702" w:rsidRDefault="000A0F43" w:rsidP="000A0F43">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0A0F43" w:rsidRPr="00432702" w:rsidRDefault="000A0F43" w:rsidP="000A0F43">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Default="00864AB4">
      <w:pPr>
        <w:pStyle w:val="Zkladntext"/>
        <w:widowControl/>
        <w:spacing w:before="120"/>
        <w:jc w:val="center"/>
        <w:rPr>
          <w:rFonts w:cs="Arial"/>
          <w:b/>
          <w:sz w:val="22"/>
          <w:szCs w:val="22"/>
          <w:u w:val="single"/>
        </w:rPr>
      </w:pPr>
    </w:p>
    <w:p w:rsidR="00864AB4" w:rsidRPr="00386410" w:rsidRDefault="00864AB4" w:rsidP="00864AB4">
      <w:pPr>
        <w:pStyle w:val="Zkladntext"/>
        <w:widowControl/>
        <w:spacing w:before="120"/>
        <w:jc w:val="center"/>
        <w:rPr>
          <w:rFonts w:cs="Arial"/>
          <w:sz w:val="22"/>
          <w:szCs w:val="22"/>
        </w:rPr>
      </w:pPr>
      <w:r w:rsidRPr="00386410">
        <w:rPr>
          <w:rFonts w:cs="Arial"/>
          <w:b/>
          <w:sz w:val="22"/>
          <w:szCs w:val="22"/>
          <w:u w:val="single"/>
        </w:rPr>
        <w:t>Čl. II. PŘEDMĚT DÍLA</w:t>
      </w:r>
    </w:p>
    <w:p w:rsidR="00864AB4" w:rsidRPr="00386410" w:rsidRDefault="00864AB4" w:rsidP="00864AB4">
      <w:pPr>
        <w:pStyle w:val="Zkladntext"/>
        <w:widowControl/>
        <w:rPr>
          <w:rFonts w:cs="Arial"/>
          <w:b/>
          <w:sz w:val="22"/>
          <w:szCs w:val="22"/>
        </w:rPr>
      </w:pPr>
    </w:p>
    <w:p w:rsidR="000A0F43" w:rsidRPr="00454D43" w:rsidRDefault="000A0F43" w:rsidP="000A0F43">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13635/2018</w:t>
      </w:r>
      <w:r w:rsidRPr="00432702">
        <w:rPr>
          <w:rFonts w:cs="Arial"/>
          <w:sz w:val="22"/>
          <w:szCs w:val="22"/>
        </w:rPr>
        <w:br/>
        <w:t xml:space="preserve">dne </w:t>
      </w:r>
      <w:r>
        <w:rPr>
          <w:rFonts w:cs="Arial"/>
          <w:sz w:val="22"/>
          <w:szCs w:val="22"/>
        </w:rPr>
        <w:t xml:space="preserve">22.3.2018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16.4.2018.</w:t>
      </w:r>
    </w:p>
    <w:p w:rsidR="00864AB4" w:rsidRPr="00653562" w:rsidRDefault="00864AB4" w:rsidP="00864AB4">
      <w:pPr>
        <w:pStyle w:val="Zkladntext"/>
        <w:widowControl/>
        <w:ind w:left="426"/>
        <w:jc w:val="both"/>
        <w:rPr>
          <w:rFonts w:cs="Arial"/>
          <w:b/>
          <w:color w:val="auto"/>
          <w:sz w:val="22"/>
          <w:szCs w:val="22"/>
        </w:rPr>
      </w:pPr>
    </w:p>
    <w:p w:rsidR="00050108" w:rsidRPr="00454D43" w:rsidRDefault="00050108" w:rsidP="00050108">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050108" w:rsidRPr="00454D43" w:rsidRDefault="00050108" w:rsidP="00050108">
      <w:pPr>
        <w:pStyle w:val="Zkladntext"/>
        <w:widowControl/>
        <w:jc w:val="both"/>
        <w:rPr>
          <w:rFonts w:cs="Arial"/>
          <w:color w:val="auto"/>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050108" w:rsidRPr="00454D43" w:rsidRDefault="00050108" w:rsidP="0005010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050108" w:rsidRPr="00454D43" w:rsidRDefault="00050108" w:rsidP="00050108">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p>
    <w:p w:rsidR="00050108" w:rsidRPr="00454D43" w:rsidRDefault="00050108" w:rsidP="00050108">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Pr="00454D43">
        <w:rPr>
          <w:rFonts w:ascii="Arial" w:hAnsi="Arial" w:cs="Arial"/>
          <w:snapToGrid w:val="0"/>
          <w:sz w:val="22"/>
          <w:szCs w:val="22"/>
        </w:rPr>
        <w:t>místo plnění díla</w:t>
      </w:r>
      <w:r w:rsidRPr="00454D43">
        <w:rPr>
          <w:rFonts w:ascii="Arial" w:hAnsi="Arial" w:cs="Arial"/>
          <w:bCs/>
          <w:sz w:val="22"/>
          <w:szCs w:val="22"/>
        </w:rPr>
        <w:t xml:space="preserve"> zhotovitel</w:t>
      </w:r>
      <w:r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zhotovitel</w:t>
      </w:r>
      <w:r w:rsidRPr="00454D43">
        <w:rPr>
          <w:rFonts w:ascii="Arial" w:hAnsi="Arial" w:cs="Arial"/>
          <w:sz w:val="22"/>
          <w:szCs w:val="22"/>
        </w:rPr>
        <w:t>e</w:t>
      </w:r>
      <w:r w:rsidRPr="00454D43">
        <w:rPr>
          <w:rFonts w:ascii="Arial" w:hAnsi="Arial" w:cs="Arial"/>
          <w:bCs/>
          <w:sz w:val="22"/>
          <w:szCs w:val="22"/>
        </w:rPr>
        <w:t xml:space="preserve">, nutných k zajištění před předáním </w:t>
      </w:r>
      <w:r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DE783C" w:rsidRDefault="00DE783C" w:rsidP="00DE783C">
      <w:pPr>
        <w:overflowPunct/>
        <w:autoSpaceDE/>
        <w:autoSpaceDN/>
        <w:adjustRightInd/>
        <w:ind w:firstLine="426"/>
        <w:textAlignment w:val="auto"/>
        <w:rPr>
          <w:rFonts w:ascii="Arial" w:hAnsi="Arial" w:cs="Arial"/>
          <w:sz w:val="22"/>
          <w:szCs w:val="22"/>
        </w:rPr>
      </w:pPr>
      <w:r>
        <w:rPr>
          <w:rFonts w:ascii="Arial" w:hAnsi="Arial" w:cs="Arial"/>
          <w:b/>
          <w:sz w:val="22"/>
          <w:szCs w:val="22"/>
        </w:rPr>
        <w:t>Zahájení díla</w:t>
      </w:r>
      <w:r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Pr="00386410">
        <w:rPr>
          <w:rFonts w:ascii="Arial" w:hAnsi="Arial" w:cs="Arial"/>
          <w:b/>
          <w:sz w:val="22"/>
          <w:szCs w:val="22"/>
        </w:rPr>
        <w:tab/>
      </w:r>
      <w:r w:rsidR="000A0F43">
        <w:rPr>
          <w:rFonts w:ascii="Arial" w:hAnsi="Arial" w:cs="Arial"/>
          <w:b/>
          <w:sz w:val="22"/>
          <w:szCs w:val="22"/>
        </w:rPr>
        <w:t xml:space="preserve">od </w:t>
      </w:r>
      <w:r>
        <w:rPr>
          <w:rFonts w:ascii="Arial" w:hAnsi="Arial" w:cs="Arial"/>
          <w:b/>
          <w:sz w:val="22"/>
          <w:szCs w:val="22"/>
        </w:rPr>
        <w:t>02.05.</w:t>
      </w:r>
      <w:r w:rsidRPr="00C0710B">
        <w:rPr>
          <w:rFonts w:ascii="Arial" w:hAnsi="Arial" w:cs="Arial"/>
          <w:b/>
          <w:sz w:val="22"/>
          <w:szCs w:val="22"/>
        </w:rPr>
        <w:t>201</w:t>
      </w:r>
      <w:r>
        <w:rPr>
          <w:rFonts w:ascii="Arial" w:hAnsi="Arial" w:cs="Arial"/>
          <w:b/>
          <w:sz w:val="22"/>
          <w:szCs w:val="22"/>
        </w:rPr>
        <w:t>8</w:t>
      </w:r>
    </w:p>
    <w:p w:rsidR="00DE783C" w:rsidRDefault="00DE783C" w:rsidP="00DE783C">
      <w:pPr>
        <w:pStyle w:val="Zkladntext"/>
        <w:ind w:firstLine="426"/>
        <w:rPr>
          <w:rFonts w:cs="Arial"/>
          <w:b/>
          <w:sz w:val="22"/>
          <w:szCs w:val="22"/>
        </w:rPr>
      </w:pPr>
      <w:r>
        <w:rPr>
          <w:rFonts w:cs="Arial"/>
          <w:b/>
          <w:sz w:val="22"/>
          <w:szCs w:val="22"/>
        </w:rPr>
        <w:t>Dílčí termín pro dokončení 1. seče:</w:t>
      </w:r>
      <w:r>
        <w:rPr>
          <w:rFonts w:cs="Arial"/>
          <w:b/>
          <w:sz w:val="22"/>
          <w:szCs w:val="22"/>
        </w:rPr>
        <w:tab/>
      </w:r>
      <w:r>
        <w:rPr>
          <w:rFonts w:cs="Arial"/>
          <w:b/>
          <w:sz w:val="22"/>
          <w:szCs w:val="22"/>
        </w:rPr>
        <w:tab/>
      </w:r>
      <w:r w:rsidR="000A0F43">
        <w:rPr>
          <w:rFonts w:cs="Arial"/>
          <w:b/>
          <w:sz w:val="22"/>
          <w:szCs w:val="22"/>
        </w:rPr>
        <w:t xml:space="preserve">do </w:t>
      </w:r>
      <w:r>
        <w:rPr>
          <w:rFonts w:cs="Arial"/>
          <w:b/>
          <w:sz w:val="22"/>
          <w:szCs w:val="22"/>
        </w:rPr>
        <w:t>29.06.</w:t>
      </w:r>
      <w:r w:rsidRPr="00C0710B">
        <w:rPr>
          <w:rFonts w:cs="Arial"/>
          <w:b/>
          <w:sz w:val="22"/>
          <w:szCs w:val="22"/>
        </w:rPr>
        <w:t>201</w:t>
      </w:r>
      <w:r>
        <w:rPr>
          <w:rFonts w:cs="Arial"/>
          <w:b/>
          <w:sz w:val="22"/>
          <w:szCs w:val="22"/>
        </w:rPr>
        <w:t>8</w:t>
      </w:r>
    </w:p>
    <w:p w:rsidR="00DE783C" w:rsidRPr="00C0710B" w:rsidRDefault="00DE783C" w:rsidP="00DE783C">
      <w:pPr>
        <w:pStyle w:val="Zkladntext"/>
        <w:ind w:firstLine="426"/>
        <w:rPr>
          <w:rFonts w:cs="Arial"/>
          <w:b/>
          <w:sz w:val="22"/>
          <w:szCs w:val="22"/>
        </w:rPr>
      </w:pPr>
      <w:r>
        <w:rPr>
          <w:rFonts w:cs="Arial"/>
          <w:b/>
          <w:sz w:val="22"/>
          <w:szCs w:val="22"/>
        </w:rPr>
        <w:t>Dílčí termín pro dokončení 2. seče:</w:t>
      </w:r>
      <w:r>
        <w:rPr>
          <w:rFonts w:cs="Arial"/>
          <w:b/>
          <w:sz w:val="22"/>
          <w:szCs w:val="22"/>
        </w:rPr>
        <w:tab/>
      </w:r>
      <w:r>
        <w:rPr>
          <w:rFonts w:cs="Arial"/>
          <w:b/>
          <w:sz w:val="22"/>
          <w:szCs w:val="22"/>
        </w:rPr>
        <w:tab/>
      </w:r>
      <w:r w:rsidR="000A0F43">
        <w:rPr>
          <w:rFonts w:cs="Arial"/>
          <w:b/>
          <w:sz w:val="22"/>
          <w:szCs w:val="22"/>
        </w:rPr>
        <w:t xml:space="preserve">do </w:t>
      </w:r>
      <w:r>
        <w:rPr>
          <w:rFonts w:cs="Arial"/>
          <w:b/>
          <w:sz w:val="22"/>
          <w:szCs w:val="22"/>
        </w:rPr>
        <w:t>31.08.</w:t>
      </w:r>
      <w:r w:rsidRPr="00C0710B">
        <w:rPr>
          <w:rFonts w:cs="Arial"/>
          <w:b/>
          <w:sz w:val="22"/>
          <w:szCs w:val="22"/>
        </w:rPr>
        <w:t>201</w:t>
      </w:r>
      <w:r>
        <w:rPr>
          <w:rFonts w:cs="Arial"/>
          <w:b/>
          <w:sz w:val="22"/>
          <w:szCs w:val="22"/>
        </w:rPr>
        <w:t>8</w:t>
      </w:r>
    </w:p>
    <w:p w:rsidR="00DE783C" w:rsidRPr="00C0710B" w:rsidRDefault="00DE783C" w:rsidP="00DE783C">
      <w:pPr>
        <w:pStyle w:val="Zkladntext"/>
        <w:ind w:firstLine="426"/>
        <w:rPr>
          <w:rFonts w:cs="Arial"/>
          <w:b/>
          <w:sz w:val="22"/>
          <w:szCs w:val="22"/>
        </w:rPr>
      </w:pPr>
      <w:r w:rsidRPr="00386410">
        <w:rPr>
          <w:rFonts w:cs="Arial"/>
          <w:b/>
          <w:sz w:val="22"/>
          <w:szCs w:val="22"/>
        </w:rPr>
        <w:t xml:space="preserve">Ukončení </w:t>
      </w:r>
      <w:r>
        <w:rPr>
          <w:rFonts w:cs="Arial"/>
          <w:b/>
          <w:sz w:val="22"/>
          <w:szCs w:val="22"/>
        </w:rPr>
        <w:t>díla</w:t>
      </w:r>
      <w:r w:rsidRPr="00386410">
        <w:rPr>
          <w:rFonts w:cs="Arial"/>
          <w:b/>
          <w:sz w:val="22"/>
          <w:szCs w:val="22"/>
        </w:rPr>
        <w:t>:</w:t>
      </w:r>
      <w:r w:rsidRPr="00386410">
        <w:rPr>
          <w:rFonts w:cs="Arial"/>
          <w:b/>
          <w:sz w:val="22"/>
          <w:szCs w:val="22"/>
        </w:rPr>
        <w:tab/>
      </w:r>
      <w:r w:rsidRPr="00386410">
        <w:rPr>
          <w:rFonts w:cs="Arial"/>
          <w:b/>
          <w:sz w:val="22"/>
          <w:szCs w:val="22"/>
        </w:rPr>
        <w:tab/>
      </w:r>
      <w:r>
        <w:rPr>
          <w:rFonts w:cs="Arial"/>
          <w:b/>
          <w:sz w:val="22"/>
          <w:szCs w:val="22"/>
        </w:rPr>
        <w:tab/>
      </w:r>
      <w:r>
        <w:rPr>
          <w:rFonts w:cs="Arial"/>
          <w:b/>
          <w:sz w:val="22"/>
          <w:szCs w:val="22"/>
        </w:rPr>
        <w:tab/>
      </w:r>
      <w:r w:rsidRPr="00386410">
        <w:rPr>
          <w:rFonts w:cs="Arial"/>
          <w:b/>
          <w:sz w:val="22"/>
          <w:szCs w:val="22"/>
        </w:rPr>
        <w:tab/>
      </w:r>
      <w:r w:rsidR="000A0F43">
        <w:rPr>
          <w:rFonts w:cs="Arial"/>
          <w:b/>
          <w:sz w:val="22"/>
          <w:szCs w:val="22"/>
        </w:rPr>
        <w:t xml:space="preserve">do </w:t>
      </w:r>
      <w:r>
        <w:rPr>
          <w:rFonts w:cs="Arial"/>
          <w:b/>
          <w:sz w:val="22"/>
          <w:szCs w:val="22"/>
        </w:rPr>
        <w:t>30.11.</w:t>
      </w:r>
      <w:r w:rsidRPr="00C0710B">
        <w:rPr>
          <w:rFonts w:cs="Arial"/>
          <w:b/>
          <w:sz w:val="22"/>
          <w:szCs w:val="22"/>
        </w:rPr>
        <w:t>201</w:t>
      </w:r>
      <w:r>
        <w:rPr>
          <w:rFonts w:cs="Arial"/>
          <w:b/>
          <w:sz w:val="22"/>
          <w:szCs w:val="22"/>
        </w:rPr>
        <w:t>8</w:t>
      </w:r>
    </w:p>
    <w:p w:rsidR="00FE1CDE" w:rsidRDefault="00FE1CDE" w:rsidP="0095748D">
      <w:pPr>
        <w:overflowPunct/>
        <w:autoSpaceDE/>
        <w:autoSpaceDN/>
        <w:adjustRightInd/>
        <w:ind w:left="426"/>
        <w:textAlignment w:val="auto"/>
        <w:rPr>
          <w:rFonts w:ascii="Arial" w:hAnsi="Arial" w:cs="Arial"/>
          <w:sz w:val="22"/>
          <w:szCs w:val="22"/>
        </w:rPr>
      </w:pPr>
    </w:p>
    <w:p w:rsidR="00050108" w:rsidRPr="00454D43" w:rsidRDefault="00050108" w:rsidP="00050108">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050108" w:rsidRPr="00454D43" w:rsidRDefault="00050108" w:rsidP="00050108">
      <w:pPr>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050108" w:rsidRPr="00454D43" w:rsidRDefault="00050108" w:rsidP="00050108">
      <w:pPr>
        <w:tabs>
          <w:tab w:val="num" w:pos="360"/>
        </w:tabs>
        <w:jc w:val="both"/>
        <w:rPr>
          <w:rFonts w:ascii="Arial" w:hAnsi="Arial" w:cs="Arial"/>
          <w:sz w:val="22"/>
          <w:szCs w:val="22"/>
        </w:rPr>
      </w:pPr>
    </w:p>
    <w:p w:rsidR="00050108" w:rsidRPr="00454D43" w:rsidRDefault="00050108" w:rsidP="00050108">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sidR="00312BF9">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864AB4">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050108">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050108">
        <w:rPr>
          <w:rFonts w:ascii="Arial" w:hAnsi="Arial" w:cs="Arial"/>
          <w:sz w:val="22"/>
          <w:szCs w:val="22"/>
        </w:rPr>
        <w:t>zhotovitel</w:t>
      </w:r>
      <w:r w:rsidRPr="00386410">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95255A" w:rsidRPr="00386410" w:rsidRDefault="0095255A" w:rsidP="00B368E0">
      <w:pPr>
        <w:widowControl w:val="0"/>
        <w:numPr>
          <w:ilvl w:val="0"/>
          <w:numId w:val="38"/>
        </w:numPr>
        <w:jc w:val="both"/>
        <w:rPr>
          <w:rFonts w:ascii="Arial" w:hAnsi="Arial" w:cs="Arial"/>
          <w:sz w:val="22"/>
          <w:szCs w:val="22"/>
        </w:rPr>
      </w:pPr>
      <w:r w:rsidRPr="00386410">
        <w:rPr>
          <w:rFonts w:ascii="Arial" w:hAnsi="Arial" w:cs="Arial"/>
          <w:sz w:val="22"/>
          <w:szCs w:val="22"/>
        </w:rPr>
        <w:t xml:space="preserve">Objednatel souhlasí s tím, že proplatí </w:t>
      </w:r>
      <w:r w:rsidR="00050108">
        <w:rPr>
          <w:rFonts w:ascii="Arial" w:hAnsi="Arial" w:cs="Arial"/>
          <w:sz w:val="22"/>
          <w:szCs w:val="22"/>
        </w:rPr>
        <w:t>zhotovitel</w:t>
      </w:r>
      <w:r w:rsidRPr="00386410">
        <w:rPr>
          <w:rFonts w:ascii="Arial" w:hAnsi="Arial" w:cs="Arial"/>
          <w:sz w:val="22"/>
          <w:szCs w:val="22"/>
        </w:rPr>
        <w:t>i jako protiho</w:t>
      </w:r>
      <w:r w:rsidR="00883D67" w:rsidRPr="00386410">
        <w:rPr>
          <w:rFonts w:ascii="Arial" w:hAnsi="Arial" w:cs="Arial"/>
          <w:sz w:val="22"/>
          <w:szCs w:val="22"/>
        </w:rPr>
        <w:t>dnotu za provedení a </w:t>
      </w:r>
      <w:r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DE783C" w:rsidRDefault="00DE783C" w:rsidP="00DE783C">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0A0F43">
        <w:rPr>
          <w:rFonts w:ascii="Arial" w:hAnsi="Arial" w:cs="Arial"/>
          <w:sz w:val="22"/>
          <w:szCs w:val="22"/>
        </w:rPr>
        <w:t xml:space="preserve"> 54.754,15</w:t>
      </w:r>
      <w:r>
        <w:rPr>
          <w:rFonts w:ascii="Arial" w:hAnsi="Arial" w:cs="Arial"/>
          <w:sz w:val="22"/>
          <w:szCs w:val="22"/>
        </w:rPr>
        <w:t xml:space="preserve"> Kč</w:t>
      </w:r>
    </w:p>
    <w:p w:rsidR="00DE783C" w:rsidRDefault="00DE783C" w:rsidP="00DE783C">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w:t>
      </w:r>
      <w:r w:rsidR="000A0F43">
        <w:rPr>
          <w:rFonts w:ascii="Arial" w:hAnsi="Arial" w:cs="Arial"/>
          <w:sz w:val="22"/>
          <w:szCs w:val="22"/>
        </w:rPr>
        <w:t xml:space="preserve"> 54.754,15 Kč</w:t>
      </w:r>
    </w:p>
    <w:p w:rsidR="00DE783C" w:rsidRDefault="00DE783C" w:rsidP="00DE783C">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3</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w:t>
      </w:r>
      <w:r w:rsidR="000A0F43">
        <w:rPr>
          <w:rFonts w:ascii="Arial" w:hAnsi="Arial" w:cs="Arial"/>
          <w:sz w:val="22"/>
          <w:szCs w:val="22"/>
          <w:u w:val="single"/>
        </w:rPr>
        <w:t xml:space="preserve"> 54.754,15</w:t>
      </w:r>
      <w:r w:rsidRPr="00683133">
        <w:rPr>
          <w:rFonts w:ascii="Arial" w:hAnsi="Arial" w:cs="Arial"/>
          <w:sz w:val="22"/>
          <w:szCs w:val="22"/>
          <w:u w:val="single"/>
        </w:rPr>
        <w:t xml:space="preserve"> Kč</w:t>
      </w:r>
    </w:p>
    <w:p w:rsidR="00DE783C" w:rsidRDefault="00DE783C" w:rsidP="00DE783C">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000A0F43">
        <w:rPr>
          <w:rFonts w:ascii="Arial" w:hAnsi="Arial" w:cs="Arial"/>
          <w:b/>
          <w:sz w:val="22"/>
          <w:szCs w:val="22"/>
        </w:rPr>
        <w:t xml:space="preserve">       </w:t>
      </w:r>
      <w:r w:rsidR="000A0F43" w:rsidRPr="000A0F43">
        <w:rPr>
          <w:rFonts w:ascii="Arial" w:hAnsi="Arial" w:cs="Arial"/>
          <w:b/>
          <w:sz w:val="22"/>
          <w:szCs w:val="22"/>
        </w:rPr>
        <w:t>164.262,45</w:t>
      </w:r>
      <w:r w:rsidR="000A0F43">
        <w:rPr>
          <w:rFonts w:ascii="Arial" w:hAnsi="Arial" w:cs="Arial"/>
          <w:sz w:val="22"/>
          <w:szCs w:val="22"/>
        </w:rPr>
        <w:t xml:space="preserve"> </w:t>
      </w:r>
      <w:r w:rsidRPr="00386410">
        <w:rPr>
          <w:rFonts w:ascii="Arial" w:hAnsi="Arial" w:cs="Arial"/>
          <w:b/>
          <w:sz w:val="22"/>
          <w:szCs w:val="22"/>
        </w:rPr>
        <w:t>Kč</w:t>
      </w:r>
    </w:p>
    <w:p w:rsidR="00DE783C" w:rsidRPr="00386410" w:rsidRDefault="00DE783C" w:rsidP="00DE783C">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0A0F43">
        <w:rPr>
          <w:rFonts w:ascii="Arial" w:hAnsi="Arial" w:cs="Arial"/>
          <w:sz w:val="22"/>
          <w:szCs w:val="22"/>
        </w:rPr>
        <w:t xml:space="preserve">34.495,11 </w:t>
      </w:r>
      <w:r>
        <w:rPr>
          <w:rFonts w:ascii="Arial" w:hAnsi="Arial" w:cs="Arial"/>
          <w:sz w:val="22"/>
          <w:szCs w:val="22"/>
        </w:rPr>
        <w:t>Kč</w:t>
      </w:r>
    </w:p>
    <w:p w:rsidR="00DE783C" w:rsidRPr="00683133" w:rsidRDefault="00DE783C" w:rsidP="00DE783C">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000A0F43">
        <w:rPr>
          <w:rFonts w:ascii="Arial" w:hAnsi="Arial" w:cs="Arial"/>
          <w:b/>
          <w:sz w:val="22"/>
          <w:szCs w:val="22"/>
          <w:u w:val="single"/>
        </w:rPr>
        <w:t xml:space="preserve">                  </w:t>
      </w:r>
      <w:r w:rsidR="000A0F43" w:rsidRPr="000A0F43">
        <w:rPr>
          <w:rFonts w:ascii="Arial" w:hAnsi="Arial" w:cs="Arial"/>
          <w:b/>
          <w:sz w:val="22"/>
          <w:szCs w:val="22"/>
          <w:u w:val="single"/>
        </w:rPr>
        <w:t>198.757,56</w:t>
      </w:r>
      <w:r w:rsidR="000A0F43">
        <w:rPr>
          <w:rFonts w:ascii="Arial" w:hAnsi="Arial" w:cs="Arial"/>
          <w:sz w:val="22"/>
          <w:szCs w:val="22"/>
          <w:u w:val="single"/>
        </w:rPr>
        <w:t xml:space="preserve"> </w:t>
      </w:r>
      <w:r w:rsidRPr="00683133">
        <w:rPr>
          <w:rFonts w:ascii="Arial" w:hAnsi="Arial" w:cs="Arial"/>
          <w:b/>
          <w:sz w:val="22"/>
          <w:szCs w:val="22"/>
          <w:u w:val="single"/>
        </w:rPr>
        <w:t>Kč s DPH</w:t>
      </w:r>
    </w:p>
    <w:p w:rsidR="00E06371" w:rsidRPr="00B55AFD" w:rsidRDefault="00E06371" w:rsidP="00E06371">
      <w:pPr>
        <w:ind w:firstLine="360"/>
        <w:jc w:val="both"/>
        <w:rPr>
          <w:rFonts w:ascii="Arial" w:hAnsi="Arial" w:cs="Arial"/>
          <w:b/>
          <w:sz w:val="22"/>
          <w:szCs w:val="22"/>
        </w:rPr>
      </w:pPr>
    </w:p>
    <w:p w:rsidR="0001739A" w:rsidRDefault="0001739A" w:rsidP="00B368E0">
      <w:pPr>
        <w:widowControl w:val="0"/>
        <w:numPr>
          <w:ilvl w:val="0"/>
          <w:numId w:val="38"/>
        </w:numPr>
        <w:jc w:val="both"/>
        <w:rPr>
          <w:rFonts w:ascii="Arial" w:hAnsi="Arial" w:cs="Arial"/>
          <w:sz w:val="22"/>
          <w:szCs w:val="22"/>
        </w:rPr>
      </w:pP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z.č. 89/2012 Sb. občanského zákoníku </w:t>
      </w:r>
      <w:r w:rsidRPr="00DD0E1B">
        <w:rPr>
          <w:rFonts w:ascii="Arial" w:hAnsi="Arial" w:cs="Arial"/>
          <w:sz w:val="22"/>
          <w:szCs w:val="22"/>
        </w:rPr>
        <w:t>v platném znění.</w:t>
      </w:r>
    </w:p>
    <w:p w:rsidR="00FB7391" w:rsidRDefault="00FB7391" w:rsidP="00C66556">
      <w:pPr>
        <w:ind w:left="360"/>
        <w:jc w:val="both"/>
        <w:rPr>
          <w:rFonts w:ascii="Arial" w:hAnsi="Arial" w:cs="Arial"/>
          <w:sz w:val="22"/>
          <w:szCs w:val="22"/>
        </w:rPr>
      </w:pPr>
    </w:p>
    <w:p w:rsidR="00864AB4" w:rsidRPr="002113D7" w:rsidRDefault="00864AB4" w:rsidP="00864AB4">
      <w:pPr>
        <w:pStyle w:val="Zkladntext"/>
        <w:widowControl/>
        <w:jc w:val="center"/>
        <w:rPr>
          <w:rFonts w:cs="Arial"/>
          <w:sz w:val="22"/>
          <w:szCs w:val="22"/>
        </w:rPr>
      </w:pPr>
      <w:r w:rsidRPr="002113D7">
        <w:rPr>
          <w:rFonts w:cs="Arial"/>
          <w:b/>
          <w:sz w:val="22"/>
          <w:szCs w:val="22"/>
          <w:u w:val="single"/>
        </w:rPr>
        <w:t>Čl. V. PLATEBNÍ PODMÍNKY</w:t>
      </w:r>
    </w:p>
    <w:p w:rsidR="00864AB4" w:rsidRPr="002113D7" w:rsidRDefault="00864AB4" w:rsidP="00864AB4">
      <w:pPr>
        <w:pStyle w:val="Zkladntext"/>
        <w:widowControl/>
        <w:rPr>
          <w:rFonts w:cs="Arial"/>
          <w:b/>
          <w:sz w:val="22"/>
          <w:szCs w:val="22"/>
          <w:u w:val="single"/>
        </w:rPr>
      </w:pPr>
    </w:p>
    <w:p w:rsidR="00864AB4" w:rsidRPr="002113D7"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050108">
        <w:rPr>
          <w:rFonts w:ascii="Arial" w:hAnsi="Arial" w:cs="Arial"/>
          <w:i w:val="0"/>
          <w:color w:val="auto"/>
          <w:sz w:val="22"/>
          <w:szCs w:val="22"/>
        </w:rPr>
        <w:t>zhotovitel</w:t>
      </w:r>
      <w:r w:rsidR="00FF5046" w:rsidRPr="00FF5046">
        <w:rPr>
          <w:rFonts w:ascii="Arial" w:hAnsi="Arial" w:cs="Arial"/>
          <w:i w:val="0"/>
          <w:color w:val="auto"/>
          <w:sz w:val="22"/>
          <w:szCs w:val="22"/>
        </w:rPr>
        <w:t>i</w:t>
      </w:r>
      <w:r w:rsidR="00FF5046">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864AB4" w:rsidRPr="002113D7" w:rsidRDefault="00864AB4" w:rsidP="00864AB4"/>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sidR="00050108">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DD6D96" w:rsidRPr="00DD6D96" w:rsidRDefault="00DD6D96" w:rsidP="00DD6D96"/>
    <w:p w:rsidR="00DD6D96" w:rsidRDefault="00DD6D96" w:rsidP="00DD6D96">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DD6D96" w:rsidRPr="00543C51" w:rsidRDefault="00DD6D96" w:rsidP="00DD6D96">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DD6D96" w:rsidRPr="006E2DAF" w:rsidRDefault="00DD6D96" w:rsidP="00DD6D96">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DD6D96" w:rsidRPr="006E2DAF" w:rsidRDefault="00DD6D96" w:rsidP="00DD6D96">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DD6D96" w:rsidRDefault="00DD6D96" w:rsidP="00DD6D96">
      <w:pPr>
        <w:jc w:val="both"/>
        <w:rPr>
          <w:rFonts w:ascii="Arial" w:hAnsi="Arial" w:cs="Arial"/>
          <w:sz w:val="22"/>
          <w:szCs w:val="22"/>
        </w:rPr>
      </w:pPr>
    </w:p>
    <w:p w:rsidR="00050108" w:rsidRDefault="00050108" w:rsidP="00050108">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050108" w:rsidRDefault="00050108" w:rsidP="00050108">
      <w:pPr>
        <w:jc w:val="both"/>
        <w:rPr>
          <w:rFonts w:ascii="Arial" w:hAnsi="Arial" w:cs="Arial"/>
          <w:sz w:val="22"/>
          <w:szCs w:val="22"/>
        </w:rPr>
      </w:pPr>
    </w:p>
    <w:p w:rsidR="00050108" w:rsidRPr="00947CB1" w:rsidRDefault="00050108" w:rsidP="00050108">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050108" w:rsidRPr="00454D43" w:rsidRDefault="00050108" w:rsidP="00050108">
      <w:pPr>
        <w:ind w:left="426"/>
        <w:jc w:val="both"/>
        <w:rPr>
          <w:rFonts w:ascii="Arial" w:hAnsi="Arial" w:cs="Arial"/>
          <w:sz w:val="22"/>
          <w:szCs w:val="22"/>
        </w:rPr>
      </w:pPr>
    </w:p>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050108" w:rsidRPr="00454D43" w:rsidRDefault="00050108" w:rsidP="00050108"/>
    <w:p w:rsidR="00050108" w:rsidRPr="00454D43" w:rsidRDefault="00050108" w:rsidP="00050108">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E2F13" w:rsidRDefault="00DE2F13" w:rsidP="00864AB4">
      <w:pPr>
        <w:pStyle w:val="Citace1"/>
        <w:spacing w:after="0" w:line="240" w:lineRule="auto"/>
        <w:ind w:left="360"/>
        <w:jc w:val="both"/>
        <w:rPr>
          <w:rFonts w:ascii="Arial" w:hAnsi="Arial" w:cs="Arial"/>
          <w:i w:val="0"/>
          <w:color w:val="auto"/>
          <w:sz w:val="22"/>
          <w:szCs w:val="22"/>
        </w:rPr>
      </w:pPr>
    </w:p>
    <w:p w:rsidR="00864AB4" w:rsidRDefault="00864AB4" w:rsidP="00864AB4">
      <w:pPr>
        <w:pStyle w:val="Zkladntext"/>
        <w:widowControl/>
        <w:jc w:val="center"/>
        <w:rPr>
          <w:rFonts w:cs="Arial"/>
          <w:b/>
          <w:sz w:val="22"/>
          <w:szCs w:val="22"/>
          <w:u w:val="single"/>
        </w:rPr>
      </w:pPr>
      <w:r w:rsidRPr="0001372F">
        <w:rPr>
          <w:rFonts w:cs="Arial"/>
          <w:b/>
          <w:sz w:val="22"/>
          <w:szCs w:val="22"/>
          <w:u w:val="single"/>
        </w:rPr>
        <w:t>Čl. VI. SANKCE</w:t>
      </w:r>
    </w:p>
    <w:p w:rsidR="00864AB4" w:rsidRDefault="00864AB4" w:rsidP="00864AB4">
      <w:pPr>
        <w:pStyle w:val="Zkladntext"/>
        <w:widowControl/>
        <w:jc w:val="center"/>
        <w:rPr>
          <w:rFonts w:cs="Arial"/>
          <w:sz w:val="22"/>
          <w:szCs w:val="22"/>
        </w:rPr>
      </w:pPr>
    </w:p>
    <w:p w:rsidR="00050108" w:rsidRPr="00454D43" w:rsidRDefault="00050108" w:rsidP="00050108">
      <w:pPr>
        <w:pStyle w:val="A-odstavecodsazensodrkami"/>
        <w:numPr>
          <w:ilvl w:val="0"/>
          <w:numId w:val="4"/>
        </w:numPr>
      </w:pPr>
      <w:r w:rsidRPr="00454D43">
        <w:t>Pokud bude zhotovitel v prodlení proti termínu předání a převzetí díla sjednanému podle smlouvy, je povinen zaplatit objednateli smluvní pokutu ve výši 0,2 % z ceny díla za každý i započatý den prodlení.</w:t>
      </w:r>
    </w:p>
    <w:p w:rsidR="00050108" w:rsidRPr="00454D43" w:rsidRDefault="00050108" w:rsidP="00050108">
      <w:pPr>
        <w:pStyle w:val="A-odstavecodsazensodrkami"/>
        <w:numPr>
          <w:ilvl w:val="0"/>
          <w:numId w:val="0"/>
        </w:numPr>
        <w:ind w:left="1080" w:hanging="360"/>
      </w:pPr>
    </w:p>
    <w:p w:rsidR="00050108" w:rsidRPr="00454D43" w:rsidRDefault="00050108" w:rsidP="00050108">
      <w:pPr>
        <w:pStyle w:val="A-odstavecodsazensodrkami"/>
        <w:numPr>
          <w:ilvl w:val="0"/>
          <w:numId w:val="4"/>
        </w:numPr>
      </w:pPr>
      <w:r w:rsidRPr="00454D43">
        <w:t xml:space="preserve">Pokud bude objednatel v prodlení s úhradou faktury proti sjednanému termínu je povinen zaplatit zhotoviteli úrok z prodlení ve výši 0,2 % z dlužné částky za každý i započatý den prodlení. </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Sankce za porušení předpisů BOZP.</w:t>
      </w:r>
    </w:p>
    <w:p w:rsidR="00050108" w:rsidRPr="00454D43" w:rsidRDefault="00050108" w:rsidP="00050108">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050108" w:rsidRPr="00454D43" w:rsidRDefault="00050108" w:rsidP="00050108">
      <w:pPr>
        <w:pStyle w:val="A-odstavecodsazensodrkami"/>
        <w:numPr>
          <w:ilvl w:val="0"/>
          <w:numId w:val="0"/>
        </w:numPr>
        <w:ind w:left="1287" w:hanging="567"/>
      </w:pPr>
    </w:p>
    <w:p w:rsidR="00050108" w:rsidRPr="00454D43" w:rsidRDefault="00050108" w:rsidP="00050108">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050108" w:rsidRPr="00454D43" w:rsidRDefault="00050108" w:rsidP="00050108">
      <w:pPr>
        <w:pStyle w:val="A-odstavecodsazensodrkami"/>
        <w:numPr>
          <w:ilvl w:val="0"/>
          <w:numId w:val="0"/>
        </w:numPr>
        <w:ind w:left="360"/>
      </w:pPr>
    </w:p>
    <w:p w:rsidR="00050108" w:rsidRPr="00454D43" w:rsidRDefault="00050108" w:rsidP="00050108">
      <w:pPr>
        <w:pStyle w:val="A-odstavecodsazensodrkami"/>
        <w:numPr>
          <w:ilvl w:val="0"/>
          <w:numId w:val="4"/>
        </w:numPr>
      </w:pPr>
      <w:r w:rsidRPr="00454D43">
        <w:t>Pro zajištění úhrady oprávněně vyúčtovaných sankcí je objednatel oprávněn provést zápočet vyúčtované sankce proti jakékoliv oprávněné pohledávce, kterou má, nebo bude mít zhotovitel za objednatelem.</w:t>
      </w:r>
    </w:p>
    <w:p w:rsidR="00050108" w:rsidRPr="00454D43" w:rsidRDefault="00050108" w:rsidP="00050108">
      <w:pPr>
        <w:pStyle w:val="A-odstavecodsazensodrkami"/>
        <w:numPr>
          <w:ilvl w:val="0"/>
          <w:numId w:val="0"/>
        </w:numPr>
      </w:pPr>
    </w:p>
    <w:p w:rsidR="00050108" w:rsidRPr="00454D43" w:rsidRDefault="00050108" w:rsidP="00050108">
      <w:pPr>
        <w:pStyle w:val="A-odstavecodsazensodrkami"/>
        <w:numPr>
          <w:ilvl w:val="0"/>
          <w:numId w:val="4"/>
        </w:numPr>
      </w:pPr>
      <w:r w:rsidRPr="00454D43">
        <w:t>Strana povinná je povinna uhradit vyúčtované sankce nejpozději do 30 dnů od dne obdržení příslušného vyúčtování.</w:t>
      </w:r>
    </w:p>
    <w:p w:rsidR="00050108" w:rsidRPr="00454D43" w:rsidRDefault="00050108" w:rsidP="00050108">
      <w:pPr>
        <w:pStyle w:val="A-odstavecodsazensodrkami"/>
        <w:numPr>
          <w:ilvl w:val="0"/>
          <w:numId w:val="0"/>
        </w:numPr>
        <w:ind w:left="360" w:hanging="360"/>
      </w:pPr>
    </w:p>
    <w:p w:rsidR="00050108" w:rsidRPr="00454D43" w:rsidRDefault="00050108" w:rsidP="00050108">
      <w:pPr>
        <w:pStyle w:val="A-odstavecodsazensodrkami"/>
        <w:numPr>
          <w:ilvl w:val="0"/>
          <w:numId w:val="4"/>
        </w:numPr>
        <w:rPr>
          <w:b/>
        </w:rPr>
      </w:pPr>
      <w:r w:rsidRPr="00454D43">
        <w:t>Zaplacením sankce není dotčen nárok objednatele na náhradu škody způsobené mu porušením povinnosti zhotovitele, na niž se sankce vztahuje.</w:t>
      </w:r>
    </w:p>
    <w:p w:rsidR="00DE2F13" w:rsidRDefault="00DE2F13" w:rsidP="00FE1CDE">
      <w:pPr>
        <w:pStyle w:val="A-odstavecodsazensodrkami"/>
        <w:numPr>
          <w:ilvl w:val="0"/>
          <w:numId w:val="0"/>
        </w:numPr>
        <w:tabs>
          <w:tab w:val="left" w:pos="426"/>
        </w:tabs>
      </w:pPr>
    </w:p>
    <w:p w:rsidR="00864AB4" w:rsidRPr="00386410" w:rsidRDefault="00864AB4" w:rsidP="00864AB4">
      <w:pPr>
        <w:pStyle w:val="Zkladntext"/>
        <w:widowControl/>
        <w:jc w:val="center"/>
        <w:rPr>
          <w:rFonts w:cs="Arial"/>
          <w:b/>
          <w:sz w:val="22"/>
          <w:szCs w:val="22"/>
          <w:u w:val="single"/>
        </w:rPr>
      </w:pPr>
      <w:r w:rsidRPr="00386410">
        <w:rPr>
          <w:rFonts w:cs="Arial"/>
          <w:b/>
          <w:sz w:val="22"/>
          <w:szCs w:val="22"/>
          <w:u w:val="single"/>
        </w:rPr>
        <w:t>Čl. VII. ZAJIŠTĚNÍ ZÁVAZKU, ZÁRUKA</w:t>
      </w:r>
    </w:p>
    <w:p w:rsidR="00864AB4" w:rsidRPr="00386410" w:rsidRDefault="00864AB4" w:rsidP="00864AB4">
      <w:pPr>
        <w:widowControl w:val="0"/>
        <w:jc w:val="both"/>
        <w:rPr>
          <w:rFonts w:ascii="Arial" w:hAnsi="Arial" w:cs="Arial"/>
          <w:b/>
          <w:sz w:val="22"/>
          <w:szCs w:val="22"/>
        </w:rPr>
      </w:pPr>
    </w:p>
    <w:p w:rsidR="00712369" w:rsidRPr="00BB16E1" w:rsidRDefault="00712369" w:rsidP="0071236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r w:rsidR="00683133" w:rsidRPr="004D64E8">
        <w:rPr>
          <w:rFonts w:cs="Arial"/>
          <w:b/>
          <w:sz w:val="22"/>
          <w:szCs w:val="22"/>
        </w:rPr>
        <w:t>Záruční doba se nesjednává</w:t>
      </w:r>
      <w:r w:rsidR="00683133">
        <w:rPr>
          <w:rFonts w:cs="Arial"/>
          <w:b/>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712369" w:rsidRPr="002A1D58" w:rsidRDefault="00712369" w:rsidP="00712369">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712369"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712369" w:rsidRPr="002A1D58" w:rsidRDefault="00712369" w:rsidP="00712369">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050108">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712369" w:rsidRPr="002A1D58" w:rsidRDefault="00712369" w:rsidP="0071236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712369" w:rsidRDefault="00050108" w:rsidP="00712369">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712369">
        <w:rPr>
          <w:rFonts w:ascii="Arial" w:hAnsi="Arial" w:cs="Arial"/>
          <w:i w:val="0"/>
          <w:color w:val="auto"/>
          <w:sz w:val="22"/>
          <w:szCs w:val="22"/>
        </w:rPr>
        <w:t xml:space="preserve"> </w:t>
      </w:r>
      <w:r w:rsidR="00712369" w:rsidRPr="002A1D58">
        <w:rPr>
          <w:rFonts w:ascii="Arial" w:hAnsi="Arial" w:cs="Arial"/>
          <w:i w:val="0"/>
          <w:color w:val="auto"/>
          <w:sz w:val="22"/>
          <w:szCs w:val="22"/>
        </w:rPr>
        <w:t>je povinen ve stanovené lhůtě odstranit vady i v případě, kdy podle jeho názoru za vady neodpovídá. Náklady na odstranění</w:t>
      </w:r>
      <w:r w:rsidR="00712369">
        <w:rPr>
          <w:rFonts w:ascii="Arial" w:hAnsi="Arial" w:cs="Arial"/>
          <w:i w:val="0"/>
          <w:color w:val="auto"/>
          <w:sz w:val="22"/>
          <w:szCs w:val="22"/>
        </w:rPr>
        <w:t xml:space="preserve"> vad</w:t>
      </w:r>
      <w:r w:rsidR="00712369"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712369" w:rsidRPr="002A1D58">
        <w:rPr>
          <w:rFonts w:ascii="Arial" w:hAnsi="Arial" w:cs="Arial"/>
          <w:i w:val="0"/>
          <w:color w:val="auto"/>
          <w:sz w:val="22"/>
          <w:szCs w:val="22"/>
        </w:rPr>
        <w:t xml:space="preserve">. </w:t>
      </w:r>
    </w:p>
    <w:p w:rsidR="00712369" w:rsidRPr="004070EF" w:rsidRDefault="00712369" w:rsidP="00712369">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050108">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050108">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050108" w:rsidP="00346C0D">
      <w:pPr>
        <w:widowControl w:val="0"/>
        <w:numPr>
          <w:ilvl w:val="0"/>
          <w:numId w:val="22"/>
        </w:numPr>
        <w:jc w:val="both"/>
        <w:rPr>
          <w:rFonts w:ascii="Arial" w:hAnsi="Arial" w:cs="Arial"/>
          <w:b/>
          <w:sz w:val="22"/>
          <w:szCs w:val="22"/>
        </w:rPr>
      </w:pPr>
      <w:r>
        <w:rPr>
          <w:rFonts w:ascii="Arial" w:hAnsi="Arial" w:cs="Arial"/>
          <w:sz w:val="22"/>
          <w:szCs w:val="22"/>
        </w:rPr>
        <w:t>Zhotovitel</w:t>
      </w:r>
      <w:r w:rsidR="00E97587"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050108">
        <w:rPr>
          <w:rFonts w:ascii="Arial" w:hAnsi="Arial" w:cs="Arial"/>
          <w:sz w:val="22"/>
          <w:szCs w:val="22"/>
        </w:rPr>
        <w:t>zhotovitel</w:t>
      </w:r>
      <w:r w:rsidR="00FF5046">
        <w:rPr>
          <w:rFonts w:ascii="Arial" w:hAnsi="Arial" w:cs="Arial"/>
          <w:sz w:val="22"/>
          <w:szCs w:val="22"/>
        </w:rPr>
        <w:t>em</w:t>
      </w:r>
      <w:r w:rsidRPr="00386410">
        <w:rPr>
          <w:rFonts w:ascii="Arial" w:hAnsi="Arial" w:cs="Arial"/>
          <w:sz w:val="22"/>
          <w:szCs w:val="22"/>
        </w:rPr>
        <w:t xml:space="preserve"> porušením povinností </w:t>
      </w:r>
      <w:r w:rsidR="00050108">
        <w:rPr>
          <w:rFonts w:ascii="Arial" w:hAnsi="Arial" w:cs="Arial"/>
          <w:sz w:val="22"/>
          <w:szCs w:val="22"/>
        </w:rPr>
        <w:t>zhotovitel</w:t>
      </w:r>
      <w:r w:rsidR="00FF5046">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386410" w:rsidRDefault="00864AB4" w:rsidP="001D3524">
      <w:pPr>
        <w:widowControl w:val="0"/>
        <w:jc w:val="both"/>
        <w:rPr>
          <w:rFonts w:ascii="Arial" w:hAnsi="Arial" w:cs="Arial"/>
          <w:sz w:val="22"/>
          <w:szCs w:val="22"/>
        </w:rPr>
      </w:pPr>
    </w:p>
    <w:p w:rsidR="00864AB4" w:rsidRPr="00386410" w:rsidRDefault="00864AB4" w:rsidP="00864AB4">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864AB4" w:rsidRPr="00386410" w:rsidRDefault="00864AB4" w:rsidP="00864AB4">
      <w:pPr>
        <w:pStyle w:val="Zkladntext"/>
        <w:keepNext/>
        <w:widowControl/>
        <w:spacing w:before="120"/>
        <w:jc w:val="center"/>
        <w:rPr>
          <w:rFonts w:cs="Arial"/>
          <w:b/>
          <w:sz w:val="22"/>
          <w:szCs w:val="22"/>
          <w:u w:val="single"/>
        </w:rPr>
      </w:pPr>
    </w:p>
    <w:p w:rsidR="00864AB4" w:rsidRDefault="00050108" w:rsidP="00864AB4">
      <w:pPr>
        <w:pStyle w:val="Zkladntext"/>
        <w:keepNext/>
        <w:widowControl/>
        <w:numPr>
          <w:ilvl w:val="0"/>
          <w:numId w:val="6"/>
        </w:numPr>
        <w:tabs>
          <w:tab w:val="left" w:pos="360"/>
        </w:tabs>
        <w:jc w:val="both"/>
        <w:rPr>
          <w:rFonts w:cs="Arial"/>
          <w:sz w:val="22"/>
          <w:szCs w:val="22"/>
        </w:rPr>
      </w:pPr>
      <w:r>
        <w:rPr>
          <w:rFonts w:cs="Arial"/>
          <w:sz w:val="22"/>
          <w:szCs w:val="22"/>
        </w:rPr>
        <w:t>Zhotovitel</w:t>
      </w:r>
      <w:r w:rsidR="00864AB4" w:rsidRPr="00386410">
        <w:rPr>
          <w:rFonts w:cs="Arial"/>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FB7391" w:rsidRPr="00386410" w:rsidRDefault="00FB7391" w:rsidP="0098025D">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050108" w:rsidRDefault="00050108" w:rsidP="00050108">
      <w:pPr>
        <w:widowControl w:val="0"/>
        <w:overflowPunct/>
        <w:autoSpaceDE/>
        <w:autoSpaceDN/>
        <w:adjustRightInd/>
        <w:ind w:left="2160" w:firstLine="720"/>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50108" w:rsidRPr="006B2803" w:rsidRDefault="00050108" w:rsidP="00050108">
      <w:pPr>
        <w:widowControl w:val="0"/>
        <w:overflowPunct/>
        <w:autoSpaceDE/>
        <w:autoSpaceDN/>
        <w:adjustRightInd/>
        <w:jc w:val="both"/>
        <w:textAlignment w:val="auto"/>
        <w:rPr>
          <w:rFonts w:ascii="Arial" w:hAnsi="Arial" w:cs="Arial"/>
          <w:sz w:val="22"/>
          <w:szCs w:val="22"/>
        </w:rPr>
      </w:pPr>
    </w:p>
    <w:p w:rsidR="00050108" w:rsidRPr="006B2803" w:rsidRDefault="00050108" w:rsidP="0005010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50108" w:rsidRPr="00454D43" w:rsidRDefault="00050108" w:rsidP="00050108">
      <w:pPr>
        <w:widowControl w:val="0"/>
        <w:overflowPunct/>
        <w:autoSpaceDE/>
        <w:autoSpaceDN/>
        <w:adjustRightInd/>
        <w:jc w:val="both"/>
        <w:textAlignment w:val="auto"/>
        <w:rPr>
          <w:rFonts w:ascii="Arial" w:hAnsi="Arial" w:cs="Arial"/>
          <w:sz w:val="22"/>
          <w:szCs w:val="22"/>
        </w:rPr>
      </w:pPr>
    </w:p>
    <w:p w:rsidR="00050108" w:rsidRPr="00454D43" w:rsidRDefault="00050108" w:rsidP="0005010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050108" w:rsidRPr="00454D43" w:rsidRDefault="00050108" w:rsidP="00050108">
      <w:pPr>
        <w:widowControl w:val="0"/>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050108" w:rsidRDefault="00050108" w:rsidP="00050108">
      <w:pPr>
        <w:pStyle w:val="Zkladntext"/>
        <w:widowControl/>
        <w:tabs>
          <w:tab w:val="left" w:pos="360"/>
        </w:tabs>
        <w:jc w:val="both"/>
        <w:textAlignment w:val="auto"/>
        <w:rPr>
          <w:rFonts w:cs="Arial"/>
          <w:color w:val="auto"/>
          <w:sz w:val="22"/>
          <w:szCs w:val="22"/>
        </w:rPr>
      </w:pPr>
    </w:p>
    <w:p w:rsidR="00050108" w:rsidRDefault="00050108" w:rsidP="0005010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050108" w:rsidRDefault="00050108" w:rsidP="00050108">
      <w:pPr>
        <w:pStyle w:val="Zkladntext"/>
        <w:widowControl/>
        <w:tabs>
          <w:tab w:val="left" w:pos="360"/>
        </w:tabs>
        <w:jc w:val="both"/>
        <w:textAlignment w:val="auto"/>
        <w:rPr>
          <w:rFonts w:cs="Arial"/>
          <w:color w:val="auto"/>
          <w:sz w:val="22"/>
          <w:szCs w:val="22"/>
        </w:rPr>
      </w:pPr>
    </w:p>
    <w:p w:rsidR="00050108" w:rsidRPr="00386410"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050108" w:rsidRPr="00386410" w:rsidRDefault="00050108" w:rsidP="00050108">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050108" w:rsidRDefault="00050108" w:rsidP="0005010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050108" w:rsidRDefault="00050108" w:rsidP="00050108">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050108" w:rsidRPr="00386410" w:rsidRDefault="00050108" w:rsidP="00050108">
      <w:pPr>
        <w:pStyle w:val="Zkladntext"/>
        <w:widowControl/>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050108" w:rsidRDefault="00050108" w:rsidP="00050108">
      <w:pPr>
        <w:pStyle w:val="Zkladntext"/>
        <w:widowControl/>
        <w:tabs>
          <w:tab w:val="left" w:pos="360"/>
        </w:tabs>
        <w:jc w:val="both"/>
        <w:rPr>
          <w:rFonts w:cs="Arial"/>
          <w:sz w:val="22"/>
          <w:szCs w:val="22"/>
        </w:rPr>
      </w:pPr>
    </w:p>
    <w:p w:rsidR="00050108"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050108" w:rsidRDefault="00050108" w:rsidP="00050108">
      <w:pPr>
        <w:pStyle w:val="Zkladntext"/>
        <w:keepNext/>
        <w:widowControl/>
        <w:tabs>
          <w:tab w:val="left" w:pos="360"/>
        </w:tabs>
        <w:jc w:val="both"/>
        <w:rPr>
          <w:rFonts w:cs="Arial"/>
          <w:b/>
          <w:sz w:val="22"/>
          <w:szCs w:val="22"/>
        </w:rPr>
      </w:pPr>
    </w:p>
    <w:p w:rsidR="00050108" w:rsidRPr="00005B63" w:rsidRDefault="00050108" w:rsidP="00050108">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50108" w:rsidRPr="00454D43" w:rsidRDefault="00050108" w:rsidP="00050108">
      <w:pPr>
        <w:pStyle w:val="Zkladntext"/>
        <w:widowControl/>
        <w:tabs>
          <w:tab w:val="left" w:pos="360"/>
        </w:tabs>
        <w:jc w:val="both"/>
        <w:rPr>
          <w:color w:val="auto"/>
          <w:sz w:val="22"/>
          <w:szCs w:val="22"/>
        </w:rPr>
      </w:pPr>
    </w:p>
    <w:p w:rsidR="00050108" w:rsidRPr="00454D43" w:rsidRDefault="00050108" w:rsidP="0005010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D5481" w:rsidRDefault="003D5481" w:rsidP="006F41C0">
      <w:pPr>
        <w:keepNext/>
        <w:jc w:val="both"/>
        <w:rPr>
          <w:rFonts w:ascii="Arial" w:hAnsi="Arial" w:cs="Arial"/>
          <w:sz w:val="22"/>
          <w:szCs w:val="22"/>
        </w:rPr>
      </w:pPr>
    </w:p>
    <w:p w:rsidR="003D5481" w:rsidRDefault="003D5481" w:rsidP="006F41C0">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p>
    <w:p w:rsidR="000A0F43" w:rsidRPr="00432702" w:rsidRDefault="000A0F43" w:rsidP="000A0F43">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0A0F43" w:rsidRPr="00432702" w:rsidRDefault="000A0F43" w:rsidP="000A0F43">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0A0F43" w:rsidRPr="00432702" w:rsidRDefault="000A0F43" w:rsidP="000A0F43">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2921E0">
        <w:rPr>
          <w:rFonts w:ascii="Arial" w:hAnsi="Arial" w:cs="Arial"/>
          <w:sz w:val="22"/>
          <w:szCs w:val="22"/>
        </w:rPr>
        <w:tab/>
      </w:r>
      <w:r w:rsidR="002921E0">
        <w:rPr>
          <w:rFonts w:ascii="Arial" w:hAnsi="Arial" w:cs="Arial"/>
          <w:sz w:val="22"/>
          <w:szCs w:val="22"/>
        </w:rPr>
        <w:tab/>
      </w:r>
      <w:r>
        <w:rPr>
          <w:rFonts w:ascii="Arial" w:hAnsi="Arial" w:cs="Arial"/>
          <w:sz w:val="22"/>
          <w:szCs w:val="22"/>
        </w:rPr>
        <w:t>Lukáš Orság</w:t>
      </w:r>
    </w:p>
    <w:p w:rsidR="000A0F43" w:rsidRPr="00454D43" w:rsidRDefault="000A0F43" w:rsidP="000A0F43">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921E0">
        <w:rPr>
          <w:rFonts w:ascii="Arial" w:hAnsi="Arial" w:cs="Arial"/>
          <w:sz w:val="22"/>
          <w:szCs w:val="22"/>
        </w:rPr>
        <w:tab/>
      </w:r>
      <w:r w:rsidR="002921E0">
        <w:rPr>
          <w:rFonts w:ascii="Arial" w:hAnsi="Arial" w:cs="Arial"/>
          <w:sz w:val="22"/>
          <w:szCs w:val="22"/>
        </w:rPr>
        <w:tab/>
      </w:r>
      <w:r w:rsidR="002921E0">
        <w:rPr>
          <w:rFonts w:ascii="Arial" w:hAnsi="Arial" w:cs="Arial"/>
          <w:sz w:val="22"/>
          <w:szCs w:val="22"/>
        </w:rPr>
        <w:tab/>
      </w:r>
      <w:bookmarkStart w:id="0" w:name="_GoBack"/>
      <w:bookmarkEnd w:id="0"/>
      <w:r>
        <w:rPr>
          <w:rFonts w:ascii="Arial" w:hAnsi="Arial" w:cs="Arial"/>
          <w:sz w:val="22"/>
          <w:szCs w:val="22"/>
        </w:rPr>
        <w:t>jednatel společnosti</w:t>
      </w:r>
    </w:p>
    <w:p w:rsidR="00863475" w:rsidRDefault="00863475" w:rsidP="000A0F43">
      <w:pPr>
        <w:keepNext/>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FDA" w:rsidRDefault="00781FDA">
      <w:r>
        <w:separator/>
      </w:r>
    </w:p>
  </w:endnote>
  <w:endnote w:type="continuationSeparator" w:id="0">
    <w:p w:rsidR="00781FDA" w:rsidRDefault="0078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81FDA">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81FDA">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FDA" w:rsidRDefault="00781FDA">
      <w:r>
        <w:separator/>
      </w:r>
    </w:p>
  </w:footnote>
  <w:footnote w:type="continuationSeparator" w:id="0">
    <w:p w:rsidR="00781FDA" w:rsidRDefault="00781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0108"/>
    <w:rsid w:val="00053346"/>
    <w:rsid w:val="000903EA"/>
    <w:rsid w:val="00091338"/>
    <w:rsid w:val="000914C6"/>
    <w:rsid w:val="000927E7"/>
    <w:rsid w:val="00093AD2"/>
    <w:rsid w:val="000A0F43"/>
    <w:rsid w:val="000A10CD"/>
    <w:rsid w:val="000B0E7E"/>
    <w:rsid w:val="000B2E4B"/>
    <w:rsid w:val="000B3C0B"/>
    <w:rsid w:val="000E119B"/>
    <w:rsid w:val="001059B7"/>
    <w:rsid w:val="0011076F"/>
    <w:rsid w:val="00114CFD"/>
    <w:rsid w:val="00123974"/>
    <w:rsid w:val="00123B05"/>
    <w:rsid w:val="00133429"/>
    <w:rsid w:val="001431E3"/>
    <w:rsid w:val="00145445"/>
    <w:rsid w:val="00151C33"/>
    <w:rsid w:val="001556E2"/>
    <w:rsid w:val="00191A3B"/>
    <w:rsid w:val="001C04BD"/>
    <w:rsid w:val="001D3524"/>
    <w:rsid w:val="001D6BE7"/>
    <w:rsid w:val="001F276C"/>
    <w:rsid w:val="001F7612"/>
    <w:rsid w:val="002001D9"/>
    <w:rsid w:val="0020184F"/>
    <w:rsid w:val="002044E5"/>
    <w:rsid w:val="00204B2D"/>
    <w:rsid w:val="002113D7"/>
    <w:rsid w:val="002157FE"/>
    <w:rsid w:val="00241CC6"/>
    <w:rsid w:val="00255B29"/>
    <w:rsid w:val="0026239D"/>
    <w:rsid w:val="00271CF6"/>
    <w:rsid w:val="002727B2"/>
    <w:rsid w:val="002810BB"/>
    <w:rsid w:val="002841E7"/>
    <w:rsid w:val="002921E0"/>
    <w:rsid w:val="002A59FE"/>
    <w:rsid w:val="002B1846"/>
    <w:rsid w:val="002B32CB"/>
    <w:rsid w:val="002C50E0"/>
    <w:rsid w:val="002D1039"/>
    <w:rsid w:val="002D299B"/>
    <w:rsid w:val="002E73A1"/>
    <w:rsid w:val="00302394"/>
    <w:rsid w:val="00312AFD"/>
    <w:rsid w:val="00312BF9"/>
    <w:rsid w:val="003139A9"/>
    <w:rsid w:val="00327DB4"/>
    <w:rsid w:val="00341CBF"/>
    <w:rsid w:val="00345399"/>
    <w:rsid w:val="00346C0D"/>
    <w:rsid w:val="003516F9"/>
    <w:rsid w:val="00386410"/>
    <w:rsid w:val="00390F08"/>
    <w:rsid w:val="003A15B7"/>
    <w:rsid w:val="003A7BC6"/>
    <w:rsid w:val="003B2A08"/>
    <w:rsid w:val="003C1782"/>
    <w:rsid w:val="003D1892"/>
    <w:rsid w:val="003D38EF"/>
    <w:rsid w:val="003D42E4"/>
    <w:rsid w:val="003D5481"/>
    <w:rsid w:val="004167CE"/>
    <w:rsid w:val="004237EB"/>
    <w:rsid w:val="004258CF"/>
    <w:rsid w:val="004263A6"/>
    <w:rsid w:val="00431AB2"/>
    <w:rsid w:val="004335FB"/>
    <w:rsid w:val="00437893"/>
    <w:rsid w:val="004433D8"/>
    <w:rsid w:val="00451D8C"/>
    <w:rsid w:val="004943EB"/>
    <w:rsid w:val="004A2984"/>
    <w:rsid w:val="004B2043"/>
    <w:rsid w:val="004D2632"/>
    <w:rsid w:val="004E0521"/>
    <w:rsid w:val="004E7D23"/>
    <w:rsid w:val="00511849"/>
    <w:rsid w:val="00512F40"/>
    <w:rsid w:val="00516E1F"/>
    <w:rsid w:val="00520647"/>
    <w:rsid w:val="005247CA"/>
    <w:rsid w:val="005302CD"/>
    <w:rsid w:val="00563146"/>
    <w:rsid w:val="005668D0"/>
    <w:rsid w:val="00566F54"/>
    <w:rsid w:val="00581592"/>
    <w:rsid w:val="00595DCE"/>
    <w:rsid w:val="005B1728"/>
    <w:rsid w:val="005B53AA"/>
    <w:rsid w:val="005C10DB"/>
    <w:rsid w:val="005C6983"/>
    <w:rsid w:val="005F1C85"/>
    <w:rsid w:val="005F217B"/>
    <w:rsid w:val="005F34D9"/>
    <w:rsid w:val="00602394"/>
    <w:rsid w:val="0060531F"/>
    <w:rsid w:val="0064194E"/>
    <w:rsid w:val="0067189F"/>
    <w:rsid w:val="0068009D"/>
    <w:rsid w:val="00681859"/>
    <w:rsid w:val="00683133"/>
    <w:rsid w:val="00687E88"/>
    <w:rsid w:val="006A302C"/>
    <w:rsid w:val="006A5898"/>
    <w:rsid w:val="006C1018"/>
    <w:rsid w:val="006C64E2"/>
    <w:rsid w:val="006D29A4"/>
    <w:rsid w:val="006D4CF2"/>
    <w:rsid w:val="006E5F9A"/>
    <w:rsid w:val="006F41C0"/>
    <w:rsid w:val="007111BD"/>
    <w:rsid w:val="00712369"/>
    <w:rsid w:val="00714263"/>
    <w:rsid w:val="00734FF3"/>
    <w:rsid w:val="00740ADB"/>
    <w:rsid w:val="0074616E"/>
    <w:rsid w:val="00771122"/>
    <w:rsid w:val="00781FDA"/>
    <w:rsid w:val="00790434"/>
    <w:rsid w:val="0079435D"/>
    <w:rsid w:val="007A041D"/>
    <w:rsid w:val="007D5107"/>
    <w:rsid w:val="007F14CA"/>
    <w:rsid w:val="007F3462"/>
    <w:rsid w:val="007F41FE"/>
    <w:rsid w:val="007F60BA"/>
    <w:rsid w:val="007F7071"/>
    <w:rsid w:val="007F7B0E"/>
    <w:rsid w:val="00811B43"/>
    <w:rsid w:val="008156E1"/>
    <w:rsid w:val="00821D11"/>
    <w:rsid w:val="0082405F"/>
    <w:rsid w:val="00830AC2"/>
    <w:rsid w:val="00833467"/>
    <w:rsid w:val="008347C2"/>
    <w:rsid w:val="00844FF1"/>
    <w:rsid w:val="00855A6C"/>
    <w:rsid w:val="00856705"/>
    <w:rsid w:val="00860849"/>
    <w:rsid w:val="0086126A"/>
    <w:rsid w:val="00863475"/>
    <w:rsid w:val="00864AB4"/>
    <w:rsid w:val="00872CA3"/>
    <w:rsid w:val="00883D67"/>
    <w:rsid w:val="0088678E"/>
    <w:rsid w:val="008A107C"/>
    <w:rsid w:val="008C1FBE"/>
    <w:rsid w:val="008D05B9"/>
    <w:rsid w:val="008D07D7"/>
    <w:rsid w:val="008D36CC"/>
    <w:rsid w:val="008F3607"/>
    <w:rsid w:val="009177F7"/>
    <w:rsid w:val="00917F5B"/>
    <w:rsid w:val="00921CCC"/>
    <w:rsid w:val="009231A4"/>
    <w:rsid w:val="0092548D"/>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565B8"/>
    <w:rsid w:val="00A71E04"/>
    <w:rsid w:val="00A72B4B"/>
    <w:rsid w:val="00A8568B"/>
    <w:rsid w:val="00A903B8"/>
    <w:rsid w:val="00A930F6"/>
    <w:rsid w:val="00A96966"/>
    <w:rsid w:val="00AA0137"/>
    <w:rsid w:val="00AA1BE2"/>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B5F46"/>
    <w:rsid w:val="00BB73AA"/>
    <w:rsid w:val="00BB77F0"/>
    <w:rsid w:val="00BC6B58"/>
    <w:rsid w:val="00BD5E01"/>
    <w:rsid w:val="00BF3D9B"/>
    <w:rsid w:val="00C0154D"/>
    <w:rsid w:val="00C079FC"/>
    <w:rsid w:val="00C1063F"/>
    <w:rsid w:val="00C13DB4"/>
    <w:rsid w:val="00C17301"/>
    <w:rsid w:val="00C20C4F"/>
    <w:rsid w:val="00C40D2C"/>
    <w:rsid w:val="00C516BF"/>
    <w:rsid w:val="00C56345"/>
    <w:rsid w:val="00C66556"/>
    <w:rsid w:val="00C7519E"/>
    <w:rsid w:val="00C754D6"/>
    <w:rsid w:val="00C9156E"/>
    <w:rsid w:val="00CC0E56"/>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D6D96"/>
    <w:rsid w:val="00DE2F13"/>
    <w:rsid w:val="00DE675A"/>
    <w:rsid w:val="00DE783C"/>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B418C"/>
    <w:rsid w:val="00EB6A5C"/>
    <w:rsid w:val="00ED1285"/>
    <w:rsid w:val="00ED1664"/>
    <w:rsid w:val="00ED2006"/>
    <w:rsid w:val="00ED33E2"/>
    <w:rsid w:val="00EE43D6"/>
    <w:rsid w:val="00EF1E4B"/>
    <w:rsid w:val="00EF744B"/>
    <w:rsid w:val="00F05460"/>
    <w:rsid w:val="00F22DC0"/>
    <w:rsid w:val="00F25381"/>
    <w:rsid w:val="00F27BE3"/>
    <w:rsid w:val="00F352E0"/>
    <w:rsid w:val="00F52D0A"/>
    <w:rsid w:val="00F54D46"/>
    <w:rsid w:val="00F5552E"/>
    <w:rsid w:val="00F67B02"/>
    <w:rsid w:val="00F72329"/>
    <w:rsid w:val="00F830E3"/>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27289692">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17994665">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4368-5D35-4F54-95CD-C60DF10D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2156</Words>
  <Characters>12726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2018-05-10T13:58:00Z</dcterms:created>
  <dcterms:modified xsi:type="dcterms:W3CDTF">2018-05-10T13:59:00Z</dcterms:modified>
</cp:coreProperties>
</file>