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O POSKYTNUTÍ INVESTIČNÍ DOTACE č. KT</w:t>
      </w:r>
      <w:r w:rsidR="003F46AC">
        <w:rPr>
          <w:rFonts w:asciiTheme="minorHAnsi" w:hAnsiTheme="minorHAnsi" w:cstheme="minorHAnsi"/>
          <w:b/>
          <w:sz w:val="24"/>
          <w:szCs w:val="24"/>
        </w:rPr>
        <w:t>/9</w:t>
      </w:r>
      <w:r w:rsidR="00FD611A">
        <w:rPr>
          <w:rFonts w:asciiTheme="minorHAnsi" w:hAnsiTheme="minorHAnsi" w:cstheme="minorHAnsi"/>
          <w:b/>
          <w:sz w:val="24"/>
          <w:szCs w:val="24"/>
        </w:rPr>
        <w:t>702</w:t>
      </w:r>
      <w:r w:rsidR="003F46AC">
        <w:rPr>
          <w:rFonts w:asciiTheme="minorHAnsi" w:hAnsiTheme="minorHAnsi" w:cstheme="minorHAnsi"/>
          <w:b/>
          <w:sz w:val="24"/>
          <w:szCs w:val="24"/>
        </w:rPr>
        <w:t>/1</w:t>
      </w:r>
      <w:r w:rsidR="00FD611A">
        <w:rPr>
          <w:rFonts w:asciiTheme="minorHAnsi" w:hAnsiTheme="minorHAnsi" w:cstheme="minorHAnsi"/>
          <w:b/>
          <w:sz w:val="24"/>
          <w:szCs w:val="24"/>
        </w:rPr>
        <w:t>8</w:t>
      </w:r>
    </w:p>
    <w:p w:rsidR="00601DC5" w:rsidRPr="00D64C29" w:rsidRDefault="00601DC5" w:rsidP="00601DC5">
      <w:pPr>
        <w:pBdr>
          <w:bottom w:val="single" w:sz="6" w:space="1" w:color="000000"/>
        </w:pBdr>
        <w:jc w:val="center"/>
        <w:rPr>
          <w:rFonts w:asciiTheme="minorHAnsi" w:hAnsiTheme="minorHAnsi" w:cstheme="minorHAnsi"/>
          <w:b/>
          <w:sz w:val="10"/>
          <w:szCs w:val="10"/>
        </w:rPr>
      </w:pPr>
    </w:p>
    <w:p w:rsidR="00601DC5" w:rsidRPr="00D64C29" w:rsidRDefault="00601DC5" w:rsidP="00601DC5">
      <w:pPr>
        <w:jc w:val="center"/>
        <w:rPr>
          <w:rFonts w:asciiTheme="minorHAnsi" w:hAnsiTheme="minorHAnsi" w:cstheme="minorHAnsi"/>
          <w:sz w:val="16"/>
          <w:szCs w:val="16"/>
        </w:rPr>
      </w:pPr>
    </w:p>
    <w:p w:rsidR="00601DC5" w:rsidRPr="00D64C29" w:rsidRDefault="00601DC5" w:rsidP="00601DC5">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ve smyslu § 159 a násl. zákona č. 500/2004 Sb., správní řád, ve znění pozdějších předpisů </w:t>
      </w:r>
    </w:p>
    <w:p w:rsidR="00601DC5" w:rsidRPr="00D64C29" w:rsidRDefault="00601DC5" w:rsidP="00601DC5">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rsidR="00601DC5" w:rsidRPr="00D64C29" w:rsidRDefault="00601DC5" w:rsidP="00601DC5">
      <w:pPr>
        <w:jc w:val="center"/>
        <w:rPr>
          <w:rFonts w:asciiTheme="minorHAnsi" w:hAnsiTheme="minorHAnsi" w:cstheme="minorHAnsi"/>
          <w:b/>
          <w:bCs/>
          <w:sz w:val="22"/>
          <w:szCs w:val="22"/>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w:t>
      </w:r>
    </w:p>
    <w:p w:rsidR="00601DC5" w:rsidRPr="00D64C29" w:rsidRDefault="00601DC5" w:rsidP="00601DC5">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601DC5" w:rsidRPr="00D64C29" w:rsidRDefault="00601DC5" w:rsidP="00601DC5">
      <w:pPr>
        <w:pStyle w:val="Zkladntext"/>
        <w:jc w:val="both"/>
        <w:rPr>
          <w:rFonts w:asciiTheme="minorHAnsi" w:hAnsiTheme="minorHAnsi" w:cstheme="minorHAnsi"/>
          <w:sz w:val="20"/>
          <w:szCs w:val="20"/>
        </w:rPr>
      </w:pPr>
      <w:r w:rsidRPr="00D64C29">
        <w:rPr>
          <w:rFonts w:asciiTheme="minorHAnsi" w:hAnsiTheme="minorHAnsi" w:cstheme="minorHAnsi"/>
          <w:sz w:val="20"/>
          <w:szCs w:val="20"/>
        </w:rPr>
        <w:t xml:space="preserve">Zastupitelstvo města rozhodlo na základě podané žádosti o poskytnutí dotace svým usnesením č. </w:t>
      </w:r>
      <w:r w:rsidR="00934EF6">
        <w:rPr>
          <w:rFonts w:asciiTheme="minorHAnsi" w:hAnsiTheme="minorHAnsi" w:cstheme="minorHAnsi"/>
          <w:sz w:val="20"/>
          <w:szCs w:val="20"/>
        </w:rPr>
        <w:t>Z909/34</w:t>
      </w:r>
      <w:bookmarkStart w:id="0" w:name="_GoBack"/>
      <w:bookmarkEnd w:id="0"/>
      <w:r w:rsidR="00B43185">
        <w:rPr>
          <w:rFonts w:asciiTheme="minorHAnsi" w:hAnsiTheme="minorHAnsi" w:cstheme="minorHAnsi"/>
          <w:sz w:val="20"/>
          <w:szCs w:val="20"/>
        </w:rPr>
        <w:t xml:space="preserve"> </w:t>
      </w:r>
      <w:r w:rsidR="00601F58">
        <w:rPr>
          <w:rFonts w:asciiTheme="minorHAnsi" w:hAnsiTheme="minorHAnsi" w:cstheme="minorHAnsi"/>
          <w:sz w:val="20"/>
          <w:szCs w:val="20"/>
        </w:rPr>
        <w:t xml:space="preserve"> </w:t>
      </w:r>
      <w:r w:rsidRPr="00D64C29">
        <w:rPr>
          <w:rFonts w:asciiTheme="minorHAnsi" w:hAnsiTheme="minorHAnsi" w:cstheme="minorHAnsi"/>
          <w:sz w:val="20"/>
          <w:szCs w:val="20"/>
        </w:rPr>
        <w:t xml:space="preserve">ze dne </w:t>
      </w:r>
      <w:r w:rsidR="00B43185">
        <w:rPr>
          <w:rFonts w:asciiTheme="minorHAnsi" w:hAnsiTheme="minorHAnsi" w:cstheme="minorHAnsi"/>
          <w:sz w:val="20"/>
          <w:szCs w:val="20"/>
        </w:rPr>
        <w:t>26</w:t>
      </w:r>
      <w:r w:rsidR="002E2D37">
        <w:rPr>
          <w:rFonts w:asciiTheme="minorHAnsi" w:hAnsiTheme="minorHAnsi" w:cstheme="minorHAnsi"/>
          <w:sz w:val="20"/>
          <w:szCs w:val="20"/>
        </w:rPr>
        <w:t>.</w:t>
      </w:r>
      <w:r w:rsidR="00B43185">
        <w:rPr>
          <w:rFonts w:asciiTheme="minorHAnsi" w:hAnsiTheme="minorHAnsi" w:cstheme="minorHAnsi"/>
          <w:sz w:val="20"/>
          <w:szCs w:val="20"/>
        </w:rPr>
        <w:t>04</w:t>
      </w:r>
      <w:r w:rsidR="002E2D37">
        <w:rPr>
          <w:rFonts w:asciiTheme="minorHAnsi" w:hAnsiTheme="minorHAnsi" w:cstheme="minorHAnsi"/>
          <w:sz w:val="20"/>
          <w:szCs w:val="20"/>
        </w:rPr>
        <w:t>.</w:t>
      </w:r>
      <w:r w:rsidRPr="00D64C29">
        <w:rPr>
          <w:rFonts w:asciiTheme="minorHAnsi" w:hAnsiTheme="minorHAnsi" w:cstheme="minorHAnsi"/>
          <w:sz w:val="20"/>
          <w:szCs w:val="20"/>
        </w:rPr>
        <w:t>201</w:t>
      </w:r>
      <w:r w:rsidR="00B43185">
        <w:rPr>
          <w:rFonts w:asciiTheme="minorHAnsi" w:hAnsiTheme="minorHAnsi" w:cstheme="minorHAnsi"/>
          <w:sz w:val="20"/>
          <w:szCs w:val="20"/>
        </w:rPr>
        <w:t>8</w:t>
      </w:r>
      <w:r w:rsidRPr="00D64C29">
        <w:rPr>
          <w:rFonts w:asciiTheme="minorHAnsi" w:hAnsiTheme="minorHAnsi" w:cstheme="minorHAnsi"/>
          <w:sz w:val="20"/>
          <w:szCs w:val="20"/>
        </w:rPr>
        <w:t xml:space="preserve">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601DC5" w:rsidRPr="00D64C29" w:rsidRDefault="00601DC5" w:rsidP="00601DC5">
      <w:pPr>
        <w:autoSpaceDE w:val="0"/>
        <w:adjustRightInd w:val="0"/>
        <w:jc w:val="center"/>
        <w:rPr>
          <w:rFonts w:asciiTheme="minorHAnsi" w:hAnsiTheme="minorHAnsi" w:cstheme="minorHAnsi"/>
          <w:b/>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II.</w:t>
      </w:r>
    </w:p>
    <w:p w:rsidR="00601DC5" w:rsidRPr="00E6024C" w:rsidRDefault="00601DC5" w:rsidP="00601DC5">
      <w:pPr>
        <w:pStyle w:val="Nadpis3"/>
        <w:rPr>
          <w:rFonts w:asciiTheme="minorHAnsi" w:hAnsiTheme="minorHAnsi" w:cstheme="minorHAnsi"/>
          <w:b/>
          <w:szCs w:val="22"/>
        </w:rPr>
      </w:pPr>
      <w:r w:rsidRPr="00E6024C">
        <w:rPr>
          <w:rFonts w:asciiTheme="minorHAnsi" w:hAnsiTheme="minorHAnsi" w:cstheme="minorHAnsi"/>
          <w:b/>
          <w:szCs w:val="22"/>
        </w:rPr>
        <w:t>Poskytovatel a příjemce dotace</w:t>
      </w:r>
    </w:p>
    <w:p w:rsidR="00601DC5" w:rsidRPr="00E6024C" w:rsidRDefault="00601DC5" w:rsidP="00601DC5">
      <w:pPr>
        <w:jc w:val="both"/>
        <w:rPr>
          <w:rFonts w:asciiTheme="minorHAnsi" w:hAnsiTheme="minorHAnsi" w:cstheme="minorHAnsi"/>
          <w:b/>
          <w:bCs/>
          <w:sz w:val="22"/>
          <w:szCs w:val="22"/>
        </w:rPr>
      </w:pPr>
    </w:p>
    <w:p w:rsidR="00601DC5" w:rsidRPr="00601DC5" w:rsidRDefault="00601DC5" w:rsidP="00601DC5">
      <w:pPr>
        <w:autoSpaceDE w:val="0"/>
        <w:adjustRightInd w:val="0"/>
        <w:jc w:val="both"/>
        <w:rPr>
          <w:rFonts w:asciiTheme="minorHAnsi" w:hAnsiTheme="minorHAnsi" w:cstheme="minorHAnsi"/>
          <w:sz w:val="22"/>
          <w:szCs w:val="22"/>
        </w:rPr>
      </w:pPr>
      <w:r w:rsidRPr="00601DC5">
        <w:rPr>
          <w:rFonts w:asciiTheme="minorHAnsi" w:hAnsiTheme="minorHAnsi" w:cstheme="minorHAnsi"/>
          <w:sz w:val="22"/>
          <w:szCs w:val="22"/>
        </w:rPr>
        <w:t>1. Poskytovatelem dotace podle této smlouvy je:</w:t>
      </w:r>
    </w:p>
    <w:p w:rsidR="00601DC5" w:rsidRPr="00601DC5" w:rsidRDefault="00601DC5" w:rsidP="00601DC5">
      <w:pPr>
        <w:rPr>
          <w:rFonts w:asciiTheme="minorHAnsi" w:hAnsiTheme="minorHAnsi" w:cstheme="minorHAnsi"/>
          <w:b/>
          <w:sz w:val="22"/>
          <w:szCs w:val="22"/>
        </w:rPr>
      </w:pPr>
      <w:r w:rsidRPr="00601DC5">
        <w:rPr>
          <w:rFonts w:asciiTheme="minorHAnsi" w:hAnsiTheme="minorHAnsi" w:cstheme="minorHAnsi"/>
          <w:b/>
          <w:sz w:val="22"/>
          <w:szCs w:val="22"/>
        </w:rPr>
        <w:t>Město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Zastoupené:</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Mgr. Kamilou Bláhovou, starostkou města</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Městský úřad Litvínov, 436 01 Litvínov, náměstí Míru 11</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00266027</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CZ000266027</w:t>
      </w:r>
    </w:p>
    <w:p w:rsidR="00601DC5" w:rsidRPr="00601DC5" w:rsidRDefault="00601DC5" w:rsidP="00601DC5">
      <w:pPr>
        <w:ind w:left="2832" w:hanging="2832"/>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t>Komerční banka, a.s., expozitura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č.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90050001326491/0100</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poskytovatel</w:t>
      </w:r>
      <w:r w:rsidRPr="00601DC5">
        <w:rPr>
          <w:rFonts w:asciiTheme="minorHAnsi" w:hAnsiTheme="minorHAnsi" w:cstheme="minorHAnsi"/>
          <w:sz w:val="22"/>
          <w:szCs w:val="22"/>
        </w:rPr>
        <w:t>“)</w:t>
      </w:r>
    </w:p>
    <w:p w:rsidR="00601DC5" w:rsidRPr="00601DC5" w:rsidRDefault="00601DC5" w:rsidP="00601DC5">
      <w:pPr>
        <w:jc w:val="both"/>
        <w:rPr>
          <w:rFonts w:asciiTheme="minorHAnsi" w:hAnsiTheme="minorHAnsi" w:cstheme="minorHAnsi"/>
          <w:sz w:val="22"/>
          <w:szCs w:val="22"/>
        </w:rPr>
      </w:pPr>
    </w:p>
    <w:p w:rsidR="00601DC5" w:rsidRPr="00601DC5" w:rsidRDefault="00601DC5" w:rsidP="00601DC5">
      <w:pPr>
        <w:pStyle w:val="Zkladntext3"/>
        <w:rPr>
          <w:rFonts w:asciiTheme="minorHAnsi" w:hAnsiTheme="minorHAnsi" w:cstheme="minorHAnsi"/>
          <w:sz w:val="22"/>
          <w:szCs w:val="22"/>
        </w:rPr>
      </w:pPr>
    </w:p>
    <w:p w:rsidR="00601DC5" w:rsidRPr="00601DC5" w:rsidRDefault="00601DC5" w:rsidP="00601DC5">
      <w:pPr>
        <w:pStyle w:val="Zkladntext3"/>
        <w:spacing w:after="0"/>
        <w:rPr>
          <w:rFonts w:asciiTheme="minorHAnsi" w:hAnsiTheme="minorHAnsi" w:cstheme="minorHAnsi"/>
          <w:sz w:val="22"/>
          <w:szCs w:val="22"/>
        </w:rPr>
      </w:pPr>
      <w:r w:rsidRPr="00601DC5">
        <w:rPr>
          <w:rFonts w:asciiTheme="minorHAnsi" w:hAnsiTheme="minorHAnsi" w:cstheme="minorHAnsi"/>
          <w:sz w:val="22"/>
          <w:szCs w:val="22"/>
        </w:rPr>
        <w:t>2. Příjemcem dotace podle této smlouvy je:</w:t>
      </w:r>
    </w:p>
    <w:p w:rsidR="00067275" w:rsidRPr="00601DC5" w:rsidRDefault="00067275" w:rsidP="00067275">
      <w:pPr>
        <w:jc w:val="both"/>
        <w:rPr>
          <w:rFonts w:asciiTheme="minorHAnsi" w:hAnsiTheme="minorHAnsi" w:cstheme="minorHAnsi"/>
          <w:b/>
          <w:bCs/>
          <w:sz w:val="22"/>
          <w:szCs w:val="22"/>
        </w:rPr>
      </w:pPr>
      <w:r w:rsidRPr="00601DC5">
        <w:rPr>
          <w:rFonts w:asciiTheme="minorHAnsi" w:hAnsiTheme="minorHAnsi" w:cstheme="minorHAnsi"/>
          <w:b/>
          <w:bCs/>
          <w:sz w:val="22"/>
          <w:szCs w:val="22"/>
        </w:rPr>
        <w:t>SPORTaS, s.</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r.</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o.</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zastoupen</w:t>
      </w:r>
      <w:r w:rsidR="00601DC5" w:rsidRPr="00601DC5">
        <w:rPr>
          <w:rFonts w:asciiTheme="minorHAnsi" w:hAnsiTheme="minorHAnsi" w:cstheme="minorHAnsi"/>
          <w:sz w:val="22"/>
          <w:szCs w:val="22"/>
        </w:rPr>
        <w:t>ý</w:t>
      </w:r>
      <w:r w:rsidRPr="00601DC5">
        <w:rPr>
          <w:rFonts w:asciiTheme="minorHAnsi" w:hAnsiTheme="minorHAnsi" w:cstheme="minorHAnsi"/>
          <w:sz w:val="22"/>
          <w:szCs w:val="22"/>
        </w:rPr>
        <w:t>:</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Ing. Miroslavem Otcovským, jednatelem</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Jiráskova 413, 436 01 Litvínov</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IČO: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25005430</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CZ25005430 plátce DPH</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r>
      <w:r w:rsidRPr="00601DC5">
        <w:rPr>
          <w:rFonts w:asciiTheme="minorHAnsi" w:hAnsiTheme="minorHAnsi" w:cstheme="minorHAnsi"/>
          <w:sz w:val="22"/>
          <w:szCs w:val="22"/>
        </w:rPr>
        <w:tab/>
      </w:r>
      <w:proofErr w:type="spellStart"/>
      <w:r w:rsidR="00777BB5">
        <w:rPr>
          <w:rFonts w:asciiTheme="minorHAnsi" w:hAnsiTheme="minorHAnsi" w:cstheme="minorHAnsi"/>
          <w:sz w:val="22"/>
          <w:szCs w:val="22"/>
        </w:rPr>
        <w:t>xxxxxxxxxxxxx</w:t>
      </w:r>
      <w:proofErr w:type="spellEnd"/>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číslo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proofErr w:type="spellStart"/>
      <w:r w:rsidR="00777BB5">
        <w:rPr>
          <w:rFonts w:asciiTheme="minorHAnsi" w:hAnsiTheme="minorHAnsi" w:cstheme="minorHAnsi"/>
          <w:sz w:val="22"/>
          <w:szCs w:val="22"/>
        </w:rPr>
        <w:t>xxxxxxxxxxxxxxxxxx</w:t>
      </w:r>
      <w:proofErr w:type="spellEnd"/>
    </w:p>
    <w:p w:rsidR="00067275" w:rsidRPr="00601DC5" w:rsidRDefault="00067275" w:rsidP="00067275">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Zapsaná v obchodním rejstříku, vedeným Krajským soudem v Ústí nad Labem, oddíl C, vložka 10590</w:t>
      </w:r>
    </w:p>
    <w:p w:rsidR="00067275" w:rsidRPr="00601DC5" w:rsidRDefault="00067275" w:rsidP="00067275">
      <w:pPr>
        <w:tabs>
          <w:tab w:val="left" w:pos="360"/>
        </w:tabs>
        <w:ind w:right="51"/>
        <w:rPr>
          <w:rFonts w:asciiTheme="minorHAnsi" w:hAnsiTheme="minorHAnsi" w:cstheme="minorHAnsi"/>
          <w: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 xml:space="preserve">příjemce“ </w:t>
      </w:r>
      <w:r w:rsidRPr="00601DC5">
        <w:rPr>
          <w:rFonts w:asciiTheme="minorHAnsi" w:hAnsiTheme="minorHAnsi" w:cstheme="minorHAnsi"/>
          <w:sz w:val="22"/>
          <w:szCs w:val="22"/>
        </w:rPr>
        <w:t xml:space="preserve">či </w:t>
      </w:r>
      <w:r w:rsidRPr="00601DC5">
        <w:rPr>
          <w:rFonts w:asciiTheme="minorHAnsi" w:hAnsiTheme="minorHAnsi" w:cstheme="minorHAnsi"/>
          <w:i/>
          <w:sz w:val="22"/>
          <w:szCs w:val="22"/>
        </w:rPr>
        <w:t>„poskytovatel závazku veřejné služby)</w:t>
      </w:r>
    </w:p>
    <w:p w:rsidR="00067275" w:rsidRPr="00601DC5" w:rsidRDefault="00067275" w:rsidP="00067275">
      <w:pPr>
        <w:tabs>
          <w:tab w:val="left" w:pos="360"/>
        </w:tabs>
        <w:ind w:right="51"/>
        <w:rPr>
          <w:rFonts w:ascii="Arial" w:hAnsi="Arial" w:cs="Arial"/>
          <w:i/>
          <w:sz w:val="22"/>
          <w:szCs w:val="22"/>
        </w:rPr>
      </w:pPr>
    </w:p>
    <w:p w:rsidR="00601DC5" w:rsidRPr="00930F19"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rsidR="00601DC5"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rsidR="005E1E9D" w:rsidRPr="00930F19" w:rsidRDefault="005E1E9D" w:rsidP="00601DC5">
      <w:pPr>
        <w:tabs>
          <w:tab w:val="left" w:pos="360"/>
        </w:tabs>
        <w:ind w:right="51"/>
        <w:jc w:val="center"/>
        <w:rPr>
          <w:rFonts w:ascii="Calibri" w:hAnsi="Calibri" w:cs="Calibri"/>
          <w:b/>
          <w:sz w:val="22"/>
          <w:szCs w:val="22"/>
        </w:rPr>
      </w:pPr>
    </w:p>
    <w:p w:rsidR="008A5A53" w:rsidRPr="003F46AC" w:rsidRDefault="00601DC5" w:rsidP="003F46AC">
      <w:pPr>
        <w:pStyle w:val="Odstavecseseznamem"/>
        <w:numPr>
          <w:ilvl w:val="0"/>
          <w:numId w:val="9"/>
        </w:numPr>
        <w:tabs>
          <w:tab w:val="left" w:pos="360"/>
        </w:tabs>
        <w:ind w:right="51"/>
        <w:jc w:val="both"/>
        <w:rPr>
          <w:rFonts w:asciiTheme="minorHAnsi" w:hAnsiTheme="minorHAnsi" w:cstheme="minorHAnsi"/>
          <w:sz w:val="22"/>
          <w:szCs w:val="22"/>
        </w:rPr>
      </w:pPr>
      <w:r w:rsidRPr="003F46AC">
        <w:rPr>
          <w:rFonts w:asciiTheme="minorHAnsi" w:hAnsiTheme="minorHAnsi" w:cstheme="minorHAnsi"/>
          <w:sz w:val="22"/>
          <w:szCs w:val="22"/>
        </w:rPr>
        <w:t>Účelem dotace je poskytnutí peněžních prostředků</w:t>
      </w:r>
      <w:r w:rsidR="007D5263" w:rsidRPr="003F46AC">
        <w:rPr>
          <w:rFonts w:asciiTheme="minorHAnsi" w:hAnsiTheme="minorHAnsi" w:cstheme="minorHAnsi"/>
          <w:sz w:val="22"/>
          <w:szCs w:val="22"/>
        </w:rPr>
        <w:t xml:space="preserve"> na projekt </w:t>
      </w:r>
      <w:r w:rsidR="007D5263" w:rsidRPr="003F46AC">
        <w:rPr>
          <w:rFonts w:asciiTheme="minorHAnsi" w:hAnsiTheme="minorHAnsi" w:cstheme="minorHAnsi"/>
          <w:b/>
          <w:i/>
          <w:sz w:val="22"/>
          <w:szCs w:val="22"/>
        </w:rPr>
        <w:t>„</w:t>
      </w:r>
      <w:r w:rsidR="00B43185">
        <w:rPr>
          <w:rFonts w:asciiTheme="minorHAnsi" w:hAnsiTheme="minorHAnsi" w:cstheme="minorHAnsi"/>
          <w:b/>
          <w:i/>
          <w:sz w:val="22"/>
          <w:szCs w:val="22"/>
        </w:rPr>
        <w:t>Vybudování skateparku</w:t>
      </w:r>
      <w:r w:rsidR="007D5263" w:rsidRPr="003F46AC">
        <w:rPr>
          <w:rFonts w:asciiTheme="minorHAnsi" w:hAnsiTheme="minorHAnsi" w:cstheme="minorHAnsi"/>
          <w:b/>
          <w:i/>
          <w:sz w:val="22"/>
          <w:szCs w:val="22"/>
        </w:rPr>
        <w:t>“</w:t>
      </w:r>
      <w:r w:rsidR="007D5263" w:rsidRPr="003F46AC">
        <w:rPr>
          <w:rFonts w:asciiTheme="minorHAnsi" w:hAnsiTheme="minorHAnsi" w:cstheme="minorHAnsi"/>
          <w:sz w:val="22"/>
          <w:szCs w:val="22"/>
        </w:rPr>
        <w:t>. Jedná se o</w:t>
      </w:r>
      <w:r w:rsidR="008A5A53" w:rsidRPr="003F46AC">
        <w:rPr>
          <w:rFonts w:asciiTheme="minorHAnsi" w:hAnsiTheme="minorHAnsi" w:cstheme="minorHAnsi"/>
          <w:sz w:val="22"/>
          <w:szCs w:val="22"/>
        </w:rPr>
        <w:t xml:space="preserve"> úhradu nákladů </w:t>
      </w:r>
      <w:r w:rsidR="00AE13D0" w:rsidRPr="003F46AC">
        <w:rPr>
          <w:rFonts w:asciiTheme="minorHAnsi" w:hAnsiTheme="minorHAnsi" w:cstheme="minorHAnsi"/>
          <w:sz w:val="22"/>
          <w:szCs w:val="22"/>
        </w:rPr>
        <w:t>spojených s</w:t>
      </w:r>
      <w:r w:rsidR="00B43185">
        <w:rPr>
          <w:rFonts w:asciiTheme="minorHAnsi" w:hAnsiTheme="minorHAnsi" w:cstheme="minorHAnsi"/>
          <w:sz w:val="22"/>
          <w:szCs w:val="22"/>
        </w:rPr>
        <w:t xml:space="preserve">e zbudováním nového skateparku v areálu centrálních tenisových kurtů </w:t>
      </w:r>
      <w:proofErr w:type="gramStart"/>
      <w:r w:rsidR="00B43185">
        <w:rPr>
          <w:rFonts w:asciiTheme="minorHAnsi" w:hAnsiTheme="minorHAnsi" w:cstheme="minorHAnsi"/>
          <w:sz w:val="22"/>
          <w:szCs w:val="22"/>
        </w:rPr>
        <w:t>č.p.</w:t>
      </w:r>
      <w:proofErr w:type="gramEnd"/>
      <w:r w:rsidR="00B43185">
        <w:rPr>
          <w:rFonts w:asciiTheme="minorHAnsi" w:hAnsiTheme="minorHAnsi" w:cstheme="minorHAnsi"/>
          <w:sz w:val="22"/>
          <w:szCs w:val="22"/>
        </w:rPr>
        <w:t xml:space="preserve"> 2704/1 v </w:t>
      </w:r>
      <w:proofErr w:type="spellStart"/>
      <w:r w:rsidR="00B43185">
        <w:rPr>
          <w:rFonts w:asciiTheme="minorHAnsi" w:hAnsiTheme="minorHAnsi" w:cstheme="minorHAnsi"/>
          <w:sz w:val="22"/>
          <w:szCs w:val="22"/>
        </w:rPr>
        <w:t>k.ú</w:t>
      </w:r>
      <w:proofErr w:type="spellEnd"/>
      <w:r w:rsidR="00B43185">
        <w:rPr>
          <w:rFonts w:asciiTheme="minorHAnsi" w:hAnsiTheme="minorHAnsi" w:cstheme="minorHAnsi"/>
          <w:sz w:val="22"/>
          <w:szCs w:val="22"/>
        </w:rPr>
        <w:t>. Horní Litvínov vč. oplocení a tribun</w:t>
      </w:r>
      <w:r w:rsidR="00B91243" w:rsidRPr="003F46AC">
        <w:rPr>
          <w:rFonts w:asciiTheme="minorHAnsi" w:hAnsiTheme="minorHAnsi" w:cstheme="minorHAnsi"/>
          <w:sz w:val="22"/>
          <w:szCs w:val="22"/>
        </w:rPr>
        <w:t>.</w:t>
      </w:r>
    </w:p>
    <w:p w:rsidR="008A5A53" w:rsidRPr="00A038FB" w:rsidRDefault="008A5A53" w:rsidP="008A5A53">
      <w:pPr>
        <w:jc w:val="both"/>
        <w:rPr>
          <w:rFonts w:asciiTheme="minorHAnsi" w:hAnsiTheme="minorHAnsi" w:cstheme="minorHAnsi"/>
          <w:sz w:val="22"/>
          <w:szCs w:val="22"/>
        </w:rPr>
      </w:pPr>
    </w:p>
    <w:p w:rsidR="008A5A53" w:rsidRPr="003F46AC" w:rsidRDefault="008A5A53" w:rsidP="003F46AC">
      <w:pPr>
        <w:pStyle w:val="Odstavecseseznamem"/>
        <w:numPr>
          <w:ilvl w:val="0"/>
          <w:numId w:val="9"/>
        </w:numPr>
        <w:jc w:val="both"/>
        <w:rPr>
          <w:rFonts w:asciiTheme="minorHAnsi" w:hAnsiTheme="minorHAnsi" w:cstheme="minorHAnsi"/>
          <w:sz w:val="22"/>
          <w:szCs w:val="22"/>
        </w:rPr>
      </w:pPr>
      <w:r w:rsidRPr="003F46AC">
        <w:rPr>
          <w:rFonts w:asciiTheme="minorHAnsi" w:hAnsiTheme="minorHAnsi" w:cstheme="minorHAnsi"/>
          <w:sz w:val="22"/>
          <w:szCs w:val="22"/>
        </w:rPr>
        <w:t xml:space="preserve"> Poskytnutí dotace bylo schváleno na základě smluvními stranami uzavřené Smlouvy o poskytování služeb obecného hospodářského zájmu </w:t>
      </w:r>
      <w:r w:rsidR="005E1E9D" w:rsidRPr="003F46AC">
        <w:rPr>
          <w:rFonts w:asciiTheme="minorHAnsi" w:hAnsiTheme="minorHAnsi" w:cstheme="minorHAnsi"/>
          <w:sz w:val="22"/>
          <w:szCs w:val="22"/>
        </w:rPr>
        <w:t xml:space="preserve">(dále také jako „SOHZ“) </w:t>
      </w:r>
      <w:r w:rsidRPr="003F46AC">
        <w:rPr>
          <w:rFonts w:asciiTheme="minorHAnsi" w:hAnsiTheme="minorHAnsi" w:cstheme="minorHAnsi"/>
          <w:sz w:val="22"/>
          <w:szCs w:val="22"/>
        </w:rPr>
        <w:t>č. KT/7924/14</w:t>
      </w:r>
      <w:r w:rsidR="005E1E9D" w:rsidRPr="003F46AC">
        <w:rPr>
          <w:rFonts w:asciiTheme="minorHAnsi" w:hAnsiTheme="minorHAnsi" w:cstheme="minorHAnsi"/>
          <w:sz w:val="22"/>
          <w:szCs w:val="22"/>
        </w:rPr>
        <w:t xml:space="preserve">, </w:t>
      </w:r>
      <w:r w:rsidR="006901BA" w:rsidRPr="00341A28">
        <w:rPr>
          <w:rFonts w:asciiTheme="minorHAnsi" w:hAnsiTheme="minorHAnsi" w:cstheme="minorHAnsi"/>
          <w:sz w:val="22"/>
          <w:szCs w:val="22"/>
        </w:rPr>
        <w:t>vč. všech dodatků</w:t>
      </w:r>
      <w:r w:rsidRPr="003F46AC">
        <w:rPr>
          <w:rFonts w:asciiTheme="minorHAnsi" w:hAnsiTheme="minorHAnsi" w:cstheme="minorHAnsi"/>
          <w:sz w:val="22"/>
          <w:szCs w:val="22"/>
        </w:rPr>
        <w:t xml:space="preserve">, kde se příjemce zavázal k vytváření vhodných podmínek pro uspokojování sportovních aktivit občanů na sportovištích na území města Litvínov a atletickém stadionu v obci Meziboří a zajišťování a poskytování služeb s tímto spojeným (označeno také jako „závazek veřejné služby“) a k poskytování činností představujících závazek veřejné služby, </w:t>
      </w:r>
      <w:r w:rsidRPr="003F46AC">
        <w:rPr>
          <w:rFonts w:asciiTheme="minorHAnsi" w:hAnsiTheme="minorHAnsi" w:cstheme="minorHAnsi"/>
          <w:sz w:val="22"/>
          <w:szCs w:val="22"/>
        </w:rPr>
        <w:lastRenderedPageBreak/>
        <w:t>spočívající v poskytování kulturního zázemí, zajištění a organizaci kulturních a společenských aktivit v objektu CITADELA Podkrušnohorská, č. p. 1720, Litvínov (označeno také jako „závazek veřejné služby“).</w:t>
      </w:r>
    </w:p>
    <w:p w:rsidR="008A5A53" w:rsidRPr="00A038FB" w:rsidRDefault="008A5A53" w:rsidP="00601DC5">
      <w:pPr>
        <w:tabs>
          <w:tab w:val="left" w:pos="360"/>
        </w:tabs>
        <w:ind w:right="51"/>
        <w:jc w:val="both"/>
        <w:rPr>
          <w:rFonts w:asciiTheme="minorHAnsi" w:hAnsiTheme="minorHAnsi" w:cstheme="minorHAnsi"/>
          <w:sz w:val="22"/>
          <w:szCs w:val="22"/>
        </w:rPr>
      </w:pPr>
    </w:p>
    <w:p w:rsidR="00601DC5" w:rsidRPr="003F46AC" w:rsidRDefault="00601DC5" w:rsidP="003F46AC">
      <w:pPr>
        <w:pStyle w:val="Odstavecseseznamem"/>
        <w:numPr>
          <w:ilvl w:val="0"/>
          <w:numId w:val="9"/>
        </w:numPr>
        <w:tabs>
          <w:tab w:val="left" w:pos="360"/>
        </w:tabs>
        <w:ind w:right="51"/>
        <w:jc w:val="both"/>
        <w:rPr>
          <w:rFonts w:asciiTheme="minorHAnsi" w:hAnsiTheme="minorHAnsi" w:cstheme="minorHAnsi"/>
          <w:sz w:val="22"/>
          <w:szCs w:val="22"/>
        </w:rPr>
      </w:pPr>
      <w:r w:rsidRPr="003F46AC">
        <w:rPr>
          <w:rFonts w:asciiTheme="minorHAnsi" w:hAnsiTheme="minorHAnsi" w:cstheme="minorHAnsi"/>
          <w:sz w:val="22"/>
          <w:szCs w:val="22"/>
        </w:rPr>
        <w:t xml:space="preserve">Projekt bude realizován v termínu od 1. 1. 2018 do 31. 12. 2018. Ukončení projektu je rovněž konečným termínem, kdy má být dosaženo účelu dotace. </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3F46AC" w:rsidRDefault="00601DC5" w:rsidP="003F46AC">
      <w:pPr>
        <w:pStyle w:val="Odstavecseseznamem"/>
        <w:numPr>
          <w:ilvl w:val="0"/>
          <w:numId w:val="9"/>
        </w:numPr>
        <w:tabs>
          <w:tab w:val="left" w:pos="360"/>
        </w:tabs>
        <w:ind w:right="51"/>
        <w:jc w:val="both"/>
        <w:rPr>
          <w:rFonts w:asciiTheme="minorHAnsi" w:hAnsiTheme="minorHAnsi" w:cstheme="minorHAnsi"/>
          <w:sz w:val="22"/>
          <w:szCs w:val="22"/>
        </w:rPr>
      </w:pPr>
      <w:r w:rsidRPr="003F46AC">
        <w:rPr>
          <w:rFonts w:asciiTheme="minorHAnsi" w:hAnsiTheme="minorHAnsi" w:cstheme="minorHAnsi"/>
          <w:sz w:val="22"/>
          <w:szCs w:val="22"/>
        </w:rPr>
        <w:t>Peněžní prostředky dotace nesmí příjemce poskytnout jiným právnickým nebo fyzickým osobám, pokud nejde o úhrady spojené s realizací projektu, na který byly poskytnuty a smí je zároveň použít jen k účelu, který je upraven v odst. 1 tohoto ustanovení.</w:t>
      </w:r>
    </w:p>
    <w:p w:rsidR="00601DC5" w:rsidRPr="00A038FB" w:rsidRDefault="00601DC5" w:rsidP="00601DC5">
      <w:pPr>
        <w:tabs>
          <w:tab w:val="left" w:pos="360"/>
        </w:tabs>
        <w:ind w:right="51"/>
        <w:jc w:val="both"/>
        <w:rPr>
          <w:rFonts w:asciiTheme="minorHAnsi" w:hAnsiTheme="minorHAnsi" w:cstheme="minorHAnsi"/>
          <w:sz w:val="22"/>
          <w:szCs w:val="22"/>
        </w:rPr>
      </w:pPr>
    </w:p>
    <w:p w:rsidR="003F46AC" w:rsidRDefault="003F46AC" w:rsidP="00601DC5">
      <w:pPr>
        <w:jc w:val="both"/>
        <w:rPr>
          <w:rFonts w:asciiTheme="minorHAnsi" w:hAnsiTheme="minorHAnsi" w:cstheme="minorHAnsi"/>
          <w:sz w:val="22"/>
          <w:szCs w:val="22"/>
        </w:rPr>
      </w:pPr>
    </w:p>
    <w:p w:rsidR="00601DC5" w:rsidRPr="00A038FB" w:rsidRDefault="00601DC5" w:rsidP="00E25917">
      <w:pPr>
        <w:ind w:left="360"/>
        <w:jc w:val="both"/>
        <w:rPr>
          <w:rFonts w:asciiTheme="minorHAnsi" w:hAnsiTheme="minorHAnsi" w:cstheme="minorHAnsi"/>
          <w:sz w:val="22"/>
          <w:szCs w:val="22"/>
        </w:rPr>
      </w:pPr>
      <w:r w:rsidRPr="00A038FB">
        <w:rPr>
          <w:rFonts w:asciiTheme="minorHAnsi" w:hAnsiTheme="minorHAnsi" w:cstheme="minorHAnsi"/>
          <w:sz w:val="22"/>
          <w:szCs w:val="22"/>
        </w:rPr>
        <w:t>Příjemce je povinen řídit se zejména ustanoveními této smlouvy, „SOHZ“ a Pravidly pro poskytování dotací města Litvínova.</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C326FF" w:rsidRDefault="00601DC5" w:rsidP="00601DC5">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rsidR="00601DC5" w:rsidRDefault="00601DC5" w:rsidP="00601DC5">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rsidR="005E1E9D" w:rsidRPr="00C326FF" w:rsidRDefault="005E1E9D" w:rsidP="00601DC5">
      <w:pPr>
        <w:tabs>
          <w:tab w:val="left" w:pos="360"/>
        </w:tabs>
        <w:ind w:right="51"/>
        <w:jc w:val="center"/>
        <w:rPr>
          <w:rFonts w:ascii="Calibri" w:hAnsi="Calibri" w:cs="Calibri"/>
          <w:b/>
          <w:sz w:val="22"/>
          <w:szCs w:val="22"/>
        </w:rPr>
      </w:pPr>
    </w:p>
    <w:p w:rsidR="00601DC5" w:rsidRPr="003F46AC" w:rsidRDefault="00601DC5" w:rsidP="003F46AC">
      <w:pPr>
        <w:pStyle w:val="Odstavecseseznamem"/>
        <w:numPr>
          <w:ilvl w:val="0"/>
          <w:numId w:val="10"/>
        </w:numPr>
        <w:tabs>
          <w:tab w:val="left" w:pos="360"/>
        </w:tabs>
        <w:ind w:right="51"/>
        <w:jc w:val="both"/>
        <w:rPr>
          <w:rFonts w:ascii="Calibri" w:hAnsi="Calibri" w:cs="Calibri"/>
          <w:sz w:val="22"/>
          <w:szCs w:val="22"/>
        </w:rPr>
      </w:pPr>
      <w:r w:rsidRPr="003F46AC">
        <w:rPr>
          <w:rFonts w:ascii="Calibri" w:hAnsi="Calibri" w:cs="Calibri"/>
          <w:sz w:val="22"/>
          <w:szCs w:val="22"/>
        </w:rPr>
        <w:t>Vyplacení dotace na účet příjemce proběhne následujícím způsobem:</w:t>
      </w:r>
    </w:p>
    <w:p w:rsidR="003F46AC" w:rsidRDefault="003F46AC" w:rsidP="00D46F7F">
      <w:pPr>
        <w:jc w:val="both"/>
        <w:rPr>
          <w:rFonts w:ascii="Calibri" w:hAnsi="Calibri" w:cs="Calibri"/>
          <w:sz w:val="22"/>
          <w:szCs w:val="22"/>
        </w:rPr>
      </w:pPr>
    </w:p>
    <w:p w:rsidR="00D46F7F" w:rsidRPr="009679B4" w:rsidRDefault="00601DC5" w:rsidP="00E25917">
      <w:pPr>
        <w:ind w:left="360"/>
        <w:jc w:val="both"/>
        <w:rPr>
          <w:rFonts w:ascii="Calibri" w:hAnsi="Calibri" w:cs="Calibri"/>
          <w:sz w:val="22"/>
          <w:szCs w:val="22"/>
        </w:rPr>
      </w:pPr>
      <w:r w:rsidRPr="00C326FF">
        <w:rPr>
          <w:rFonts w:ascii="Calibri" w:hAnsi="Calibri" w:cs="Calibri"/>
          <w:sz w:val="22"/>
          <w:szCs w:val="22"/>
        </w:rPr>
        <w:t>Celková výše dotace, tj.</w:t>
      </w:r>
      <w:r>
        <w:rPr>
          <w:rFonts w:ascii="Calibri" w:hAnsi="Calibri" w:cs="Calibri"/>
          <w:sz w:val="22"/>
          <w:szCs w:val="22"/>
        </w:rPr>
        <w:t xml:space="preserve"> </w:t>
      </w:r>
      <w:r w:rsidR="00B43185" w:rsidRPr="00B43185">
        <w:rPr>
          <w:rFonts w:ascii="Calibri" w:hAnsi="Calibri" w:cs="Calibri"/>
          <w:b/>
          <w:sz w:val="22"/>
          <w:szCs w:val="22"/>
        </w:rPr>
        <w:t>10.00</w:t>
      </w:r>
      <w:r w:rsidR="00AE13D0" w:rsidRPr="00B43185">
        <w:rPr>
          <w:rFonts w:ascii="Calibri" w:hAnsi="Calibri" w:cs="Calibri"/>
          <w:b/>
          <w:sz w:val="22"/>
          <w:szCs w:val="22"/>
        </w:rPr>
        <w:t>0</w:t>
      </w:r>
      <w:r w:rsidR="00AE13D0">
        <w:rPr>
          <w:rFonts w:ascii="Calibri" w:hAnsi="Calibri" w:cs="Calibri"/>
          <w:b/>
          <w:sz w:val="22"/>
          <w:szCs w:val="22"/>
        </w:rPr>
        <w:t>.</w:t>
      </w:r>
      <w:r w:rsidR="000A6FDF">
        <w:rPr>
          <w:rFonts w:ascii="Calibri" w:hAnsi="Calibri" w:cs="Calibri"/>
          <w:b/>
          <w:sz w:val="22"/>
          <w:szCs w:val="22"/>
        </w:rPr>
        <w:t>000</w:t>
      </w:r>
      <w:r w:rsidRPr="001E6358">
        <w:rPr>
          <w:rFonts w:ascii="Calibri" w:hAnsi="Calibri" w:cs="Calibri"/>
          <w:b/>
          <w:sz w:val="22"/>
          <w:szCs w:val="22"/>
        </w:rPr>
        <w:t>,- Kč</w:t>
      </w:r>
      <w:r>
        <w:rPr>
          <w:rFonts w:ascii="Calibri" w:hAnsi="Calibri" w:cs="Calibri"/>
          <w:sz w:val="22"/>
          <w:szCs w:val="22"/>
        </w:rPr>
        <w:t xml:space="preserve"> (slovy: </w:t>
      </w:r>
      <w:r w:rsidR="00B43185">
        <w:rPr>
          <w:rFonts w:ascii="Calibri" w:hAnsi="Calibri" w:cs="Calibri"/>
          <w:sz w:val="22"/>
          <w:szCs w:val="22"/>
        </w:rPr>
        <w:t>deset milionů</w:t>
      </w:r>
      <w:r w:rsidR="00AE13D0">
        <w:rPr>
          <w:rFonts w:ascii="Calibri" w:hAnsi="Calibri" w:cs="Calibri"/>
          <w:sz w:val="22"/>
          <w:szCs w:val="22"/>
        </w:rPr>
        <w:t xml:space="preserve"> </w:t>
      </w:r>
      <w:r>
        <w:rPr>
          <w:rFonts w:ascii="Calibri" w:hAnsi="Calibri" w:cs="Calibri"/>
          <w:sz w:val="22"/>
          <w:szCs w:val="22"/>
        </w:rPr>
        <w:t>korun českých)</w:t>
      </w:r>
      <w:r w:rsidRPr="00C326FF">
        <w:rPr>
          <w:rFonts w:ascii="Calibri" w:hAnsi="Calibri" w:cs="Calibri"/>
          <w:sz w:val="22"/>
          <w:szCs w:val="22"/>
        </w:rPr>
        <w:t>,</w:t>
      </w:r>
      <w:r w:rsidR="00D46F7F" w:rsidRPr="00D46F7F">
        <w:rPr>
          <w:rFonts w:ascii="Calibri" w:hAnsi="Calibri" w:cs="Calibri"/>
          <w:sz w:val="22"/>
          <w:szCs w:val="22"/>
        </w:rPr>
        <w:t xml:space="preserve"> </w:t>
      </w:r>
      <w:r w:rsidR="00D46F7F" w:rsidRPr="00C326FF">
        <w:rPr>
          <w:rFonts w:ascii="Calibri" w:hAnsi="Calibri" w:cs="Calibri"/>
          <w:sz w:val="22"/>
          <w:szCs w:val="22"/>
        </w:rPr>
        <w:t xml:space="preserve">bude vyplacena po nabytí platnosti a účinnosti smlouvy nejpozději do </w:t>
      </w:r>
      <w:r w:rsidR="00D46F7F">
        <w:rPr>
          <w:rFonts w:ascii="Calibri" w:hAnsi="Calibri" w:cs="Calibri"/>
          <w:sz w:val="22"/>
          <w:szCs w:val="22"/>
        </w:rPr>
        <w:t>30</w:t>
      </w:r>
      <w:r w:rsidR="00D46F7F" w:rsidRPr="00C326FF">
        <w:rPr>
          <w:rFonts w:ascii="Calibri" w:hAnsi="Calibri" w:cs="Calibri"/>
          <w:sz w:val="22"/>
          <w:szCs w:val="22"/>
        </w:rPr>
        <w:t xml:space="preserve"> dnů </w:t>
      </w:r>
      <w:proofErr w:type="gramStart"/>
      <w:r w:rsidR="00D46F7F" w:rsidRPr="00C326FF">
        <w:rPr>
          <w:rFonts w:ascii="Calibri" w:hAnsi="Calibri" w:cs="Calibri"/>
          <w:sz w:val="22"/>
          <w:szCs w:val="22"/>
        </w:rPr>
        <w:t xml:space="preserve">od </w:t>
      </w:r>
      <w:r w:rsidR="00B91243">
        <w:rPr>
          <w:rFonts w:ascii="Calibri" w:hAnsi="Calibri" w:cs="Calibri"/>
          <w:sz w:val="22"/>
          <w:szCs w:val="22"/>
        </w:rPr>
        <w:t xml:space="preserve"> dodání</w:t>
      </w:r>
      <w:proofErr w:type="gramEnd"/>
      <w:r w:rsidR="00B91243">
        <w:rPr>
          <w:rFonts w:ascii="Calibri" w:hAnsi="Calibri" w:cs="Calibri"/>
          <w:sz w:val="22"/>
          <w:szCs w:val="22"/>
        </w:rPr>
        <w:t xml:space="preserve"> požadovaných dokladů dle podmínek Pravidel pro poskytování dotací z rozpočtu města Litvínova č. 10 odst. 6) – rozpočet akce, cenová</w:t>
      </w:r>
      <w:r w:rsidR="00601F58">
        <w:rPr>
          <w:rFonts w:ascii="Calibri" w:hAnsi="Calibri" w:cs="Calibri"/>
          <w:sz w:val="22"/>
          <w:szCs w:val="22"/>
        </w:rPr>
        <w:t xml:space="preserve"> nabídka</w:t>
      </w:r>
      <w:r w:rsidR="00B91243">
        <w:rPr>
          <w:rFonts w:ascii="Calibri" w:hAnsi="Calibri" w:cs="Calibri"/>
          <w:sz w:val="22"/>
          <w:szCs w:val="22"/>
        </w:rPr>
        <w:t xml:space="preserve">, protokol o výběru zhotovitele, smlouva o dílo s dodavatelem atd. </w:t>
      </w:r>
    </w:p>
    <w:p w:rsidR="00F737AA" w:rsidRDefault="00F737AA" w:rsidP="00601DC5">
      <w:pPr>
        <w:jc w:val="both"/>
        <w:rPr>
          <w:rFonts w:ascii="Calibri" w:hAnsi="Calibri" w:cs="Calibri"/>
          <w:sz w:val="22"/>
          <w:szCs w:val="22"/>
        </w:rPr>
      </w:pPr>
    </w:p>
    <w:p w:rsidR="00601DC5" w:rsidRPr="003F46AC" w:rsidRDefault="00601DC5" w:rsidP="003F46AC">
      <w:pPr>
        <w:pStyle w:val="Odstavecseseznamem"/>
        <w:numPr>
          <w:ilvl w:val="0"/>
          <w:numId w:val="10"/>
        </w:numPr>
        <w:jc w:val="both"/>
        <w:rPr>
          <w:rFonts w:ascii="Calibri" w:hAnsi="Calibri" w:cs="Calibri"/>
          <w:sz w:val="22"/>
          <w:szCs w:val="22"/>
        </w:rPr>
      </w:pPr>
      <w:r w:rsidRPr="003F46AC">
        <w:rPr>
          <w:rFonts w:ascii="Calibri" w:hAnsi="Calibri" w:cs="Calibri"/>
          <w:sz w:val="22"/>
          <w:szCs w:val="22"/>
        </w:rPr>
        <w:t>Podmínkou poskytnutí finančních prostředků je řádné</w:t>
      </w:r>
      <w:r w:rsidR="0085518B" w:rsidRPr="003F46AC">
        <w:rPr>
          <w:rFonts w:ascii="Calibri" w:hAnsi="Calibri" w:cs="Calibri"/>
          <w:sz w:val="22"/>
          <w:szCs w:val="22"/>
        </w:rPr>
        <w:t xml:space="preserve"> plnění všech závazků příjemcem, a to zejména plnění „SOHZ“.</w:t>
      </w:r>
    </w:p>
    <w:p w:rsidR="00601DC5" w:rsidRPr="009679B4" w:rsidRDefault="00601DC5" w:rsidP="00601DC5">
      <w:pPr>
        <w:jc w:val="cente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Ustanovení o DPH</w:t>
      </w:r>
    </w:p>
    <w:p w:rsidR="005E1E9D" w:rsidRPr="00C326FF" w:rsidRDefault="005E1E9D" w:rsidP="00601DC5">
      <w:pPr>
        <w:jc w:val="center"/>
        <w:rPr>
          <w:rFonts w:ascii="Calibri" w:hAnsi="Calibri" w:cs="Calibri"/>
          <w:b/>
          <w:bCs/>
          <w:sz w:val="22"/>
          <w:szCs w:val="22"/>
        </w:rPr>
      </w:pPr>
    </w:p>
    <w:p w:rsidR="00601DC5" w:rsidRPr="00D64C29" w:rsidRDefault="00601DC5" w:rsidP="00E25917">
      <w:pPr>
        <w:ind w:left="708"/>
        <w:jc w:val="both"/>
        <w:rPr>
          <w:rFonts w:ascii="Calibri" w:hAnsi="Calibri" w:cs="Calibri"/>
          <w:bCs/>
          <w:sz w:val="22"/>
          <w:szCs w:val="22"/>
        </w:rPr>
      </w:pP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w:t>
      </w:r>
      <w:r w:rsidRPr="00D64C29">
        <w:rPr>
          <w:rFonts w:ascii="Calibri" w:hAnsi="Calibri" w:cs="Calibri"/>
          <w:bCs/>
          <w:sz w:val="22"/>
          <w:szCs w:val="22"/>
        </w:rPr>
        <w:lastRenderedPageBreak/>
        <w:t xml:space="preserve">přidělené dotaci bude vyhotoven dodatek ke smlouvě, ve kterém bude snížen nárok na dotaci o výši DPH, jež si příjemce bude uplatňovat u místně příslušného finančního úřadu.  </w:t>
      </w:r>
    </w:p>
    <w:p w:rsidR="00601DC5" w:rsidRPr="00C326FF" w:rsidRDefault="00601DC5" w:rsidP="00601DC5">
      <w:pPr>
        <w:jc w:val="both"/>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Uznatelné výdaje</w:t>
      </w:r>
    </w:p>
    <w:p w:rsidR="005E1E9D" w:rsidRPr="00C326FF" w:rsidRDefault="005E1E9D" w:rsidP="00601DC5">
      <w:pPr>
        <w:jc w:val="center"/>
        <w:rPr>
          <w:rFonts w:ascii="Calibri" w:hAnsi="Calibri" w:cs="Calibri"/>
          <w:b/>
          <w:bCs/>
          <w:sz w:val="22"/>
          <w:szCs w:val="22"/>
        </w:rPr>
      </w:pPr>
    </w:p>
    <w:p w:rsidR="00A038FB" w:rsidRDefault="00A038FB" w:rsidP="003F46AC">
      <w:pPr>
        <w:pStyle w:val="Odstavecseseznamem"/>
        <w:numPr>
          <w:ilvl w:val="0"/>
          <w:numId w:val="11"/>
        </w:numPr>
        <w:jc w:val="both"/>
        <w:rPr>
          <w:rFonts w:ascii="Calibri" w:hAnsi="Calibri" w:cs="Calibri"/>
          <w:bCs/>
          <w:sz w:val="22"/>
          <w:szCs w:val="22"/>
        </w:rPr>
      </w:pPr>
      <w:r w:rsidRPr="003F46AC">
        <w:rPr>
          <w:rFonts w:ascii="Calibri" w:hAnsi="Calibri" w:cs="Calibri"/>
          <w:bCs/>
          <w:sz w:val="22"/>
          <w:szCs w:val="22"/>
        </w:rPr>
        <w:t xml:space="preserve">Uznatelnými výdaji podle této smlouvy jsou: </w:t>
      </w:r>
    </w:p>
    <w:p w:rsidR="00E25917" w:rsidRPr="00E25917" w:rsidRDefault="00E25917" w:rsidP="00E25917">
      <w:pPr>
        <w:jc w:val="both"/>
        <w:rPr>
          <w:rFonts w:ascii="Calibri" w:hAnsi="Calibri" w:cs="Calibri"/>
          <w:bCs/>
          <w:sz w:val="22"/>
          <w:szCs w:val="22"/>
        </w:rPr>
      </w:pPr>
    </w:p>
    <w:p w:rsidR="00A038FB" w:rsidRPr="00924A6F" w:rsidRDefault="00D46F7F" w:rsidP="00A038FB">
      <w:pPr>
        <w:pStyle w:val="Odstavecseseznamem"/>
        <w:numPr>
          <w:ilvl w:val="0"/>
          <w:numId w:val="7"/>
        </w:numPr>
        <w:jc w:val="both"/>
        <w:rPr>
          <w:rFonts w:ascii="Calibri" w:hAnsi="Calibri" w:cs="Calibri"/>
          <w:b/>
          <w:bCs/>
          <w:sz w:val="22"/>
          <w:szCs w:val="22"/>
        </w:rPr>
      </w:pPr>
      <w:r w:rsidRPr="00924A6F">
        <w:rPr>
          <w:rFonts w:ascii="Calibri" w:hAnsi="Calibri" w:cs="Calibri"/>
          <w:b/>
          <w:bCs/>
          <w:sz w:val="22"/>
          <w:szCs w:val="22"/>
        </w:rPr>
        <w:t>náklady spojené s</w:t>
      </w:r>
      <w:r w:rsidR="00B43185">
        <w:rPr>
          <w:rFonts w:ascii="Calibri" w:hAnsi="Calibri" w:cs="Calibri"/>
          <w:b/>
          <w:bCs/>
          <w:sz w:val="22"/>
          <w:szCs w:val="22"/>
        </w:rPr>
        <w:t xml:space="preserve">e zbudováním nového skateparku v areálu centrálních tenisových kurtů </w:t>
      </w:r>
      <w:proofErr w:type="gramStart"/>
      <w:r w:rsidR="00B43185">
        <w:rPr>
          <w:rFonts w:ascii="Calibri" w:hAnsi="Calibri" w:cs="Calibri"/>
          <w:b/>
          <w:bCs/>
          <w:sz w:val="22"/>
          <w:szCs w:val="22"/>
        </w:rPr>
        <w:t>č.p.</w:t>
      </w:r>
      <w:proofErr w:type="gramEnd"/>
      <w:r w:rsidR="00B43185">
        <w:rPr>
          <w:rFonts w:ascii="Calibri" w:hAnsi="Calibri" w:cs="Calibri"/>
          <w:b/>
          <w:bCs/>
          <w:sz w:val="22"/>
          <w:szCs w:val="22"/>
        </w:rPr>
        <w:t xml:space="preserve"> 2704/1 v </w:t>
      </w:r>
      <w:proofErr w:type="spellStart"/>
      <w:r w:rsidR="00B43185">
        <w:rPr>
          <w:rFonts w:ascii="Calibri" w:hAnsi="Calibri" w:cs="Calibri"/>
          <w:b/>
          <w:bCs/>
          <w:sz w:val="22"/>
          <w:szCs w:val="22"/>
        </w:rPr>
        <w:t>k.ú</w:t>
      </w:r>
      <w:proofErr w:type="spellEnd"/>
      <w:r w:rsidR="00B43185">
        <w:rPr>
          <w:rFonts w:ascii="Calibri" w:hAnsi="Calibri" w:cs="Calibri"/>
          <w:b/>
          <w:bCs/>
          <w:sz w:val="22"/>
          <w:szCs w:val="22"/>
        </w:rPr>
        <w:t>. Horní Litvínov vč. oplocení a tribun.</w:t>
      </w:r>
    </w:p>
    <w:p w:rsidR="00601DC5" w:rsidRPr="00735984" w:rsidRDefault="00601DC5" w:rsidP="00601DC5">
      <w:pPr>
        <w:jc w:val="both"/>
        <w:rPr>
          <w:rFonts w:ascii="Calibri" w:hAnsi="Calibri" w:cs="Calibri"/>
          <w:bCs/>
          <w:sz w:val="22"/>
          <w:szCs w:val="22"/>
        </w:rPr>
      </w:pPr>
    </w:p>
    <w:p w:rsidR="00E25917" w:rsidRDefault="00601DC5" w:rsidP="00E25917">
      <w:pPr>
        <w:pStyle w:val="Odstavecseseznamem"/>
        <w:numPr>
          <w:ilvl w:val="0"/>
          <w:numId w:val="11"/>
        </w:numPr>
        <w:jc w:val="both"/>
        <w:rPr>
          <w:rFonts w:ascii="Calibri" w:hAnsi="Calibri" w:cs="Calibri"/>
          <w:bCs/>
          <w:sz w:val="22"/>
          <w:szCs w:val="22"/>
        </w:rPr>
      </w:pPr>
      <w:r w:rsidRPr="003F46AC">
        <w:rPr>
          <w:rFonts w:ascii="Calibri" w:hAnsi="Calibri" w:cs="Calibri"/>
          <w:bCs/>
          <w:sz w:val="22"/>
          <w:szCs w:val="22"/>
        </w:rPr>
        <w:t xml:space="preserve">Neuznatelnými výdaji podle této smlouvy jsou všechny ostatní výdaje, které by nesouvisely s projektem dle čl. III., odst. 1., případně výdaje, které by změnily charakter projektu na </w:t>
      </w:r>
      <w:proofErr w:type="spellStart"/>
      <w:r w:rsidR="00A82600" w:rsidRPr="003F46AC">
        <w:rPr>
          <w:rFonts w:ascii="Calibri" w:hAnsi="Calibri" w:cs="Calibri"/>
          <w:bCs/>
          <w:sz w:val="22"/>
          <w:szCs w:val="22"/>
        </w:rPr>
        <w:t>ne</w:t>
      </w:r>
      <w:r w:rsidRPr="003F46AC">
        <w:rPr>
          <w:rFonts w:ascii="Calibri" w:hAnsi="Calibri" w:cs="Calibri"/>
          <w:bCs/>
          <w:sz w:val="22"/>
          <w:szCs w:val="22"/>
        </w:rPr>
        <w:t>investici</w:t>
      </w:r>
      <w:proofErr w:type="spellEnd"/>
      <w:r w:rsidRPr="003F46AC">
        <w:rPr>
          <w:rFonts w:ascii="Calibri" w:hAnsi="Calibri" w:cs="Calibri"/>
          <w:bCs/>
          <w:sz w:val="22"/>
          <w:szCs w:val="22"/>
        </w:rPr>
        <w:t>.</w:t>
      </w:r>
    </w:p>
    <w:p w:rsidR="00E25917" w:rsidRPr="00E25917" w:rsidRDefault="00E25917" w:rsidP="00E25917">
      <w:pPr>
        <w:pStyle w:val="Odstavecseseznamem"/>
        <w:jc w:val="both"/>
        <w:rPr>
          <w:rFonts w:ascii="Calibri" w:hAnsi="Calibri" w:cs="Calibri"/>
          <w:bCs/>
          <w:sz w:val="22"/>
          <w:szCs w:val="22"/>
        </w:rPr>
      </w:pPr>
    </w:p>
    <w:p w:rsidR="00601DC5" w:rsidRDefault="00601DC5" w:rsidP="00E25917">
      <w:pPr>
        <w:ind w:left="709"/>
        <w:jc w:val="both"/>
        <w:rPr>
          <w:rFonts w:ascii="Calibri" w:hAnsi="Calibri" w:cs="Calibri"/>
          <w:bCs/>
          <w:sz w:val="22"/>
          <w:szCs w:val="22"/>
        </w:rPr>
      </w:pPr>
      <w:r w:rsidRPr="00735984">
        <w:rPr>
          <w:rFonts w:ascii="Calibri" w:hAnsi="Calibri" w:cs="Calibri"/>
          <w:bCs/>
          <w:sz w:val="22"/>
          <w:szCs w:val="22"/>
        </w:rPr>
        <w:t>Pozn. Navazuje na čl. IX odst. 5 smlouvy.</w:t>
      </w:r>
    </w:p>
    <w:p w:rsidR="004639E8" w:rsidRDefault="004639E8" w:rsidP="00601DC5">
      <w:pPr>
        <w:jc w:val="both"/>
        <w:rPr>
          <w:rFonts w:ascii="Calibri" w:hAnsi="Calibri" w:cs="Calibri"/>
          <w:bCs/>
          <w:sz w:val="22"/>
          <w:szCs w:val="22"/>
          <w:u w:val="single"/>
        </w:rPr>
      </w:pPr>
    </w:p>
    <w:p w:rsidR="004639E8" w:rsidRDefault="004639E8" w:rsidP="00E25917">
      <w:pPr>
        <w:ind w:firstLine="709"/>
        <w:jc w:val="both"/>
        <w:rPr>
          <w:rFonts w:ascii="Calibri" w:hAnsi="Calibri" w:cs="Calibri"/>
          <w:bCs/>
          <w:sz w:val="22"/>
          <w:szCs w:val="22"/>
          <w:u w:val="single"/>
        </w:rPr>
      </w:pPr>
      <w:r w:rsidRPr="004639E8">
        <w:rPr>
          <w:rFonts w:ascii="Calibri" w:hAnsi="Calibri" w:cs="Calibri"/>
          <w:bCs/>
          <w:sz w:val="22"/>
          <w:szCs w:val="22"/>
          <w:u w:val="single"/>
        </w:rPr>
        <w:t xml:space="preserve">Finanční prostředky nelze </w:t>
      </w:r>
      <w:r w:rsidR="00341A28">
        <w:rPr>
          <w:rFonts w:ascii="Calibri" w:hAnsi="Calibri" w:cs="Calibri"/>
          <w:bCs/>
          <w:sz w:val="22"/>
          <w:szCs w:val="22"/>
          <w:u w:val="single"/>
        </w:rPr>
        <w:t xml:space="preserve">zejména </w:t>
      </w:r>
      <w:r w:rsidRPr="004639E8">
        <w:rPr>
          <w:rFonts w:ascii="Calibri" w:hAnsi="Calibri" w:cs="Calibri"/>
          <w:bCs/>
          <w:sz w:val="22"/>
          <w:szCs w:val="22"/>
          <w:u w:val="single"/>
        </w:rPr>
        <w:t>použít:</w:t>
      </w:r>
    </w:p>
    <w:p w:rsidR="00E25917" w:rsidRPr="004639E8" w:rsidRDefault="00E25917" w:rsidP="00E25917">
      <w:pPr>
        <w:ind w:firstLine="709"/>
        <w:jc w:val="both"/>
        <w:rPr>
          <w:rFonts w:ascii="Calibri" w:hAnsi="Calibri" w:cs="Calibri"/>
          <w:bCs/>
          <w:sz w:val="22"/>
          <w:szCs w:val="22"/>
          <w:u w:val="single"/>
        </w:rPr>
      </w:pPr>
    </w:p>
    <w:p w:rsidR="004639E8" w:rsidRDefault="004639E8" w:rsidP="004639E8">
      <w:pPr>
        <w:pStyle w:val="Odstavecseseznamem"/>
        <w:numPr>
          <w:ilvl w:val="0"/>
          <w:numId w:val="17"/>
        </w:numPr>
        <w:jc w:val="both"/>
        <w:rPr>
          <w:rFonts w:ascii="Calibri" w:hAnsi="Calibri" w:cs="Calibri"/>
          <w:bCs/>
          <w:sz w:val="22"/>
          <w:szCs w:val="22"/>
        </w:rPr>
      </w:pPr>
      <w:r>
        <w:rPr>
          <w:rFonts w:ascii="Calibri" w:hAnsi="Calibri" w:cs="Calibri"/>
          <w:bCs/>
          <w:sz w:val="22"/>
          <w:szCs w:val="22"/>
        </w:rPr>
        <w:t>na úhradu daně z přidané hodnoty (DPH), pokud příjemce dotace uplatňuje odpočet DPH</w:t>
      </w:r>
    </w:p>
    <w:p w:rsidR="004639E8" w:rsidRDefault="004639E8" w:rsidP="004639E8">
      <w:pPr>
        <w:pStyle w:val="Odstavecseseznamem"/>
        <w:numPr>
          <w:ilvl w:val="0"/>
          <w:numId w:val="17"/>
        </w:numPr>
        <w:jc w:val="both"/>
        <w:rPr>
          <w:rFonts w:ascii="Calibri" w:hAnsi="Calibri" w:cs="Calibri"/>
          <w:bCs/>
          <w:sz w:val="22"/>
          <w:szCs w:val="22"/>
        </w:rPr>
      </w:pPr>
      <w:r>
        <w:rPr>
          <w:rFonts w:ascii="Calibri" w:hAnsi="Calibri" w:cs="Calibri"/>
          <w:bCs/>
          <w:sz w:val="22"/>
          <w:szCs w:val="22"/>
        </w:rPr>
        <w:t>úhradu výdajů na pohoštění</w:t>
      </w:r>
    </w:p>
    <w:p w:rsidR="004639E8" w:rsidRDefault="004639E8" w:rsidP="004639E8">
      <w:pPr>
        <w:pStyle w:val="Odstavecseseznamem"/>
        <w:numPr>
          <w:ilvl w:val="0"/>
          <w:numId w:val="17"/>
        </w:numPr>
        <w:jc w:val="both"/>
        <w:rPr>
          <w:rFonts w:ascii="Calibri" w:hAnsi="Calibri" w:cs="Calibri"/>
          <w:bCs/>
          <w:sz w:val="22"/>
          <w:szCs w:val="22"/>
        </w:rPr>
      </w:pPr>
      <w:r>
        <w:rPr>
          <w:rFonts w:ascii="Calibri" w:hAnsi="Calibri" w:cs="Calibri"/>
          <w:bCs/>
          <w:sz w:val="22"/>
          <w:szCs w:val="22"/>
        </w:rPr>
        <w:t>peněžní a věcné dary</w:t>
      </w:r>
    </w:p>
    <w:p w:rsidR="004639E8" w:rsidRDefault="004639E8" w:rsidP="004639E8">
      <w:pPr>
        <w:pStyle w:val="Odstavecseseznamem"/>
        <w:numPr>
          <w:ilvl w:val="0"/>
          <w:numId w:val="17"/>
        </w:numPr>
        <w:jc w:val="both"/>
        <w:rPr>
          <w:rFonts w:ascii="Calibri" w:hAnsi="Calibri" w:cs="Calibri"/>
          <w:bCs/>
          <w:sz w:val="22"/>
          <w:szCs w:val="22"/>
        </w:rPr>
      </w:pPr>
      <w:r>
        <w:rPr>
          <w:rFonts w:ascii="Calibri" w:hAnsi="Calibri" w:cs="Calibri"/>
          <w:bCs/>
          <w:sz w:val="22"/>
          <w:szCs w:val="22"/>
        </w:rPr>
        <w:t>náhrady při pracovní cestě (vč. stravného)</w:t>
      </w:r>
    </w:p>
    <w:p w:rsidR="004639E8" w:rsidRDefault="004639E8" w:rsidP="004639E8">
      <w:pPr>
        <w:pStyle w:val="Odstavecseseznamem"/>
        <w:numPr>
          <w:ilvl w:val="0"/>
          <w:numId w:val="17"/>
        </w:numPr>
        <w:jc w:val="both"/>
        <w:rPr>
          <w:rFonts w:ascii="Calibri" w:hAnsi="Calibri" w:cs="Calibri"/>
          <w:bCs/>
          <w:sz w:val="22"/>
          <w:szCs w:val="22"/>
        </w:rPr>
      </w:pPr>
      <w:r>
        <w:rPr>
          <w:rFonts w:ascii="Calibri" w:hAnsi="Calibri" w:cs="Calibri"/>
          <w:bCs/>
          <w:sz w:val="22"/>
          <w:szCs w:val="22"/>
        </w:rPr>
        <w:t>úhradu odpisů dlouhodobého hmotného či nehmotného majetku</w:t>
      </w:r>
    </w:p>
    <w:p w:rsidR="004639E8" w:rsidRPr="004639E8" w:rsidRDefault="004639E8" w:rsidP="004639E8">
      <w:pPr>
        <w:pStyle w:val="Odstavecseseznamem"/>
        <w:numPr>
          <w:ilvl w:val="0"/>
          <w:numId w:val="17"/>
        </w:numPr>
        <w:jc w:val="both"/>
        <w:rPr>
          <w:rFonts w:ascii="Calibri" w:hAnsi="Calibri" w:cs="Calibri"/>
          <w:bCs/>
          <w:sz w:val="22"/>
          <w:szCs w:val="22"/>
        </w:rPr>
      </w:pPr>
      <w:r>
        <w:rPr>
          <w:rFonts w:ascii="Calibri" w:hAnsi="Calibri" w:cs="Calibri"/>
          <w:bCs/>
          <w:sz w:val="22"/>
          <w:szCs w:val="22"/>
        </w:rPr>
        <w:t>jako dotaci jiným fyzickým nebo právnickým osobám</w:t>
      </w:r>
    </w:p>
    <w:p w:rsidR="00601DC5"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1"/>
        </w:numPr>
        <w:jc w:val="both"/>
        <w:rPr>
          <w:rFonts w:asciiTheme="minorHAnsi" w:hAnsiTheme="minorHAnsi" w:cstheme="minorHAnsi"/>
          <w:sz w:val="22"/>
          <w:szCs w:val="22"/>
        </w:rPr>
      </w:pPr>
      <w:r w:rsidRPr="003F46AC">
        <w:rPr>
          <w:rFonts w:asciiTheme="minorHAnsi" w:hAnsiTheme="minorHAnsi" w:cstheme="minorHAnsi"/>
          <w:sz w:val="22"/>
          <w:szCs w:val="22"/>
        </w:rPr>
        <w:t>Příjemce je povinen se řídit Pravidly pro poskytování dotací z rozpočtu města Litvínova, touto smlouvou</w:t>
      </w:r>
      <w:r w:rsidR="00A038FB" w:rsidRPr="003F46AC">
        <w:rPr>
          <w:rFonts w:asciiTheme="minorHAnsi" w:hAnsiTheme="minorHAnsi" w:cstheme="minorHAnsi"/>
          <w:sz w:val="22"/>
          <w:szCs w:val="22"/>
        </w:rPr>
        <w:t xml:space="preserve">, </w:t>
      </w:r>
      <w:r w:rsidR="000F0359" w:rsidRPr="003F46AC">
        <w:rPr>
          <w:rFonts w:asciiTheme="minorHAnsi" w:hAnsiTheme="minorHAnsi" w:cstheme="minorHAnsi"/>
          <w:sz w:val="22"/>
          <w:szCs w:val="22"/>
        </w:rPr>
        <w:t>s</w:t>
      </w:r>
      <w:r w:rsidR="00A038FB" w:rsidRPr="003F46AC">
        <w:rPr>
          <w:rFonts w:asciiTheme="minorHAnsi" w:hAnsiTheme="minorHAnsi" w:cstheme="minorHAnsi"/>
          <w:sz w:val="22"/>
          <w:szCs w:val="22"/>
        </w:rPr>
        <w:t xml:space="preserve">mlouvou SOHZ </w:t>
      </w:r>
      <w:r w:rsidRPr="003F46AC">
        <w:rPr>
          <w:rFonts w:asciiTheme="minorHAnsi" w:hAnsiTheme="minorHAnsi" w:cstheme="minorHAnsi"/>
          <w:sz w:val="22"/>
          <w:szCs w:val="22"/>
        </w:rPr>
        <w:t>a obecně závaznými platnými právními předpisy.</w:t>
      </w:r>
    </w:p>
    <w:p w:rsidR="00601DC5"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1"/>
        </w:numPr>
        <w:jc w:val="both"/>
        <w:rPr>
          <w:rFonts w:ascii="Calibri" w:hAnsi="Calibri" w:cs="Calibri"/>
          <w:bCs/>
          <w:sz w:val="22"/>
          <w:szCs w:val="22"/>
        </w:rPr>
      </w:pPr>
      <w:r w:rsidRPr="003F46AC">
        <w:rPr>
          <w:rFonts w:ascii="Calibri" w:hAnsi="Calibri" w:cs="Calibri"/>
          <w:bCs/>
          <w:sz w:val="22"/>
          <w:szCs w:val="22"/>
        </w:rPr>
        <w:t>Příjemce je povinen tuto dotaci po</w:t>
      </w:r>
      <w:r w:rsidR="000F0359" w:rsidRPr="003F46AC">
        <w:rPr>
          <w:rFonts w:ascii="Calibri" w:hAnsi="Calibri" w:cs="Calibri"/>
          <w:bCs/>
          <w:sz w:val="22"/>
          <w:szCs w:val="22"/>
        </w:rPr>
        <w:t>u</w:t>
      </w:r>
      <w:r w:rsidRPr="003F46AC">
        <w:rPr>
          <w:rFonts w:ascii="Calibri" w:hAnsi="Calibri" w:cs="Calibri"/>
          <w:bCs/>
          <w:sz w:val="22"/>
          <w:szCs w:val="22"/>
        </w:rPr>
        <w:t>žít jako dotaci investiční. Porušení této povinnosti bude poskytovatelem posuzováno jako porušení rozpočtové kázně.</w:t>
      </w:r>
    </w:p>
    <w:p w:rsidR="00601DC5" w:rsidRDefault="00601DC5" w:rsidP="00601DC5">
      <w:pPr>
        <w:rPr>
          <w:rFonts w:ascii="Calibri" w:hAnsi="Calibri" w:cs="Calibri"/>
          <w:b/>
          <w:bCs/>
          <w:sz w:val="22"/>
          <w:szCs w:val="22"/>
        </w:rPr>
      </w:pPr>
    </w:p>
    <w:p w:rsidR="000F0359" w:rsidRDefault="000F0359" w:rsidP="00601DC5">
      <w:pPr>
        <w:jc w:val="cente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5E1E9D" w:rsidRPr="00C326FF" w:rsidRDefault="005E1E9D" w:rsidP="00601DC5">
      <w:pPr>
        <w:jc w:val="center"/>
        <w:rPr>
          <w:rFonts w:ascii="Calibri" w:hAnsi="Calibri" w:cs="Calibri"/>
          <w:b/>
          <w:bCs/>
          <w:sz w:val="22"/>
          <w:szCs w:val="22"/>
        </w:rPr>
      </w:pPr>
    </w:p>
    <w:p w:rsidR="00601DC5" w:rsidRPr="003F46AC" w:rsidRDefault="00601DC5" w:rsidP="003F46AC">
      <w:pPr>
        <w:pStyle w:val="Odstavecseseznamem"/>
        <w:numPr>
          <w:ilvl w:val="0"/>
          <w:numId w:val="12"/>
        </w:numPr>
        <w:jc w:val="both"/>
        <w:rPr>
          <w:rFonts w:ascii="Calibri" w:hAnsi="Calibri" w:cs="Calibri"/>
          <w:bCs/>
          <w:sz w:val="22"/>
          <w:szCs w:val="22"/>
        </w:rPr>
      </w:pPr>
      <w:r w:rsidRPr="003F46AC">
        <w:rPr>
          <w:rFonts w:ascii="Calibri" w:hAnsi="Calibri" w:cs="Calibri"/>
          <w:bCs/>
          <w:sz w:val="22"/>
          <w:szCs w:val="22"/>
        </w:rPr>
        <w:t xml:space="preserve">Po ukončení projektu předloží příjemce poskytovateli, tj. Odboru </w:t>
      </w:r>
      <w:r w:rsidR="00924A6F" w:rsidRPr="003F46AC">
        <w:rPr>
          <w:rFonts w:ascii="Calibri" w:hAnsi="Calibri" w:cs="Calibri"/>
          <w:bCs/>
          <w:sz w:val="22"/>
          <w:szCs w:val="22"/>
        </w:rPr>
        <w:t>investic a regionálnímu rozvoje</w:t>
      </w:r>
      <w:r w:rsidRPr="003F46AC">
        <w:rPr>
          <w:rFonts w:ascii="Calibri" w:hAnsi="Calibri" w:cs="Calibri"/>
          <w:bCs/>
          <w:sz w:val="22"/>
          <w:szCs w:val="22"/>
        </w:rPr>
        <w:t xml:space="preserve">, nejpozději do </w:t>
      </w:r>
      <w:r w:rsidRPr="003F46AC">
        <w:rPr>
          <w:rFonts w:ascii="Calibri" w:hAnsi="Calibri" w:cs="Calibri"/>
          <w:b/>
          <w:bCs/>
          <w:sz w:val="22"/>
          <w:szCs w:val="22"/>
        </w:rPr>
        <w:t>3</w:t>
      </w:r>
      <w:r w:rsidR="005E1E9D" w:rsidRPr="003F46AC">
        <w:rPr>
          <w:rFonts w:ascii="Calibri" w:hAnsi="Calibri" w:cs="Calibri"/>
          <w:b/>
          <w:bCs/>
          <w:sz w:val="22"/>
          <w:szCs w:val="22"/>
        </w:rPr>
        <w:t>1</w:t>
      </w:r>
      <w:r w:rsidRPr="003F46AC">
        <w:rPr>
          <w:rFonts w:ascii="Calibri" w:hAnsi="Calibri" w:cs="Calibri"/>
          <w:b/>
          <w:bCs/>
          <w:sz w:val="22"/>
          <w:szCs w:val="22"/>
        </w:rPr>
        <w:t>.</w:t>
      </w:r>
      <w:r w:rsidR="00F63706" w:rsidRPr="003F46AC">
        <w:rPr>
          <w:rFonts w:ascii="Calibri" w:hAnsi="Calibri" w:cs="Calibri"/>
          <w:b/>
          <w:bCs/>
          <w:sz w:val="22"/>
          <w:szCs w:val="22"/>
        </w:rPr>
        <w:t xml:space="preserve"> </w:t>
      </w:r>
      <w:r w:rsidR="005E1E9D" w:rsidRPr="003F46AC">
        <w:rPr>
          <w:rFonts w:ascii="Calibri" w:hAnsi="Calibri" w:cs="Calibri"/>
          <w:b/>
          <w:bCs/>
          <w:sz w:val="22"/>
          <w:szCs w:val="22"/>
        </w:rPr>
        <w:t>3</w:t>
      </w:r>
      <w:r w:rsidRPr="003F46AC">
        <w:rPr>
          <w:rFonts w:ascii="Calibri" w:hAnsi="Calibri" w:cs="Calibri"/>
          <w:b/>
          <w:bCs/>
          <w:sz w:val="22"/>
          <w:szCs w:val="22"/>
        </w:rPr>
        <w:t xml:space="preserve">. 2019 </w:t>
      </w:r>
      <w:r w:rsidRPr="003F46AC">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601DC5" w:rsidRPr="00DB0988" w:rsidRDefault="00601DC5" w:rsidP="00601DC5">
      <w:pPr>
        <w:rPr>
          <w:rFonts w:ascii="Calibri" w:hAnsi="Calibri" w:cs="Calibri"/>
          <w:bCs/>
          <w:sz w:val="22"/>
          <w:szCs w:val="22"/>
        </w:rPr>
      </w:pPr>
    </w:p>
    <w:p w:rsidR="00601DC5" w:rsidRPr="003F46AC" w:rsidRDefault="00601DC5" w:rsidP="003F46AC">
      <w:pPr>
        <w:pStyle w:val="Odstavecseseznamem"/>
        <w:numPr>
          <w:ilvl w:val="0"/>
          <w:numId w:val="12"/>
        </w:numPr>
        <w:jc w:val="both"/>
        <w:rPr>
          <w:rFonts w:ascii="Calibri" w:hAnsi="Calibri" w:cs="Calibri"/>
          <w:bCs/>
          <w:sz w:val="22"/>
          <w:szCs w:val="22"/>
        </w:rPr>
      </w:pPr>
      <w:r w:rsidRPr="003F46AC">
        <w:rPr>
          <w:rFonts w:ascii="Calibri" w:hAnsi="Calibri" w:cs="Calibri"/>
          <w:bCs/>
          <w:sz w:val="22"/>
          <w:szCs w:val="22"/>
        </w:rPr>
        <w:t xml:space="preserve">Výdaje hrazené z dotace doloží kopiemi dokladů v cenách </w:t>
      </w:r>
      <w:r w:rsidR="004639E8">
        <w:rPr>
          <w:rFonts w:ascii="Calibri" w:hAnsi="Calibri" w:cs="Calibri"/>
          <w:bCs/>
          <w:sz w:val="22"/>
          <w:szCs w:val="22"/>
        </w:rPr>
        <w:t>bez</w:t>
      </w:r>
      <w:r w:rsidRPr="003F46AC">
        <w:rPr>
          <w:rFonts w:ascii="Calibri" w:hAnsi="Calibri" w:cs="Calibri"/>
          <w:bCs/>
          <w:sz w:val="22"/>
          <w:szCs w:val="22"/>
        </w:rPr>
        <w:t xml:space="preserve">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4639E8" w:rsidRDefault="004639E8" w:rsidP="003F46AC">
      <w:pPr>
        <w:ind w:left="709"/>
        <w:jc w:val="both"/>
        <w:rPr>
          <w:rFonts w:ascii="Calibri" w:hAnsi="Calibri" w:cs="Calibri"/>
          <w:bCs/>
          <w:sz w:val="22"/>
          <w:szCs w:val="22"/>
        </w:rPr>
      </w:pPr>
    </w:p>
    <w:p w:rsidR="00601DC5" w:rsidRPr="00DB0988" w:rsidRDefault="00601DC5" w:rsidP="003F46AC">
      <w:pPr>
        <w:ind w:left="709"/>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601DC5" w:rsidRPr="00DB0988" w:rsidRDefault="00601DC5" w:rsidP="00601DC5">
      <w:pPr>
        <w:rPr>
          <w:rFonts w:ascii="Calibri" w:hAnsi="Calibri" w:cs="Calibri"/>
          <w:bCs/>
          <w:sz w:val="22"/>
          <w:szCs w:val="22"/>
        </w:rPr>
      </w:pPr>
    </w:p>
    <w:p w:rsidR="00601DC5" w:rsidRPr="003F46AC" w:rsidRDefault="00601DC5" w:rsidP="003F46AC">
      <w:pPr>
        <w:pStyle w:val="Odstavecseseznamem"/>
        <w:numPr>
          <w:ilvl w:val="0"/>
          <w:numId w:val="12"/>
        </w:numPr>
        <w:jc w:val="both"/>
        <w:rPr>
          <w:rFonts w:ascii="Calibri" w:hAnsi="Calibri" w:cs="Calibri"/>
          <w:bCs/>
          <w:sz w:val="22"/>
          <w:szCs w:val="22"/>
        </w:rPr>
      </w:pPr>
      <w:r w:rsidRPr="003F46AC">
        <w:rPr>
          <w:rFonts w:ascii="Calibri" w:hAnsi="Calibri" w:cs="Calibri"/>
          <w:bCs/>
          <w:sz w:val="22"/>
          <w:szCs w:val="22"/>
        </w:rPr>
        <w:t>Příjemce je povinen na originále účetního dokladu uvést, že úhrada byla financována z dotace města Litvínova s odkazem na příslušný smluvní vztah (dle smlouvy číslo KT/</w:t>
      </w:r>
      <w:r w:rsidR="003F46AC">
        <w:rPr>
          <w:rFonts w:ascii="Calibri" w:hAnsi="Calibri" w:cs="Calibri"/>
          <w:bCs/>
          <w:sz w:val="22"/>
          <w:szCs w:val="22"/>
        </w:rPr>
        <w:t>9</w:t>
      </w:r>
      <w:r w:rsidR="00B43185">
        <w:rPr>
          <w:rFonts w:ascii="Calibri" w:hAnsi="Calibri" w:cs="Calibri"/>
          <w:bCs/>
          <w:sz w:val="22"/>
          <w:szCs w:val="22"/>
        </w:rPr>
        <w:t>702/18</w:t>
      </w:r>
      <w:r w:rsidRPr="003F46AC">
        <w:rPr>
          <w:rFonts w:ascii="Calibri" w:hAnsi="Calibri" w:cs="Calibri"/>
          <w:bCs/>
          <w:sz w:val="22"/>
          <w:szCs w:val="22"/>
        </w:rPr>
        <w:t>). Splnění této podmínky doloží příjemce dotace při vyúčtování kopií účetního dokladu.</w:t>
      </w:r>
    </w:p>
    <w:p w:rsidR="00601DC5" w:rsidRPr="00DB0988" w:rsidRDefault="00601DC5" w:rsidP="00601DC5">
      <w:pPr>
        <w:rPr>
          <w:rFonts w:ascii="Calibri" w:hAnsi="Calibri" w:cs="Calibri"/>
          <w:bCs/>
          <w:sz w:val="22"/>
          <w:szCs w:val="22"/>
        </w:rPr>
      </w:pPr>
    </w:p>
    <w:p w:rsidR="007171B2" w:rsidRPr="004959E2" w:rsidRDefault="007171B2" w:rsidP="007171B2">
      <w:pPr>
        <w:pStyle w:val="Odstavecseseznamem"/>
        <w:numPr>
          <w:ilvl w:val="0"/>
          <w:numId w:val="12"/>
        </w:numPr>
        <w:jc w:val="both"/>
        <w:rPr>
          <w:rFonts w:ascii="Calibri" w:hAnsi="Calibri" w:cs="Calibri"/>
          <w:bCs/>
          <w:sz w:val="22"/>
          <w:szCs w:val="22"/>
        </w:rPr>
      </w:pPr>
      <w:r w:rsidRPr="004959E2">
        <w:rPr>
          <w:rFonts w:ascii="Calibri" w:hAnsi="Calibri" w:cs="Calibri"/>
          <w:bCs/>
          <w:sz w:val="22"/>
          <w:szCs w:val="22"/>
        </w:rPr>
        <w:t xml:space="preserve">Pokud příjemce nevyčerpá všechny prostředky dotace na stanovený účel, je povinen </w:t>
      </w:r>
      <w:r w:rsidR="00610155">
        <w:rPr>
          <w:rFonts w:ascii="Calibri" w:hAnsi="Calibri" w:cs="Calibri"/>
          <w:bCs/>
          <w:sz w:val="22"/>
          <w:szCs w:val="22"/>
        </w:rPr>
        <w:t xml:space="preserve">bez zbytečného odkladu </w:t>
      </w:r>
      <w:r w:rsidRPr="004959E2">
        <w:rPr>
          <w:rFonts w:ascii="Calibri" w:hAnsi="Calibri" w:cs="Calibri"/>
          <w:bCs/>
          <w:sz w:val="22"/>
          <w:szCs w:val="22"/>
        </w:rPr>
        <w:t>vrátit poskytovateli nevyčerpanou částku</w:t>
      </w:r>
      <w:r w:rsidR="004639E8">
        <w:rPr>
          <w:rFonts w:ascii="Calibri" w:hAnsi="Calibri" w:cs="Calibri"/>
          <w:bCs/>
          <w:sz w:val="22"/>
          <w:szCs w:val="22"/>
        </w:rPr>
        <w:t xml:space="preserve"> na</w:t>
      </w:r>
      <w:r w:rsidRPr="004959E2">
        <w:rPr>
          <w:rFonts w:ascii="Calibri" w:hAnsi="Calibri" w:cs="Calibri"/>
          <w:bCs/>
          <w:sz w:val="22"/>
          <w:szCs w:val="22"/>
        </w:rPr>
        <w:t xml:space="preserve"> č. </w:t>
      </w:r>
      <w:proofErr w:type="spellStart"/>
      <w:r w:rsidRPr="004959E2">
        <w:rPr>
          <w:rFonts w:ascii="Calibri" w:hAnsi="Calibri" w:cs="Calibri"/>
          <w:bCs/>
          <w:sz w:val="22"/>
          <w:szCs w:val="22"/>
        </w:rPr>
        <w:t>ú.</w:t>
      </w:r>
      <w:proofErr w:type="spellEnd"/>
      <w:r w:rsidRPr="004959E2">
        <w:rPr>
          <w:rFonts w:ascii="Calibri" w:hAnsi="Calibri" w:cs="Calibri"/>
          <w:bCs/>
          <w:sz w:val="22"/>
          <w:szCs w:val="22"/>
        </w:rPr>
        <w:t>: 90050001326491/0100, vedený u Komerční banky a.s., pobočka Litvínov.</w:t>
      </w:r>
    </w:p>
    <w:p w:rsidR="00427F9B" w:rsidRPr="00427F9B" w:rsidRDefault="00427F9B" w:rsidP="00427F9B">
      <w:pPr>
        <w:jc w:val="both"/>
        <w:rPr>
          <w:rFonts w:ascii="Calibri" w:hAnsi="Calibri" w:cs="Calibri"/>
          <w:bCs/>
          <w:sz w:val="22"/>
          <w:szCs w:val="22"/>
        </w:rPr>
      </w:pPr>
    </w:p>
    <w:p w:rsidR="00601DC5" w:rsidRPr="003F46AC" w:rsidRDefault="00601DC5" w:rsidP="003F46AC">
      <w:pPr>
        <w:pStyle w:val="Odstavecseseznamem"/>
        <w:numPr>
          <w:ilvl w:val="0"/>
          <w:numId w:val="12"/>
        </w:numPr>
        <w:jc w:val="both"/>
        <w:rPr>
          <w:rFonts w:ascii="Calibri" w:hAnsi="Calibri" w:cs="Calibri"/>
          <w:bCs/>
          <w:sz w:val="22"/>
          <w:szCs w:val="22"/>
        </w:rPr>
      </w:pPr>
      <w:r w:rsidRPr="003F46AC">
        <w:rPr>
          <w:rFonts w:ascii="Calibri" w:hAnsi="Calibri" w:cs="Calibri"/>
          <w:bCs/>
          <w:sz w:val="22"/>
          <w:szCs w:val="22"/>
        </w:rPr>
        <w:t>Příjemce odpovídá za hospodárné použití poskytnutých prostředků v souladu s účelem dle článku VI. odstavce  1a zajistí ve svém účetnictví nebo daňové evidenci, v souladu s platnými obecně závaznými právními předpis, zejména se zákonem 563/1991 sb. o účetnictví, v platném znění, řádné a prokazatelně oddělené sledování poskytnuté investiční dotace.</w:t>
      </w:r>
    </w:p>
    <w:p w:rsidR="00601DC5"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2"/>
        </w:numPr>
        <w:jc w:val="both"/>
        <w:rPr>
          <w:rFonts w:ascii="Calibri" w:hAnsi="Calibri" w:cs="Calibri"/>
          <w:bCs/>
          <w:sz w:val="22"/>
          <w:szCs w:val="22"/>
        </w:rPr>
      </w:pPr>
      <w:r w:rsidRPr="003F46AC">
        <w:rPr>
          <w:rFonts w:ascii="Calibri" w:hAnsi="Calibri" w:cs="Calibri"/>
          <w:bCs/>
          <w:sz w:val="22"/>
          <w:szCs w:val="22"/>
        </w:rPr>
        <w:t xml:space="preserve">Příjemce je oprávněn použít poskytnuté finanční prostředky nejpozději do </w:t>
      </w:r>
      <w:r w:rsidRPr="003F46AC">
        <w:rPr>
          <w:rFonts w:ascii="Calibri" w:hAnsi="Calibri" w:cs="Calibri"/>
          <w:b/>
          <w:bCs/>
          <w:sz w:val="22"/>
          <w:szCs w:val="22"/>
        </w:rPr>
        <w:t>31. 12. 2018</w:t>
      </w:r>
      <w:r w:rsidRPr="003F46AC">
        <w:rPr>
          <w:rFonts w:ascii="Calibri" w:hAnsi="Calibri" w:cs="Calibri"/>
          <w:bCs/>
          <w:sz w:val="22"/>
          <w:szCs w:val="22"/>
        </w:rPr>
        <w:t>.</w:t>
      </w:r>
    </w:p>
    <w:p w:rsidR="00601DC5"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5E1E9D" w:rsidRDefault="005E1E9D" w:rsidP="00601DC5">
      <w:pPr>
        <w:jc w:val="center"/>
        <w:rPr>
          <w:rFonts w:ascii="Calibri" w:hAnsi="Calibri" w:cs="Calibri"/>
          <w:b/>
          <w:bCs/>
          <w:sz w:val="22"/>
          <w:szCs w:val="22"/>
        </w:rPr>
      </w:pPr>
    </w:p>
    <w:p w:rsidR="00601DC5" w:rsidRPr="003F46AC" w:rsidRDefault="00601DC5" w:rsidP="003F46AC">
      <w:pPr>
        <w:pStyle w:val="Odstavecseseznamem"/>
        <w:numPr>
          <w:ilvl w:val="0"/>
          <w:numId w:val="13"/>
        </w:numPr>
        <w:jc w:val="both"/>
        <w:rPr>
          <w:rFonts w:ascii="Calibri" w:hAnsi="Calibri" w:cs="Calibri"/>
          <w:bCs/>
          <w:sz w:val="22"/>
          <w:szCs w:val="22"/>
        </w:rPr>
      </w:pPr>
      <w:r w:rsidRPr="003F46AC">
        <w:rPr>
          <w:rFonts w:ascii="Calibri" w:hAnsi="Calibri" w:cs="Calibri"/>
          <w:bCs/>
          <w:sz w:val="22"/>
          <w:szCs w:val="22"/>
        </w:rPr>
        <w:t xml:space="preserve">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601DC5" w:rsidRPr="00181747"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3"/>
        </w:numPr>
        <w:rPr>
          <w:rFonts w:ascii="Calibri" w:hAnsi="Calibri" w:cs="Calibri"/>
          <w:bCs/>
          <w:sz w:val="22"/>
          <w:szCs w:val="22"/>
        </w:rPr>
      </w:pPr>
      <w:r w:rsidRPr="003F46AC">
        <w:rPr>
          <w:rFonts w:ascii="Calibri" w:hAnsi="Calibri" w:cs="Calibri"/>
          <w:bCs/>
          <w:sz w:val="22"/>
          <w:szCs w:val="22"/>
        </w:rPr>
        <w:t>K žádosti o udělení souhlasu podle odstavce 1. musí příjemce prokázat příslušnými dokumenty, že práva a povinnosti z tohoto smluvního vztahu přejdou na právního nástupce a právní nástupce se zavazuje tyto povinnosti plnit (např. projekt fúze). Poskytovatel je oprávněn si vyžádat dodatečné podklady, pokud z dodaných podkladů nebude tato skutečnost vyplývat.</w:t>
      </w:r>
    </w:p>
    <w:p w:rsidR="00601DC5" w:rsidRPr="00181747"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3"/>
        </w:numPr>
        <w:jc w:val="both"/>
        <w:rPr>
          <w:rFonts w:ascii="Calibri" w:hAnsi="Calibri" w:cs="Calibri"/>
          <w:bCs/>
          <w:sz w:val="22"/>
          <w:szCs w:val="22"/>
        </w:rPr>
      </w:pPr>
      <w:r w:rsidRPr="003F46AC">
        <w:rPr>
          <w:rFonts w:ascii="Calibri" w:hAnsi="Calibri" w:cs="Calibri"/>
          <w:bCs/>
          <w:sz w:val="22"/>
          <w:szCs w:val="22"/>
        </w:rPr>
        <w:t xml:space="preserve">V případě, že poskytovatel žádosti vyhoví, </w:t>
      </w:r>
      <w:r w:rsidR="00FC3290" w:rsidRPr="003F46AC">
        <w:rPr>
          <w:rFonts w:ascii="Calibri" w:hAnsi="Calibri" w:cs="Calibri"/>
          <w:bCs/>
          <w:sz w:val="22"/>
          <w:szCs w:val="22"/>
        </w:rPr>
        <w:t>z</w:t>
      </w:r>
      <w:r w:rsidRPr="003F46AC">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601DC5" w:rsidRPr="00181747"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3"/>
        </w:numPr>
        <w:jc w:val="both"/>
        <w:rPr>
          <w:rFonts w:ascii="Calibri" w:hAnsi="Calibri" w:cs="Calibri"/>
          <w:bCs/>
          <w:sz w:val="22"/>
          <w:szCs w:val="22"/>
        </w:rPr>
      </w:pPr>
      <w:r w:rsidRPr="003F46AC">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601DC5" w:rsidRPr="00181747"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3"/>
        </w:numPr>
        <w:jc w:val="both"/>
        <w:rPr>
          <w:rFonts w:ascii="Calibri" w:hAnsi="Calibri" w:cs="Calibri"/>
          <w:bCs/>
          <w:sz w:val="22"/>
          <w:szCs w:val="22"/>
        </w:rPr>
      </w:pPr>
      <w:r w:rsidRPr="003F46AC">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601DC5" w:rsidRPr="00181747"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3"/>
        </w:numPr>
        <w:jc w:val="both"/>
        <w:rPr>
          <w:rFonts w:ascii="Calibri" w:hAnsi="Calibri" w:cs="Calibri"/>
          <w:bCs/>
          <w:sz w:val="22"/>
          <w:szCs w:val="22"/>
        </w:rPr>
      </w:pPr>
      <w:r w:rsidRPr="003F46AC">
        <w:rPr>
          <w:rFonts w:ascii="Calibri" w:hAnsi="Calibri" w:cs="Calibri"/>
          <w:bCs/>
          <w:sz w:val="22"/>
          <w:szCs w:val="22"/>
        </w:rPr>
        <w:t xml:space="preserve">V případě, že příslušný soud rozhodl o úpadku příjemce nebo má být příjemce zrušen s likvidací, </w:t>
      </w:r>
    </w:p>
    <w:p w:rsidR="00601DC5" w:rsidRPr="00181747" w:rsidRDefault="00601DC5" w:rsidP="003F46AC">
      <w:pPr>
        <w:ind w:left="709"/>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w:t>
      </w:r>
      <w:r w:rsidRPr="00181747">
        <w:rPr>
          <w:rFonts w:ascii="Calibri" w:hAnsi="Calibri" w:cs="Calibri"/>
          <w:bCs/>
          <w:sz w:val="22"/>
          <w:szCs w:val="22"/>
        </w:rPr>
        <w:lastRenderedPageBreak/>
        <w:t xml:space="preserve">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IX.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5E1E9D" w:rsidRPr="00C326FF" w:rsidRDefault="005E1E9D" w:rsidP="00601DC5">
      <w:pPr>
        <w:jc w:val="center"/>
        <w:rPr>
          <w:rFonts w:ascii="Calibri" w:hAnsi="Calibri" w:cs="Calibri"/>
          <w:b/>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601DC5" w:rsidRPr="006335FD" w:rsidRDefault="00601DC5" w:rsidP="003F46AC">
      <w:pPr>
        <w:ind w:left="709"/>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601DC5" w:rsidRPr="006335FD"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 xml:space="preserve"> Výpovědní lhůta je 10 dní a začíná běžet dnem doručení písemné výpovědi příjemci.</w:t>
      </w:r>
    </w:p>
    <w:p w:rsidR="00601DC5" w:rsidRPr="006335FD"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601DC5" w:rsidRPr="006335FD"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 xml:space="preserve">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5 tohoto ustanovení. V rozsahu, v jakém příjemce provedl opatření k nápravě, platí, že nedošlo k porušení rozpočtové kázně. </w:t>
      </w:r>
    </w:p>
    <w:p w:rsidR="00601DC5" w:rsidRPr="006335FD" w:rsidRDefault="00601DC5" w:rsidP="00601DC5">
      <w:pPr>
        <w:rPr>
          <w:rFonts w:ascii="Calibri" w:hAnsi="Calibri" w:cs="Calibri"/>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BF6DCB" w:rsidRDefault="00BF6DCB" w:rsidP="00601DC5">
      <w:pPr>
        <w:jc w:val="both"/>
        <w:rPr>
          <w:rFonts w:ascii="Calibri" w:hAnsi="Calibri" w:cs="Calibri"/>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601DC5" w:rsidRPr="00557E4C"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V případě porušení rozpočtové kázně, které poskytovatel považuje za méně závažné, bude vždy uložen odvod za tato porušení procentem z celkové částky poskytnuté dotace následovně:</w:t>
      </w:r>
    </w:p>
    <w:p w:rsidR="00601DC5" w:rsidRPr="00557E4C" w:rsidRDefault="00601DC5" w:rsidP="00601DC5">
      <w:pPr>
        <w:rPr>
          <w:rFonts w:ascii="Calibri" w:hAnsi="Calibri" w:cs="Calibri"/>
          <w:b/>
          <w:bCs/>
          <w:sz w:val="22"/>
          <w:szCs w:val="22"/>
        </w:rPr>
      </w:pPr>
    </w:p>
    <w:p w:rsidR="00601DC5" w:rsidRPr="00557E4C" w:rsidRDefault="00601DC5" w:rsidP="00E25917">
      <w:pPr>
        <w:ind w:left="426"/>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601DC5" w:rsidRPr="00557E4C" w:rsidRDefault="00601DC5" w:rsidP="00601DC5">
      <w:pPr>
        <w:jc w:val="both"/>
        <w:rPr>
          <w:rFonts w:ascii="Calibri" w:hAnsi="Calibri" w:cs="Calibri"/>
          <w:bCs/>
          <w:sz w:val="22"/>
          <w:szCs w:val="22"/>
        </w:rPr>
      </w:pPr>
    </w:p>
    <w:p w:rsidR="00601DC5" w:rsidRPr="00557E4C" w:rsidRDefault="00601DC5" w:rsidP="00E25917">
      <w:pPr>
        <w:ind w:left="426"/>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E25917">
      <w:pPr>
        <w:ind w:left="426"/>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odst. 2 tohoto článku – výše odvodu činí 3 %.</w:t>
      </w:r>
    </w:p>
    <w:p w:rsidR="00601DC5" w:rsidRPr="00557E4C" w:rsidRDefault="00601DC5" w:rsidP="00601DC5">
      <w:pPr>
        <w:jc w:val="both"/>
        <w:rPr>
          <w:rFonts w:ascii="Calibri" w:hAnsi="Calibri" w:cs="Calibri"/>
          <w:bCs/>
          <w:sz w:val="22"/>
          <w:szCs w:val="22"/>
        </w:rPr>
      </w:pPr>
    </w:p>
    <w:p w:rsidR="00601DC5" w:rsidRPr="00557E4C" w:rsidRDefault="00601DC5" w:rsidP="00E25917">
      <w:pPr>
        <w:ind w:left="426"/>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 dle odst. 2 tohoto článku – výše odvodu činí 6 %.</w:t>
      </w:r>
    </w:p>
    <w:p w:rsidR="00601DC5" w:rsidRPr="00557E4C" w:rsidRDefault="00601DC5" w:rsidP="00601DC5">
      <w:pPr>
        <w:jc w:val="both"/>
        <w:rPr>
          <w:rFonts w:ascii="Calibri" w:hAnsi="Calibri" w:cs="Calibri"/>
          <w:bCs/>
          <w:sz w:val="22"/>
          <w:szCs w:val="22"/>
        </w:rPr>
      </w:pPr>
    </w:p>
    <w:p w:rsidR="00601DC5" w:rsidRPr="00557E4C" w:rsidRDefault="00601DC5" w:rsidP="00E25917">
      <w:pPr>
        <w:ind w:firstLine="426"/>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E25917">
      <w:pPr>
        <w:ind w:left="360"/>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601DC5" w:rsidRPr="00557E4C" w:rsidRDefault="00601DC5" w:rsidP="00601DC5">
      <w:pPr>
        <w:rPr>
          <w:rFonts w:ascii="Calibri" w:hAnsi="Calibri" w:cs="Calibri"/>
          <w:b/>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 xml:space="preserve">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601DC5" w:rsidRPr="0014298D"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4"/>
        </w:numPr>
        <w:jc w:val="both"/>
        <w:rPr>
          <w:rFonts w:ascii="Calibri" w:hAnsi="Calibri" w:cs="Calibri"/>
          <w:bCs/>
          <w:sz w:val="22"/>
          <w:szCs w:val="22"/>
        </w:rPr>
      </w:pPr>
      <w:r w:rsidRPr="003F46AC">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601DC5" w:rsidRPr="00C326FF"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Ostatní ujednání</w:t>
      </w:r>
    </w:p>
    <w:p w:rsidR="005E1E9D" w:rsidRPr="00C326FF" w:rsidRDefault="005E1E9D" w:rsidP="00601DC5">
      <w:pPr>
        <w:jc w:val="center"/>
        <w:rPr>
          <w:rFonts w:ascii="Calibri" w:hAnsi="Calibri" w:cs="Calibri"/>
          <w:b/>
          <w:bCs/>
          <w:sz w:val="22"/>
          <w:szCs w:val="22"/>
        </w:rPr>
      </w:pPr>
    </w:p>
    <w:p w:rsidR="00601DC5" w:rsidRPr="003F46AC" w:rsidRDefault="00601DC5" w:rsidP="003F46AC">
      <w:pPr>
        <w:pStyle w:val="Odstavecseseznamem"/>
        <w:numPr>
          <w:ilvl w:val="0"/>
          <w:numId w:val="15"/>
        </w:numPr>
        <w:jc w:val="both"/>
        <w:rPr>
          <w:rFonts w:ascii="Calibri" w:hAnsi="Calibri" w:cs="Calibri"/>
          <w:bCs/>
          <w:sz w:val="22"/>
          <w:szCs w:val="22"/>
        </w:rPr>
      </w:pPr>
      <w:r w:rsidRPr="003F46AC">
        <w:rPr>
          <w:rFonts w:ascii="Calibri" w:hAnsi="Calibri" w:cs="Calibri"/>
          <w:bCs/>
          <w:sz w:val="22"/>
          <w:szCs w:val="22"/>
        </w:rPr>
        <w:t>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601DC5" w:rsidRPr="00C326FF" w:rsidRDefault="00601DC5" w:rsidP="00601DC5">
      <w:pPr>
        <w:rPr>
          <w:rFonts w:ascii="Calibri" w:hAnsi="Calibri" w:cs="Calibri"/>
          <w:b/>
          <w:bCs/>
          <w:sz w:val="22"/>
          <w:szCs w:val="22"/>
        </w:rPr>
      </w:pPr>
    </w:p>
    <w:p w:rsidR="00601DC5" w:rsidRPr="003F46AC" w:rsidRDefault="00601DC5" w:rsidP="003F46AC">
      <w:pPr>
        <w:pStyle w:val="Odstavecseseznamem"/>
        <w:numPr>
          <w:ilvl w:val="0"/>
          <w:numId w:val="15"/>
        </w:numPr>
        <w:jc w:val="both"/>
        <w:rPr>
          <w:rFonts w:ascii="Calibri" w:hAnsi="Calibri" w:cs="Calibri"/>
          <w:bCs/>
          <w:sz w:val="22"/>
          <w:szCs w:val="22"/>
        </w:rPr>
      </w:pPr>
      <w:r w:rsidRPr="003F46AC">
        <w:rPr>
          <w:rFonts w:ascii="Calibri" w:hAnsi="Calibri" w:cs="Calibri"/>
          <w:bCs/>
          <w:sz w:val="22"/>
          <w:szCs w:val="22"/>
        </w:rPr>
        <w:t>Příjemce se zavazuje zajistit informování veřejnosti o tom, že akce byla podpořena peněžními prostředky města</w:t>
      </w:r>
      <w:r w:rsidR="00BF6DCB" w:rsidRPr="003F46AC">
        <w:rPr>
          <w:rFonts w:ascii="Calibri" w:hAnsi="Calibri" w:cs="Calibri"/>
          <w:bCs/>
          <w:sz w:val="22"/>
          <w:szCs w:val="22"/>
        </w:rPr>
        <w:t>.</w:t>
      </w:r>
      <w:r w:rsidRPr="003F46AC">
        <w:rPr>
          <w:rFonts w:ascii="Calibri" w:hAnsi="Calibri" w:cs="Calibri"/>
          <w:bCs/>
          <w:sz w:val="22"/>
          <w:szCs w:val="22"/>
        </w:rPr>
        <w:t xml:space="preserve"> </w:t>
      </w:r>
    </w:p>
    <w:p w:rsidR="00601DC5" w:rsidRPr="00066059"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5"/>
        </w:numPr>
        <w:jc w:val="both"/>
        <w:rPr>
          <w:rFonts w:ascii="Calibri" w:hAnsi="Calibri" w:cs="Calibri"/>
          <w:bCs/>
          <w:sz w:val="22"/>
          <w:szCs w:val="22"/>
        </w:rPr>
      </w:pPr>
      <w:r w:rsidRPr="003F46AC">
        <w:rPr>
          <w:rFonts w:ascii="Calibri" w:hAnsi="Calibri" w:cs="Calibri"/>
          <w:bCs/>
          <w:sz w:val="22"/>
          <w:szCs w:val="22"/>
        </w:rPr>
        <w:t>O užití dotace vede příjemce průkaznou účetní nebo jinou evidenci. Dále se zavazuje uchovávat tuto evidenci po dobu deseti let po skončení projektu.</w:t>
      </w:r>
    </w:p>
    <w:p w:rsidR="00601DC5" w:rsidRPr="00066059" w:rsidRDefault="00601DC5" w:rsidP="00601DC5">
      <w:pPr>
        <w:jc w:val="both"/>
        <w:rPr>
          <w:rFonts w:ascii="Calibri" w:hAnsi="Calibri" w:cs="Calibri"/>
          <w:bCs/>
          <w:sz w:val="22"/>
          <w:szCs w:val="22"/>
        </w:rPr>
      </w:pPr>
    </w:p>
    <w:p w:rsidR="00601DC5" w:rsidRPr="003F46AC" w:rsidRDefault="00601DC5" w:rsidP="003F46AC">
      <w:pPr>
        <w:pStyle w:val="Odstavecseseznamem"/>
        <w:numPr>
          <w:ilvl w:val="0"/>
          <w:numId w:val="15"/>
        </w:numPr>
        <w:jc w:val="both"/>
        <w:rPr>
          <w:rFonts w:ascii="Calibri" w:hAnsi="Calibri" w:cs="Calibri"/>
          <w:bCs/>
          <w:sz w:val="22"/>
          <w:szCs w:val="22"/>
        </w:rPr>
      </w:pPr>
      <w:r w:rsidRPr="003F46AC">
        <w:rPr>
          <w:rFonts w:ascii="Calibri" w:hAnsi="Calibri" w:cs="Calibri"/>
          <w:bCs/>
          <w:sz w:val="22"/>
          <w:szCs w:val="22"/>
        </w:rPr>
        <w:t xml:space="preserve">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w:t>
      </w:r>
      <w:r w:rsidRPr="003F46AC">
        <w:rPr>
          <w:rFonts w:ascii="Calibri" w:hAnsi="Calibri" w:cs="Calibri"/>
          <w:bCs/>
          <w:sz w:val="22"/>
          <w:szCs w:val="22"/>
        </w:rPr>
        <w:lastRenderedPageBreak/>
        <w:t>plněním této smlouvy. Tímto ujednáním nejsou dotčena ani omezena práva kontrolních a finančních orgánů státní správy České republiky.</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 </w:t>
      </w: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Závěrečná ujednání</w:t>
      </w:r>
    </w:p>
    <w:p w:rsidR="003F46AC" w:rsidRDefault="003F46AC" w:rsidP="003F46AC">
      <w:pPr>
        <w:pStyle w:val="Odstavecseseznamem"/>
        <w:numPr>
          <w:ilvl w:val="0"/>
          <w:numId w:val="8"/>
        </w:numPr>
        <w:jc w:val="both"/>
        <w:rPr>
          <w:rFonts w:asciiTheme="minorHAnsi" w:hAnsiTheme="minorHAnsi" w:cstheme="minorHAnsi"/>
          <w:sz w:val="22"/>
          <w:szCs w:val="22"/>
        </w:rPr>
      </w:pPr>
      <w:r w:rsidRPr="001D3E78">
        <w:rPr>
          <w:rFonts w:asciiTheme="minorHAnsi" w:hAnsiTheme="minorHAnsi" w:cstheme="minorHAnsi"/>
          <w:sz w:val="22"/>
          <w:szCs w:val="22"/>
        </w:rPr>
        <w:t xml:space="preserve">Vztahy, neupravené touto smlouvou se řídí příslušnými ustanoveními obecně závazných platných právních předpisů. </w:t>
      </w:r>
    </w:p>
    <w:p w:rsidR="003F46AC" w:rsidRPr="001D3E78" w:rsidRDefault="003F46AC" w:rsidP="003F46AC">
      <w:pPr>
        <w:pStyle w:val="Odstavecseseznamem"/>
        <w:jc w:val="both"/>
        <w:rPr>
          <w:rFonts w:asciiTheme="minorHAnsi" w:hAnsiTheme="minorHAnsi" w:cstheme="minorHAnsi"/>
          <w:sz w:val="22"/>
          <w:szCs w:val="22"/>
        </w:rPr>
      </w:pPr>
    </w:p>
    <w:p w:rsidR="003F46AC" w:rsidRPr="001D3E78" w:rsidRDefault="003F46AC" w:rsidP="003F46AC">
      <w:pPr>
        <w:pStyle w:val="Odstavecseseznamem"/>
        <w:numPr>
          <w:ilvl w:val="0"/>
          <w:numId w:val="8"/>
        </w:numPr>
        <w:jc w:val="both"/>
        <w:rPr>
          <w:rFonts w:asciiTheme="minorHAnsi" w:hAnsiTheme="minorHAnsi" w:cstheme="minorHAnsi"/>
          <w:bCs/>
          <w:sz w:val="22"/>
          <w:szCs w:val="22"/>
        </w:rPr>
      </w:pPr>
      <w:r w:rsidRPr="001D3E78">
        <w:rPr>
          <w:rFonts w:asciiTheme="minorHAnsi" w:hAnsiTheme="minorHAnsi" w:cstheme="minorHAnsi"/>
          <w:bCs/>
          <w:sz w:val="22"/>
          <w:szCs w:val="22"/>
        </w:rPr>
        <w:t>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3F46AC" w:rsidRPr="001D3E78" w:rsidRDefault="003F46AC" w:rsidP="003F46AC">
      <w:pPr>
        <w:pStyle w:val="Odstavecseseznamem"/>
        <w:jc w:val="both"/>
        <w:rPr>
          <w:rFonts w:asciiTheme="minorHAnsi" w:hAnsiTheme="minorHAnsi" w:cstheme="minorHAnsi"/>
          <w:sz w:val="22"/>
          <w:szCs w:val="22"/>
        </w:rPr>
      </w:pPr>
    </w:p>
    <w:p w:rsidR="003F46AC" w:rsidRPr="00B30B37" w:rsidRDefault="003F46AC" w:rsidP="003F46AC">
      <w:pPr>
        <w:pStyle w:val="Odstavecseseznamem"/>
        <w:numPr>
          <w:ilvl w:val="0"/>
          <w:numId w:val="8"/>
        </w:numPr>
        <w:jc w:val="both"/>
        <w:rPr>
          <w:rFonts w:asciiTheme="minorHAnsi" w:hAnsiTheme="minorHAnsi" w:cs="Arial"/>
          <w:sz w:val="22"/>
          <w:szCs w:val="22"/>
        </w:rPr>
      </w:pPr>
      <w:r w:rsidRPr="00B30B37">
        <w:rPr>
          <w:rFonts w:asciiTheme="minorHAnsi" w:hAnsiTheme="minorHAnsi" w:cs="Arial"/>
          <w:sz w:val="22"/>
          <w:szCs w:val="22"/>
        </w:rPr>
        <w:t>Příjemce je povinen se řídit Pravidly pro poskytování dotací z rozpočtu města Litvínova, touto smlouvou a obecně závaznými platnými právními předpisy.</w:t>
      </w:r>
    </w:p>
    <w:p w:rsidR="003F46AC" w:rsidRPr="00B30B37" w:rsidRDefault="003F46AC" w:rsidP="003F46AC">
      <w:pPr>
        <w:pStyle w:val="Odstavecseseznamem"/>
        <w:rPr>
          <w:rFonts w:asciiTheme="minorHAnsi" w:hAnsiTheme="minorHAnsi" w:cs="Arial"/>
          <w:sz w:val="22"/>
          <w:szCs w:val="22"/>
        </w:rPr>
      </w:pPr>
    </w:p>
    <w:p w:rsidR="003F46AC" w:rsidRPr="00B30B37" w:rsidRDefault="003F46AC" w:rsidP="003F46AC">
      <w:pPr>
        <w:pStyle w:val="Odstavecseseznamem"/>
        <w:numPr>
          <w:ilvl w:val="0"/>
          <w:numId w:val="8"/>
        </w:numPr>
        <w:jc w:val="both"/>
        <w:rPr>
          <w:rFonts w:asciiTheme="minorHAnsi" w:hAnsiTheme="minorHAnsi" w:cs="Arial"/>
          <w:sz w:val="22"/>
          <w:szCs w:val="22"/>
        </w:rPr>
      </w:pPr>
      <w:r w:rsidRPr="00B30B37">
        <w:rPr>
          <w:rFonts w:asciiTheme="minorHAnsi" w:hAnsiTheme="minorHAnsi" w:cs="Arial"/>
          <w:sz w:val="22"/>
          <w:szCs w:val="22"/>
        </w:rPr>
        <w:t>Uzavřená veřejnoprávní smlouva nad 50 000 Kč a její dodatky budou v plném rozsahu uveřejněny v informačním systému registru smluv dle zákona č. 340/2015 Sb., o registru smluv. Dle zákona č. 250/2000 Sb., o rozpočtových pravidlech, veřejnoprávní smlouva musí být uveřejněna na úřední desce způsobem umožňujícím dálkový přístup do 30 dnů ode dne uzavření smlouvy nebo jejího dodatku. Veřejnoprávní smlouva vč. dodatků musí být zveřejněna nejméně po dobu 3 let ode dne zveřejnění. Veřejnoprávní smlouva o poskytnutí dotace do výše 50 000 Kč se nezveřejňuje. Pokud však uzavřením dodatků k veřejnoprávní smlouvě bude dotace zvýšena nad 50 000 Kč, bude smlouva vč. dodatků zveřejněna stejným výše uvedeným způsobem.</w:t>
      </w:r>
    </w:p>
    <w:p w:rsidR="00B30B37" w:rsidRPr="00B30B37" w:rsidRDefault="00B30B37" w:rsidP="00B30B37">
      <w:pPr>
        <w:pStyle w:val="Odstavecseseznamem"/>
        <w:rPr>
          <w:rFonts w:asciiTheme="minorHAnsi" w:hAnsiTheme="minorHAnsi" w:cs="Arial"/>
          <w:sz w:val="22"/>
          <w:szCs w:val="22"/>
        </w:rPr>
      </w:pPr>
    </w:p>
    <w:p w:rsidR="00B30B37" w:rsidRPr="003F46AC" w:rsidRDefault="00B30B37" w:rsidP="00B30B37">
      <w:pPr>
        <w:pStyle w:val="Odstavecseseznamem"/>
        <w:numPr>
          <w:ilvl w:val="0"/>
          <w:numId w:val="8"/>
        </w:numPr>
        <w:jc w:val="both"/>
        <w:rPr>
          <w:rFonts w:ascii="Calibri" w:hAnsi="Calibri" w:cs="Calibri"/>
          <w:bCs/>
          <w:sz w:val="22"/>
          <w:szCs w:val="22"/>
        </w:rPr>
      </w:pPr>
      <w:r w:rsidRPr="003F46AC">
        <w:rPr>
          <w:rFonts w:ascii="Calibri" w:hAnsi="Calibri" w:cs="Calibri"/>
          <w:bCs/>
          <w:sz w:val="22"/>
          <w:szCs w:val="22"/>
        </w:rPr>
        <w:t>Smluvní strany se dohodly na tom, že uveřejnění v registru smluv provede poskytovatel.</w:t>
      </w:r>
    </w:p>
    <w:p w:rsidR="003F46AC" w:rsidRPr="00CC620E" w:rsidRDefault="003F46AC" w:rsidP="003F46AC">
      <w:pPr>
        <w:jc w:val="both"/>
        <w:rPr>
          <w:rFonts w:asciiTheme="minorHAnsi" w:hAnsiTheme="minorHAnsi" w:cstheme="minorHAnsi"/>
          <w:bCs/>
          <w:sz w:val="22"/>
          <w:szCs w:val="22"/>
        </w:rPr>
      </w:pPr>
    </w:p>
    <w:p w:rsidR="003F46AC" w:rsidRPr="001D3E78" w:rsidRDefault="003F46AC" w:rsidP="003F46AC">
      <w:pPr>
        <w:pStyle w:val="Odstavecseseznamem"/>
        <w:numPr>
          <w:ilvl w:val="0"/>
          <w:numId w:val="8"/>
        </w:numPr>
        <w:jc w:val="both"/>
        <w:rPr>
          <w:rFonts w:asciiTheme="minorHAnsi" w:hAnsiTheme="minorHAnsi" w:cstheme="minorHAnsi"/>
          <w:bCs/>
          <w:sz w:val="22"/>
          <w:szCs w:val="22"/>
        </w:rPr>
      </w:pPr>
      <w:r w:rsidRPr="001D3E78">
        <w:rPr>
          <w:rFonts w:asciiTheme="minorHAnsi" w:hAnsiTheme="minorHAnsi" w:cstheme="minorHAnsi"/>
          <w:bCs/>
          <w:sz w:val="22"/>
          <w:szCs w:val="22"/>
        </w:rPr>
        <w:t>Smlouva je vyhotovena ve 3 stejnopisech majících povahu originálu, z nichž příjemce obdrží 1 výtisk.</w:t>
      </w:r>
    </w:p>
    <w:p w:rsidR="003F46AC" w:rsidRPr="00CC620E" w:rsidRDefault="003F46AC" w:rsidP="003F46AC">
      <w:pPr>
        <w:jc w:val="both"/>
        <w:rPr>
          <w:rFonts w:asciiTheme="minorHAnsi" w:hAnsiTheme="minorHAnsi" w:cstheme="minorHAnsi"/>
          <w:bCs/>
          <w:sz w:val="22"/>
          <w:szCs w:val="22"/>
        </w:rPr>
      </w:pPr>
    </w:p>
    <w:p w:rsidR="003F46AC" w:rsidRPr="001D3E78" w:rsidRDefault="003F46AC" w:rsidP="003F46AC">
      <w:pPr>
        <w:pStyle w:val="Odstavecseseznamem"/>
        <w:numPr>
          <w:ilvl w:val="0"/>
          <w:numId w:val="8"/>
        </w:numPr>
        <w:jc w:val="both"/>
        <w:rPr>
          <w:rFonts w:asciiTheme="minorHAnsi" w:hAnsiTheme="minorHAnsi" w:cstheme="minorHAnsi"/>
          <w:sz w:val="22"/>
          <w:szCs w:val="22"/>
        </w:rPr>
      </w:pPr>
      <w:r w:rsidRPr="001D3E78">
        <w:rPr>
          <w:rFonts w:asciiTheme="minorHAnsi" w:hAnsiTheme="minorHAnsi" w:cstheme="minorHAnsi"/>
          <w:sz w:val="22"/>
          <w:szCs w:val="22"/>
        </w:rPr>
        <w:t>Smluvní strany souhlasí s tím, aby tato Smlouva KT/</w:t>
      </w:r>
      <w:r>
        <w:rPr>
          <w:rFonts w:asciiTheme="minorHAnsi" w:hAnsiTheme="minorHAnsi" w:cstheme="minorHAnsi"/>
          <w:sz w:val="22"/>
          <w:szCs w:val="22"/>
        </w:rPr>
        <w:t>9</w:t>
      </w:r>
      <w:r w:rsidR="003118CA">
        <w:rPr>
          <w:rFonts w:asciiTheme="minorHAnsi" w:hAnsiTheme="minorHAnsi" w:cstheme="minorHAnsi"/>
          <w:sz w:val="22"/>
          <w:szCs w:val="22"/>
        </w:rPr>
        <w:t>702</w:t>
      </w:r>
      <w:r>
        <w:rPr>
          <w:rFonts w:asciiTheme="minorHAnsi" w:hAnsiTheme="minorHAnsi" w:cstheme="minorHAnsi"/>
          <w:sz w:val="22"/>
          <w:szCs w:val="22"/>
        </w:rPr>
        <w:t>/1</w:t>
      </w:r>
      <w:r w:rsidR="003118CA">
        <w:rPr>
          <w:rFonts w:asciiTheme="minorHAnsi" w:hAnsiTheme="minorHAnsi" w:cstheme="minorHAnsi"/>
          <w:sz w:val="22"/>
          <w:szCs w:val="22"/>
        </w:rPr>
        <w:t>8</w:t>
      </w:r>
      <w:r w:rsidRPr="001D3E78">
        <w:rPr>
          <w:rFonts w:asciiTheme="minorHAnsi" w:hAnsiTheme="minorHAnsi" w:cstheme="minorHAnsi"/>
          <w:sz w:val="22"/>
          <w:szCs w:val="22"/>
        </w:rPr>
        <w:t xml:space="preserve">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3F46AC" w:rsidRPr="00CC620E" w:rsidRDefault="003F46AC" w:rsidP="003F46AC">
      <w:pPr>
        <w:jc w:val="both"/>
        <w:rPr>
          <w:rFonts w:asciiTheme="minorHAnsi" w:hAnsiTheme="minorHAnsi" w:cstheme="minorHAnsi"/>
          <w:sz w:val="22"/>
          <w:szCs w:val="22"/>
        </w:rPr>
      </w:pPr>
    </w:p>
    <w:p w:rsidR="003F46AC" w:rsidRPr="00EC5042" w:rsidRDefault="003F46AC" w:rsidP="003F46AC">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 xml:space="preserve">Smluvní strany prohlašují, že skutečnosti uvedené v této Smlouvě nepovažují za obchodní tajemství a udělují svolení k jejich zpřístupnění ve smyslu zákona č. 106/1999 Sb., o svobodném přístupu k informacím. </w:t>
      </w:r>
    </w:p>
    <w:p w:rsidR="003F46AC" w:rsidRPr="00CC620E" w:rsidRDefault="003F46AC" w:rsidP="003F46AC">
      <w:pPr>
        <w:jc w:val="both"/>
        <w:rPr>
          <w:rFonts w:asciiTheme="minorHAnsi" w:hAnsiTheme="minorHAnsi" w:cstheme="minorHAnsi"/>
          <w:sz w:val="22"/>
          <w:szCs w:val="22"/>
        </w:rPr>
      </w:pPr>
    </w:p>
    <w:p w:rsidR="003F46AC" w:rsidRPr="00EC5042" w:rsidRDefault="003F46AC" w:rsidP="003F46AC">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Tato Smlouva nabývá účinnosti dnem, kdy město Litvínov uveřejní Smlouvu v informačním systému registru smluv dle zákona č. 340/2015 Sb. o registru smluv.</w:t>
      </w:r>
    </w:p>
    <w:p w:rsidR="003F46AC" w:rsidRPr="00CC620E" w:rsidRDefault="003F46AC" w:rsidP="003F46AC">
      <w:pPr>
        <w:jc w:val="both"/>
        <w:rPr>
          <w:rFonts w:asciiTheme="minorHAnsi" w:hAnsiTheme="minorHAnsi" w:cstheme="minorHAnsi"/>
          <w:sz w:val="22"/>
          <w:szCs w:val="22"/>
        </w:rPr>
      </w:pPr>
    </w:p>
    <w:p w:rsidR="003F46AC" w:rsidRPr="00EC5042" w:rsidRDefault="003F46AC" w:rsidP="003F46AC">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 xml:space="preserve"> Tato Smlouva nabývá platnosti dnem podpisu smluvních stran. </w:t>
      </w:r>
    </w:p>
    <w:p w:rsidR="003F46AC" w:rsidRPr="00CC620E" w:rsidRDefault="003F46AC" w:rsidP="003F46AC">
      <w:pPr>
        <w:jc w:val="both"/>
        <w:rPr>
          <w:rFonts w:asciiTheme="minorHAnsi" w:hAnsiTheme="minorHAnsi" w:cstheme="minorHAnsi"/>
          <w:sz w:val="22"/>
          <w:szCs w:val="22"/>
        </w:rPr>
      </w:pPr>
    </w:p>
    <w:p w:rsidR="003F46AC" w:rsidRPr="00EC5042" w:rsidRDefault="003F46AC" w:rsidP="003F46AC">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Pokud příjemce investiční dotace nepředloží řádné vyúčtování poskytnutých finančních prostředků, neobdrží v následujících 5 letech v dalších dotačních řízeních žádné finanční prostředky z rozpočtu města.</w:t>
      </w:r>
    </w:p>
    <w:p w:rsidR="003F46AC" w:rsidRPr="00CC620E" w:rsidRDefault="003F46AC" w:rsidP="003F46AC">
      <w:pPr>
        <w:jc w:val="both"/>
        <w:rPr>
          <w:rFonts w:asciiTheme="minorHAnsi" w:hAnsiTheme="minorHAnsi" w:cstheme="minorHAnsi"/>
          <w:bCs/>
          <w:sz w:val="22"/>
          <w:szCs w:val="22"/>
        </w:rPr>
      </w:pPr>
    </w:p>
    <w:p w:rsidR="003F46AC" w:rsidRPr="00EC5042" w:rsidRDefault="003F46AC" w:rsidP="003F46AC">
      <w:pPr>
        <w:pStyle w:val="Odstavecseseznamem"/>
        <w:numPr>
          <w:ilvl w:val="0"/>
          <w:numId w:val="8"/>
        </w:numPr>
        <w:jc w:val="both"/>
        <w:rPr>
          <w:rFonts w:asciiTheme="minorHAnsi" w:hAnsiTheme="minorHAnsi" w:cstheme="minorHAnsi"/>
          <w:bCs/>
          <w:sz w:val="22"/>
          <w:szCs w:val="22"/>
        </w:rPr>
      </w:pPr>
      <w:r w:rsidRPr="00EC5042">
        <w:rPr>
          <w:rFonts w:asciiTheme="minorHAnsi" w:hAnsiTheme="minorHAnsi" w:cstheme="minorHAnsi"/>
          <w:bCs/>
          <w:sz w:val="22"/>
          <w:szCs w:val="22"/>
        </w:rPr>
        <w:t xml:space="preserve">Podpisem této smlouvy příjemce stvrzuje, že byl seznámen s charakterem poskytované investiční dotace, jakožto podpory poskytnuté v režimu Rozhodnutí služby obecného </w:t>
      </w:r>
      <w:r w:rsidRPr="00EC5042">
        <w:rPr>
          <w:rFonts w:asciiTheme="minorHAnsi" w:hAnsiTheme="minorHAnsi" w:cstheme="minorHAnsi"/>
          <w:bCs/>
          <w:sz w:val="22"/>
          <w:szCs w:val="22"/>
        </w:rPr>
        <w:lastRenderedPageBreak/>
        <w:t xml:space="preserve">hospodářského zájmu dle Rozhodnutí Komise 2012/21/EU ze dne </w:t>
      </w:r>
      <w:proofErr w:type="gramStart"/>
      <w:r w:rsidRPr="00EC5042">
        <w:rPr>
          <w:rFonts w:asciiTheme="minorHAnsi" w:hAnsiTheme="minorHAnsi" w:cstheme="minorHAnsi"/>
          <w:bCs/>
          <w:sz w:val="22"/>
          <w:szCs w:val="22"/>
        </w:rPr>
        <w:t>20.12.2011</w:t>
      </w:r>
      <w:proofErr w:type="gramEnd"/>
      <w:r w:rsidRPr="00EC5042">
        <w:rPr>
          <w:rFonts w:asciiTheme="minorHAnsi" w:hAnsiTheme="minorHAnsi" w:cstheme="minorHAnsi"/>
          <w:bCs/>
          <w:sz w:val="22"/>
          <w:szCs w:val="22"/>
        </w:rPr>
        <w:t xml:space="preserve"> o použití čl. 106 odst. 2 Smlouvy o fungování EU a s následky vyplývajícími především z nedodržení závazků obsažených v ustanoveních této smlouvy, „SOHZ“ a s následky vyplývajícími z nedodržení obecně závazných, platných právních předpisů.</w:t>
      </w:r>
    </w:p>
    <w:p w:rsidR="003F46AC" w:rsidRDefault="003F46AC" w:rsidP="003F46AC">
      <w:pPr>
        <w:jc w:val="both"/>
        <w:rPr>
          <w:rFonts w:asciiTheme="minorHAnsi" w:hAnsiTheme="minorHAnsi" w:cstheme="minorHAnsi"/>
          <w:bCs/>
          <w:sz w:val="22"/>
          <w:szCs w:val="22"/>
        </w:rPr>
      </w:pPr>
    </w:p>
    <w:p w:rsidR="003F46AC" w:rsidRPr="00EC5042" w:rsidRDefault="003F46AC" w:rsidP="003F46AC">
      <w:pPr>
        <w:pStyle w:val="Odstavecseseznamem"/>
        <w:numPr>
          <w:ilvl w:val="0"/>
          <w:numId w:val="8"/>
        </w:numPr>
        <w:jc w:val="both"/>
        <w:rPr>
          <w:rFonts w:asciiTheme="minorHAnsi" w:hAnsiTheme="minorHAnsi" w:cstheme="minorHAnsi"/>
          <w:bCs/>
          <w:sz w:val="22"/>
          <w:szCs w:val="22"/>
        </w:rPr>
      </w:pPr>
      <w:r w:rsidRPr="00EC5042">
        <w:rPr>
          <w:rFonts w:asciiTheme="minorHAnsi" w:hAnsiTheme="minorHAnsi" w:cstheme="minorHAnsi"/>
          <w:bCs/>
          <w:sz w:val="22"/>
          <w:szCs w:val="22"/>
        </w:rPr>
        <w:t>Na důkaz výslovného souhlasu s obsahem a všemi ustanoveními této smlouvy a své pravé, svobodné a vážné vůle, je tato smlouva po jejím přečtení smluvními stranami vlastnoručně podepsána.</w:t>
      </w:r>
    </w:p>
    <w:p w:rsidR="005E1E9D" w:rsidRPr="00C326FF" w:rsidRDefault="005E1E9D" w:rsidP="00601DC5">
      <w:pPr>
        <w:jc w:val="center"/>
        <w:rPr>
          <w:rFonts w:ascii="Calibri" w:hAnsi="Calibri" w:cs="Calibri"/>
          <w:b/>
          <w:bCs/>
          <w:sz w:val="22"/>
          <w:szCs w:val="22"/>
        </w:rPr>
      </w:pPr>
    </w:p>
    <w:p w:rsidR="00601DC5"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p>
    <w:p w:rsidR="00601DC5" w:rsidRPr="009679B4" w:rsidRDefault="00601DC5" w:rsidP="00601DC5">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rsidR="00601DC5" w:rsidRPr="009679B4" w:rsidRDefault="00601DC5" w:rsidP="00601DC5">
      <w:pPr>
        <w:rPr>
          <w:rFonts w:ascii="Calibri" w:hAnsi="Calibri" w:cs="Calibri"/>
          <w:sz w:val="22"/>
          <w:szCs w:val="22"/>
        </w:rPr>
      </w:pPr>
    </w:p>
    <w:p w:rsidR="00601DC5"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rsidR="00601DC5" w:rsidRPr="009679B4" w:rsidRDefault="00601DC5" w:rsidP="00601DC5">
      <w:pPr>
        <w:jc w:val="both"/>
        <w:rPr>
          <w:rFonts w:ascii="Calibri" w:hAnsi="Calibri" w:cs="Calibri"/>
          <w:sz w:val="22"/>
          <w:szCs w:val="22"/>
        </w:rPr>
      </w:pPr>
      <w:r>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t xml:space="preserve">   </w:t>
      </w:r>
      <w:r w:rsidRPr="009679B4">
        <w:rPr>
          <w:rFonts w:ascii="Calibri" w:hAnsi="Calibri" w:cs="Calibri"/>
          <w:sz w:val="22"/>
          <w:szCs w:val="22"/>
        </w:rPr>
        <w:tab/>
        <w:t xml:space="preserve">               </w:t>
      </w:r>
      <w:r>
        <w:rPr>
          <w:rFonts w:ascii="Calibri" w:hAnsi="Calibri" w:cs="Calibri"/>
          <w:sz w:val="22"/>
          <w:szCs w:val="22"/>
        </w:rPr>
        <w:t xml:space="preserve">         …………………..………………</w:t>
      </w: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 xml:space="preserve">   Ing. M</w:t>
      </w:r>
      <w:r w:rsidR="00DF6B27">
        <w:rPr>
          <w:rFonts w:ascii="Calibri" w:hAnsi="Calibri" w:cs="Calibri"/>
          <w:sz w:val="22"/>
          <w:szCs w:val="22"/>
        </w:rPr>
        <w:t>iroslav Otcovský</w:t>
      </w:r>
      <w:r w:rsidRPr="009679B4">
        <w:rPr>
          <w:rFonts w:ascii="Calibri" w:hAnsi="Calibri" w:cs="Calibri"/>
          <w:sz w:val="22"/>
          <w:szCs w:val="22"/>
        </w:rPr>
        <w:t xml:space="preserv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Mgr. Kamila Bláhová</w:t>
      </w:r>
    </w:p>
    <w:p w:rsidR="00601DC5" w:rsidRPr="009679B4" w:rsidRDefault="00DF6B27" w:rsidP="00601DC5">
      <w:pPr>
        <w:jc w:val="both"/>
        <w:rPr>
          <w:rFonts w:ascii="Calibri" w:hAnsi="Calibri" w:cs="Calibri"/>
          <w:sz w:val="22"/>
          <w:szCs w:val="22"/>
        </w:rPr>
      </w:pPr>
      <w:r>
        <w:rPr>
          <w:rFonts w:ascii="Calibri" w:hAnsi="Calibri" w:cs="Calibri"/>
          <w:sz w:val="22"/>
          <w:szCs w:val="22"/>
        </w:rPr>
        <w:t xml:space="preserve">   jednatel</w:t>
      </w:r>
      <w:r w:rsidR="00601DC5" w:rsidRPr="009679B4">
        <w:rPr>
          <w:rFonts w:ascii="Calibri" w:hAnsi="Calibri" w:cs="Calibri"/>
          <w:sz w:val="22"/>
          <w:szCs w:val="22"/>
        </w:rPr>
        <w:t xml:space="preserve"> </w:t>
      </w:r>
      <w:r>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t xml:space="preserve">         starostka města                 </w:t>
      </w:r>
    </w:p>
    <w:p w:rsidR="00601DC5" w:rsidRPr="009679B4"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3F46AC" w:rsidRDefault="003F46AC"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Default="00601DC5" w:rsidP="00601DC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Smlouva číslo: KT/</w:t>
      </w:r>
      <w:r w:rsidR="003F46AC">
        <w:rPr>
          <w:rFonts w:ascii="Arial" w:hAnsi="Arial" w:cs="Arial"/>
        </w:rPr>
        <w:t>9</w:t>
      </w:r>
      <w:r w:rsidR="003118CA">
        <w:rPr>
          <w:rFonts w:ascii="Arial" w:hAnsi="Arial" w:cs="Arial"/>
        </w:rPr>
        <w:t>702</w:t>
      </w:r>
      <w:r w:rsidR="003F46AC">
        <w:rPr>
          <w:rFonts w:ascii="Arial" w:hAnsi="Arial" w:cs="Arial"/>
        </w:rPr>
        <w:t>/1</w:t>
      </w:r>
      <w:r w:rsidR="003118CA">
        <w:rPr>
          <w:rFonts w:ascii="Arial" w:hAnsi="Arial" w:cs="Arial"/>
        </w:rPr>
        <w:t>8</w:t>
      </w:r>
    </w:p>
    <w:p w:rsidR="00601DC5" w:rsidRDefault="00601DC5" w:rsidP="00601DC5">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Podpis</w:t>
            </w: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DF6B27">
            <w:pPr>
              <w:rPr>
                <w:rFonts w:ascii="Arial" w:hAnsi="Arial" w:cs="Arial"/>
              </w:rPr>
            </w:pPr>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Lucie Krupková</w:t>
            </w:r>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sidRPr="00542E15">
              <w:rPr>
                <w:rFonts w:ascii="Arial" w:hAnsi="Arial" w:cs="Arial"/>
              </w:rPr>
              <w:t>referent OIRR</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Eva Rambousková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Pr>
                <w:rFonts w:ascii="Arial" w:hAnsi="Arial" w:cs="Arial"/>
              </w:rPr>
              <w:t>v</w:t>
            </w:r>
            <w:r w:rsidRPr="00542E15">
              <w:rPr>
                <w:rFonts w:ascii="Arial" w:hAnsi="Arial" w:cs="Arial"/>
              </w:rPr>
              <w:t>edoucí OIRR</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Romana Švarcová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sidRPr="00542E15">
              <w:rPr>
                <w:rFonts w:ascii="Arial" w:hAnsi="Arial" w:cs="Arial"/>
              </w:rPr>
              <w:t>ekonom OIRR</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2E2D37" w:rsidP="002E2D37">
            <w:pPr>
              <w:rPr>
                <w:rFonts w:ascii="Arial" w:hAnsi="Arial" w:cs="Arial"/>
              </w:rPr>
            </w:pPr>
            <w:r>
              <w:rPr>
                <w:rFonts w:ascii="Arial" w:hAnsi="Arial" w:cs="Arial"/>
              </w:rPr>
              <w:t>Mgr</w:t>
            </w:r>
            <w:r w:rsidR="00601DC5">
              <w:rPr>
                <w:rFonts w:ascii="Arial" w:hAnsi="Arial" w:cs="Arial"/>
              </w:rPr>
              <w:t xml:space="preserve">. Jan </w:t>
            </w:r>
            <w:r>
              <w:rPr>
                <w:rFonts w:ascii="Arial" w:hAnsi="Arial" w:cs="Arial"/>
              </w:rPr>
              <w:t>Buchta</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R/</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Z/</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proofErr w:type="gramStart"/>
            <w:r>
              <w:rPr>
                <w:rFonts w:ascii="Arial" w:hAnsi="Arial" w:cs="Arial"/>
                <w:b/>
                <w:sz w:val="18"/>
                <w:szCs w:val="18"/>
              </w:rPr>
              <w:t>Od</w:t>
            </w:r>
            <w:proofErr w:type="gramEnd"/>
            <w:r>
              <w:rPr>
                <w:rFonts w:ascii="Arial" w:hAnsi="Arial" w:cs="Arial"/>
                <w:b/>
                <w:sz w:val="18"/>
                <w:szCs w:val="18"/>
              </w:rPr>
              <w:t>:</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proofErr w:type="gramStart"/>
            <w:r>
              <w:rPr>
                <w:rFonts w:ascii="Arial" w:hAnsi="Arial" w:cs="Arial"/>
                <w:b/>
                <w:sz w:val="18"/>
                <w:szCs w:val="18"/>
              </w:rPr>
              <w:t>Do</w:t>
            </w:r>
            <w:proofErr w:type="gramEnd"/>
            <w:r>
              <w:rPr>
                <w:rFonts w:ascii="Arial" w:hAnsi="Arial" w:cs="Arial"/>
                <w:b/>
                <w:sz w:val="18"/>
                <w:szCs w:val="18"/>
              </w:rPr>
              <w:t>:</w:t>
            </w:r>
          </w:p>
        </w:tc>
        <w:tc>
          <w:tcPr>
            <w:tcW w:w="1758"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bl>
    <w:p w:rsidR="00601DC5" w:rsidRDefault="00601DC5" w:rsidP="00601DC5">
      <w:pPr>
        <w:rPr>
          <w:rFonts w:ascii="Arial" w:hAnsi="Arial" w:cs="Arial"/>
          <w:vertAlign w:val="superscript"/>
        </w:rPr>
      </w:pPr>
    </w:p>
    <w:p w:rsidR="00067275" w:rsidRDefault="00067275" w:rsidP="00067275">
      <w:pPr>
        <w:tabs>
          <w:tab w:val="left" w:pos="360"/>
        </w:tabs>
        <w:ind w:right="51"/>
        <w:jc w:val="center"/>
        <w:rPr>
          <w:rFonts w:ascii="Arial" w:hAnsi="Arial" w:cs="Arial"/>
          <w:sz w:val="22"/>
          <w:szCs w:val="22"/>
        </w:rPr>
      </w:pPr>
    </w:p>
    <w:p w:rsidR="00067275" w:rsidRPr="008308B1" w:rsidRDefault="00067275" w:rsidP="00067275">
      <w:pPr>
        <w:jc w:val="both"/>
        <w:rPr>
          <w:rFonts w:ascii="Arial" w:hAnsi="Arial" w:cs="Arial"/>
          <w:sz w:val="22"/>
          <w:szCs w:val="22"/>
        </w:rPr>
      </w:pPr>
    </w:p>
    <w:p w:rsidR="00067275" w:rsidRDefault="00067275" w:rsidP="00067275">
      <w:pPr>
        <w:jc w:val="center"/>
        <w:rPr>
          <w:rFonts w:ascii="Arial" w:hAnsi="Arial" w:cs="Arial"/>
          <w:b/>
          <w:bCs/>
          <w:sz w:val="22"/>
          <w:szCs w:val="22"/>
        </w:rPr>
      </w:pPr>
    </w:p>
    <w:p w:rsidR="00067275" w:rsidRDefault="00067275" w:rsidP="00067275">
      <w:pPr>
        <w:jc w:val="both"/>
        <w:rPr>
          <w:rFonts w:ascii="Arial" w:hAnsi="Arial" w:cs="Arial"/>
          <w:sz w:val="22"/>
          <w:szCs w:val="22"/>
        </w:rPr>
      </w:pPr>
    </w:p>
    <w:sectPr w:rsidR="00067275">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FEC" w:rsidRDefault="00A90FEC" w:rsidP="008A5A53">
      <w:r>
        <w:separator/>
      </w:r>
    </w:p>
  </w:endnote>
  <w:endnote w:type="continuationSeparator" w:id="0">
    <w:p w:rsidR="00A90FEC" w:rsidRDefault="00A90FEC" w:rsidP="008A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Pr="002E2D37" w:rsidRDefault="00F94CC0">
    <w:pPr>
      <w:pStyle w:val="Zpat"/>
      <w:jc w:val="right"/>
      <w:rPr>
        <w:sz w:val="16"/>
        <w:szCs w:val="16"/>
      </w:rPr>
    </w:pPr>
    <w:r w:rsidRPr="002E2D37">
      <w:rPr>
        <w:sz w:val="16"/>
        <w:szCs w:val="16"/>
      </w:rPr>
      <w:t>VPS SPORTaS, s.r.o. v souladu s</w:t>
    </w:r>
    <w:r w:rsidR="002E2D37" w:rsidRPr="002E2D37">
      <w:rPr>
        <w:sz w:val="16"/>
        <w:szCs w:val="16"/>
      </w:rPr>
      <w:t> </w:t>
    </w:r>
    <w:r w:rsidRPr="002E2D37">
      <w:rPr>
        <w:sz w:val="16"/>
        <w:szCs w:val="16"/>
      </w:rPr>
      <w:t>SOHZ</w:t>
    </w:r>
    <w:r w:rsidR="002E2D37" w:rsidRPr="002E2D37">
      <w:rPr>
        <w:sz w:val="16"/>
        <w:szCs w:val="16"/>
      </w:rPr>
      <w:t xml:space="preserve"> (</w:t>
    </w:r>
    <w:r w:rsidR="00B43185">
      <w:rPr>
        <w:sz w:val="16"/>
        <w:szCs w:val="16"/>
      </w:rPr>
      <w:t>Vybudování skateparku</w:t>
    </w:r>
    <w:r w:rsidR="002E2D37" w:rsidRPr="002E2D37">
      <w:rPr>
        <w:sz w:val="16"/>
        <w:szCs w:val="16"/>
      </w:rPr>
      <w:t>)</w:t>
    </w:r>
    <w:r w:rsidRPr="002E2D37">
      <w:rPr>
        <w:sz w:val="16"/>
        <w:szCs w:val="16"/>
      </w:rPr>
      <w:t xml:space="preserve"> -</w:t>
    </w:r>
    <w:r w:rsidR="008A5A53" w:rsidRPr="002E2D37">
      <w:rPr>
        <w:sz w:val="16"/>
        <w:szCs w:val="16"/>
      </w:rPr>
      <w:t xml:space="preserve"> investiční dotace na rok 2018</w:t>
    </w:r>
  </w:p>
  <w:p w:rsidR="00D17529" w:rsidRDefault="00F94CC0">
    <w:pPr>
      <w:pStyle w:val="Zpat"/>
      <w:jc w:val="right"/>
    </w:pPr>
    <w:r>
      <w:fldChar w:fldCharType="begin"/>
    </w:r>
    <w:r>
      <w:instrText xml:space="preserve"> PAGE </w:instrText>
    </w:r>
    <w:r>
      <w:fldChar w:fldCharType="separate"/>
    </w:r>
    <w:r w:rsidR="00934EF6">
      <w:rPr>
        <w:noProof/>
      </w:rPr>
      <w:t>8</w:t>
    </w:r>
    <w:r>
      <w:fldChar w:fldCharType="end"/>
    </w:r>
  </w:p>
  <w:p w:rsidR="00D17529" w:rsidRDefault="00A90FEC">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FEC" w:rsidRDefault="00A90FEC" w:rsidP="008A5A53">
      <w:r>
        <w:separator/>
      </w:r>
    </w:p>
  </w:footnote>
  <w:footnote w:type="continuationSeparator" w:id="0">
    <w:p w:rsidR="00A90FEC" w:rsidRDefault="00A90FEC" w:rsidP="008A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Default="00F94CC0">
    <w:pPr>
      <w:pStyle w:val="Zhlav"/>
    </w:pPr>
    <w:r>
      <w:tab/>
    </w:r>
    <w:r>
      <w:tab/>
    </w:r>
    <w:r>
      <w:tab/>
      <w:t>KT</w:t>
    </w:r>
    <w:r w:rsidR="003F46AC">
      <w:t>/9</w:t>
    </w:r>
    <w:r w:rsidR="00FD611A">
      <w:t>702</w:t>
    </w:r>
    <w:r w:rsidR="003F46AC">
      <w:t>/1</w:t>
    </w:r>
    <w:r w:rsidR="00FD611A">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D92"/>
    <w:multiLevelType w:val="hybridMultilevel"/>
    <w:tmpl w:val="96F477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C61F4F"/>
    <w:multiLevelType w:val="hybridMultilevel"/>
    <w:tmpl w:val="3A2894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7E35C7"/>
    <w:multiLevelType w:val="hybridMultilevel"/>
    <w:tmpl w:val="B944F6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F601AE"/>
    <w:multiLevelType w:val="hybridMultilevel"/>
    <w:tmpl w:val="3FAE6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CE1C22"/>
    <w:multiLevelType w:val="hybridMultilevel"/>
    <w:tmpl w:val="F0E656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E945EB"/>
    <w:multiLevelType w:val="hybridMultilevel"/>
    <w:tmpl w:val="92589E02"/>
    <w:lvl w:ilvl="0" w:tplc="912EF93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4137F9"/>
    <w:multiLevelType w:val="hybridMultilevel"/>
    <w:tmpl w:val="CE066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01E2C82"/>
    <w:multiLevelType w:val="multilevel"/>
    <w:tmpl w:val="7A0CB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30846A5F"/>
    <w:multiLevelType w:val="hybridMultilevel"/>
    <w:tmpl w:val="59A0AE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644BE6"/>
    <w:multiLevelType w:val="hybridMultilevel"/>
    <w:tmpl w:val="1804A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D7936AD"/>
    <w:multiLevelType w:val="hybridMultilevel"/>
    <w:tmpl w:val="A984B1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9E1775A"/>
    <w:multiLevelType w:val="hybridMultilevel"/>
    <w:tmpl w:val="3322F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E652B63"/>
    <w:multiLevelType w:val="hybridMultilevel"/>
    <w:tmpl w:val="A7E6C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6"/>
  </w:num>
  <w:num w:numId="3">
    <w:abstractNumId w:val="9"/>
  </w:num>
  <w:num w:numId="4">
    <w:abstractNumId w:val="3"/>
  </w:num>
  <w:num w:numId="5">
    <w:abstractNumId w:val="11"/>
  </w:num>
  <w:num w:numId="6">
    <w:abstractNumId w:val="13"/>
  </w:num>
  <w:num w:numId="7">
    <w:abstractNumId w:val="8"/>
  </w:num>
  <w:num w:numId="8">
    <w:abstractNumId w:val="1"/>
  </w:num>
  <w:num w:numId="9">
    <w:abstractNumId w:val="7"/>
  </w:num>
  <w:num w:numId="10">
    <w:abstractNumId w:val="0"/>
  </w:num>
  <w:num w:numId="11">
    <w:abstractNumId w:val="15"/>
  </w:num>
  <w:num w:numId="12">
    <w:abstractNumId w:val="12"/>
  </w:num>
  <w:num w:numId="13">
    <w:abstractNumId w:val="4"/>
  </w:num>
  <w:num w:numId="14">
    <w:abstractNumId w:val="2"/>
  </w:num>
  <w:num w:numId="15">
    <w:abstractNumId w:val="14"/>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75"/>
    <w:rsid w:val="00067275"/>
    <w:rsid w:val="000A6FDF"/>
    <w:rsid w:val="000F0359"/>
    <w:rsid w:val="001B3432"/>
    <w:rsid w:val="00262169"/>
    <w:rsid w:val="002E2D37"/>
    <w:rsid w:val="002E671B"/>
    <w:rsid w:val="003118CA"/>
    <w:rsid w:val="00330908"/>
    <w:rsid w:val="00341A28"/>
    <w:rsid w:val="0035215A"/>
    <w:rsid w:val="003F46AC"/>
    <w:rsid w:val="00427F9B"/>
    <w:rsid w:val="004639E8"/>
    <w:rsid w:val="004D52AC"/>
    <w:rsid w:val="00514AA5"/>
    <w:rsid w:val="00542E15"/>
    <w:rsid w:val="005B14EF"/>
    <w:rsid w:val="005E1E9D"/>
    <w:rsid w:val="00601DC5"/>
    <w:rsid w:val="00601F58"/>
    <w:rsid w:val="00604B9D"/>
    <w:rsid w:val="00610155"/>
    <w:rsid w:val="006901BA"/>
    <w:rsid w:val="00697C70"/>
    <w:rsid w:val="007171B2"/>
    <w:rsid w:val="00777BB5"/>
    <w:rsid w:val="007A42F0"/>
    <w:rsid w:val="007D5263"/>
    <w:rsid w:val="0083054F"/>
    <w:rsid w:val="0085414A"/>
    <w:rsid w:val="0085518B"/>
    <w:rsid w:val="00891D51"/>
    <w:rsid w:val="008A5A53"/>
    <w:rsid w:val="00924A6F"/>
    <w:rsid w:val="00934EF6"/>
    <w:rsid w:val="009B5259"/>
    <w:rsid w:val="009D5F32"/>
    <w:rsid w:val="009E31BB"/>
    <w:rsid w:val="00A038FB"/>
    <w:rsid w:val="00A82600"/>
    <w:rsid w:val="00A90FEC"/>
    <w:rsid w:val="00AE13D0"/>
    <w:rsid w:val="00AF53DF"/>
    <w:rsid w:val="00B30B37"/>
    <w:rsid w:val="00B43185"/>
    <w:rsid w:val="00B80F8D"/>
    <w:rsid w:val="00B91243"/>
    <w:rsid w:val="00BC30A8"/>
    <w:rsid w:val="00BD4490"/>
    <w:rsid w:val="00BF6DCB"/>
    <w:rsid w:val="00C06EB4"/>
    <w:rsid w:val="00C41E7E"/>
    <w:rsid w:val="00D46F7F"/>
    <w:rsid w:val="00D713D5"/>
    <w:rsid w:val="00DF6B27"/>
    <w:rsid w:val="00E128A3"/>
    <w:rsid w:val="00E25917"/>
    <w:rsid w:val="00F27C72"/>
    <w:rsid w:val="00F63706"/>
    <w:rsid w:val="00F737AA"/>
    <w:rsid w:val="00F94CC0"/>
    <w:rsid w:val="00FC3290"/>
    <w:rsid w:val="00FD61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E128A3"/>
    <w:rPr>
      <w:rFonts w:ascii="Tahoma" w:hAnsi="Tahoma" w:cs="Tahoma"/>
      <w:sz w:val="16"/>
      <w:szCs w:val="16"/>
    </w:rPr>
  </w:style>
  <w:style w:type="character" w:customStyle="1" w:styleId="TextbublinyChar">
    <w:name w:val="Text bubliny Char"/>
    <w:basedOn w:val="Standardnpsmoodstavce"/>
    <w:link w:val="Textbubliny"/>
    <w:uiPriority w:val="99"/>
    <w:semiHidden/>
    <w:rsid w:val="00E128A3"/>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E128A3"/>
    <w:rPr>
      <w:rFonts w:ascii="Tahoma" w:hAnsi="Tahoma" w:cs="Tahoma"/>
      <w:sz w:val="16"/>
      <w:szCs w:val="16"/>
    </w:rPr>
  </w:style>
  <w:style w:type="character" w:customStyle="1" w:styleId="TextbublinyChar">
    <w:name w:val="Text bubliny Char"/>
    <w:basedOn w:val="Standardnpsmoodstavce"/>
    <w:link w:val="Textbubliny"/>
    <w:uiPriority w:val="99"/>
    <w:semiHidden/>
    <w:rsid w:val="00E128A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51976-401C-4872-B35E-A9ABDD11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3084</Words>
  <Characters>18197</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3</cp:revision>
  <cp:lastPrinted>2018-04-11T08:22:00Z</cp:lastPrinted>
  <dcterms:created xsi:type="dcterms:W3CDTF">2018-05-11T09:08:00Z</dcterms:created>
  <dcterms:modified xsi:type="dcterms:W3CDTF">2018-05-11T09:09:00Z</dcterms:modified>
</cp:coreProperties>
</file>