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2B" w:rsidRDefault="008A0A2B">
      <w:pPr>
        <w:spacing w:after="776" w:line="259" w:lineRule="auto"/>
        <w:ind w:left="65" w:firstLine="0"/>
        <w:jc w:val="left"/>
      </w:pPr>
    </w:p>
    <w:p w:rsidR="008A0A2B" w:rsidRDefault="0079652C">
      <w:pPr>
        <w:spacing w:after="0" w:line="259" w:lineRule="auto"/>
        <w:ind w:left="878" w:firstLine="0"/>
        <w:jc w:val="left"/>
      </w:pPr>
      <w:r>
        <w:rPr>
          <w:sz w:val="38"/>
        </w:rPr>
        <w:t>Smlouva o přeložce zařízení distribuční soustavy</w:t>
      </w:r>
    </w:p>
    <w:p w:rsidR="008A0A2B" w:rsidRDefault="0079652C">
      <w:pPr>
        <w:spacing w:after="192" w:line="259" w:lineRule="auto"/>
        <w:ind w:left="878" w:firstLine="0"/>
        <w:jc w:val="left"/>
      </w:pPr>
      <w:r>
        <w:rPr>
          <w:sz w:val="36"/>
        </w:rPr>
        <w:t>č. 1050000880</w:t>
      </w:r>
    </w:p>
    <w:p w:rsidR="008A0A2B" w:rsidRDefault="0079652C">
      <w:pPr>
        <w:spacing w:after="123"/>
        <w:ind w:left="895" w:right="50"/>
      </w:pPr>
      <w:r>
        <w:t>uzavřená dle ustanovení §</w:t>
      </w:r>
      <w:r>
        <w:t xml:space="preserve"> 70 zákona č. 458/2000 Sb., energetický zákon, a ustanovení §</w:t>
      </w:r>
      <w:r>
        <w:t xml:space="preserve"> 1746 odst. 2 zákona č. 89/2012 Sb., občanský zákoník, mezi</w:t>
      </w:r>
    </w:p>
    <w:p w:rsidR="008A0A2B" w:rsidRDefault="0079652C">
      <w:pPr>
        <w:spacing w:after="30" w:line="259" w:lineRule="auto"/>
        <w:ind w:left="894" w:hanging="10"/>
        <w:jc w:val="left"/>
      </w:pPr>
      <w:r>
        <w:rPr>
          <w:sz w:val="26"/>
        </w:rPr>
        <w:t>Žadatelem</w:t>
      </w:r>
    </w:p>
    <w:p w:rsidR="008A0A2B" w:rsidRDefault="0079652C">
      <w:pPr>
        <w:ind w:left="895" w:right="50"/>
      </w:pPr>
      <w:r>
        <w:t>Jméno a příjmení/Obchodní firma:</w:t>
      </w:r>
    </w:p>
    <w:p w:rsidR="008A0A2B" w:rsidRDefault="0079652C">
      <w:pPr>
        <w:ind w:left="895" w:right="3216"/>
      </w:pPr>
      <w:r>
        <w:t>Ředitelství silnic a dálnic Č</w:t>
      </w:r>
      <w:r>
        <w:t>R, státní příspěvková organizace Adresa/Sídlo</w:t>
      </w:r>
      <w:r>
        <w:t>: Na Pankráci 546/56, Praha 4 - Nusle, PSČ 145 05 IČ</w:t>
      </w:r>
      <w:r>
        <w:t>: 65993390 DIČ: CZ65993390</w:t>
      </w:r>
    </w:p>
    <w:tbl>
      <w:tblPr>
        <w:tblStyle w:val="TableGrid"/>
        <w:tblW w:w="7986" w:type="dxa"/>
        <w:tblInd w:w="8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4446"/>
      </w:tblGrid>
      <w:tr w:rsidR="008A0A2B">
        <w:trPr>
          <w:trHeight w:val="557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8A0A2B" w:rsidRDefault="0079652C">
            <w:pPr>
              <w:spacing w:after="0" w:line="259" w:lineRule="auto"/>
              <w:ind w:left="0" w:firstLine="0"/>
              <w:jc w:val="left"/>
            </w:pPr>
            <w:r>
              <w:t>Zástupce ve věcech smluvních: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8A0A2B" w:rsidRDefault="0079652C">
            <w:pPr>
              <w:spacing w:after="0" w:line="259" w:lineRule="auto"/>
              <w:ind w:left="0" w:right="1417" w:firstLine="7"/>
            </w:pPr>
            <w:r w:rsidRPr="0079652C">
              <w:rPr>
                <w:highlight w:val="black"/>
              </w:rPr>
              <w:t>Ing. Zdeněk Kuťák pověřený řízením Správy Plzeň</w:t>
            </w:r>
            <w:bookmarkStart w:id="0" w:name="_GoBack"/>
            <w:bookmarkEnd w:id="0"/>
          </w:p>
        </w:tc>
      </w:tr>
      <w:tr w:rsidR="008A0A2B" w:rsidRPr="0079652C">
        <w:trPr>
          <w:trHeight w:val="57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8A0A2B" w:rsidRDefault="0079652C">
            <w:pPr>
              <w:spacing w:after="0" w:line="259" w:lineRule="auto"/>
              <w:ind w:left="7" w:firstLine="0"/>
              <w:jc w:val="left"/>
            </w:pPr>
            <w:r>
              <w:t>ve věcech technických: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8A0A2B" w:rsidRPr="0079652C" w:rsidRDefault="0079652C">
            <w:pPr>
              <w:spacing w:after="0" w:line="259" w:lineRule="auto"/>
              <w:ind w:left="22" w:firstLine="0"/>
              <w:jc w:val="left"/>
              <w:rPr>
                <w:highlight w:val="black"/>
              </w:rPr>
            </w:pPr>
            <w:r w:rsidRPr="0079652C">
              <w:rPr>
                <w:highlight w:val="black"/>
              </w:rPr>
              <w:t>Bc. Miroslav Blabol, DiS.</w:t>
            </w:r>
          </w:p>
          <w:p w:rsidR="008A0A2B" w:rsidRPr="0079652C" w:rsidRDefault="0079652C">
            <w:pPr>
              <w:spacing w:after="0" w:line="259" w:lineRule="auto"/>
              <w:ind w:left="7" w:firstLine="0"/>
              <w:rPr>
                <w:highlight w:val="black"/>
              </w:rPr>
            </w:pPr>
            <w:r w:rsidRPr="0079652C">
              <w:rPr>
                <w:highlight w:val="black"/>
              </w:rPr>
              <w:t>T: +420 377 333 729, miroslav.blabol@rsd.cz</w:t>
            </w:r>
          </w:p>
        </w:tc>
      </w:tr>
    </w:tbl>
    <w:p w:rsidR="008A0A2B" w:rsidRDefault="0079652C">
      <w:pPr>
        <w:ind w:left="895" w:right="50"/>
      </w:pPr>
      <w:r>
        <w:t>Adresa pro zasílání písemností:</w:t>
      </w:r>
    </w:p>
    <w:p w:rsidR="008A0A2B" w:rsidRDefault="0079652C">
      <w:pPr>
        <w:ind w:left="895" w:right="50"/>
      </w:pPr>
      <w:r>
        <w:t>Ř</w:t>
      </w:r>
      <w:r>
        <w:t>editelství silnic a dálnic, Správa Plzeň</w:t>
      </w:r>
    </w:p>
    <w:p w:rsidR="008A0A2B" w:rsidRDefault="0079652C">
      <w:pPr>
        <w:ind w:left="895" w:right="50"/>
      </w:pPr>
      <w:r>
        <w:t>Hřímalého 37</w:t>
      </w:r>
    </w:p>
    <w:p w:rsidR="008A0A2B" w:rsidRDefault="0079652C">
      <w:pPr>
        <w:spacing w:after="285"/>
        <w:ind w:left="895" w:right="50"/>
      </w:pPr>
      <w:r>
        <w:t>301 00</w:t>
      </w:r>
      <w:r>
        <w:t xml:space="preserve"> Plzeň</w:t>
      </w:r>
    </w:p>
    <w:p w:rsidR="008A0A2B" w:rsidRDefault="0079652C">
      <w:pPr>
        <w:spacing w:after="324"/>
        <w:ind w:left="895" w:right="50"/>
      </w:pPr>
      <w:r>
        <w:t>(dále jen „Žadatel”)</w:t>
      </w:r>
    </w:p>
    <w:p w:rsidR="008A0A2B" w:rsidRDefault="0079652C">
      <w:pPr>
        <w:spacing w:after="62"/>
        <w:ind w:left="895" w:right="50"/>
      </w:pPr>
      <w:r>
        <w:t>a</w:t>
      </w:r>
    </w:p>
    <w:p w:rsidR="008A0A2B" w:rsidRDefault="0079652C">
      <w:pPr>
        <w:spacing w:after="0" w:line="259" w:lineRule="auto"/>
        <w:ind w:left="894" w:right="5079" w:hanging="10"/>
        <w:jc w:val="left"/>
      </w:pPr>
      <w:r>
        <w:rPr>
          <w:sz w:val="26"/>
        </w:rPr>
        <w:t>Provozovatelem distribuční soustavy E.ON Distribuce, a.s.</w:t>
      </w:r>
    </w:p>
    <w:p w:rsidR="008A0A2B" w:rsidRDefault="0079652C">
      <w:pPr>
        <w:spacing w:after="35"/>
        <w:ind w:left="895" w:right="50"/>
      </w:pPr>
      <w:r>
        <w:t>Sídlo: F. A. Gerstnera 2151/6, 370 49 České Budějovice</w:t>
      </w:r>
    </w:p>
    <w:p w:rsidR="008A0A2B" w:rsidRDefault="0079652C">
      <w:pPr>
        <w:ind w:left="895" w:right="50"/>
      </w:pPr>
      <w:r>
        <w:t xml:space="preserve">Zápis v OR: </w:t>
      </w:r>
      <w:r w:rsidRPr="0079652C">
        <w:rPr>
          <w:highlight w:val="black"/>
        </w:rPr>
        <w:t>Krajský soud v Českých Budějovicích, oddíl B, vložka 1772</w:t>
      </w:r>
    </w:p>
    <w:tbl>
      <w:tblPr>
        <w:tblStyle w:val="TableGrid"/>
        <w:tblW w:w="6662" w:type="dxa"/>
        <w:tblInd w:w="885" w:type="dxa"/>
        <w:tblCellMar>
          <w:top w:w="3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842"/>
      </w:tblGrid>
      <w:tr w:rsidR="008A0A2B">
        <w:trPr>
          <w:trHeight w:val="57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8A0A2B" w:rsidRDefault="0079652C" w:rsidP="0079652C">
            <w:pPr>
              <w:spacing w:after="0" w:line="259" w:lineRule="auto"/>
              <w:ind w:left="7" w:right="1532" w:hanging="7"/>
              <w:jc w:val="left"/>
            </w:pPr>
            <w:r>
              <w:rPr>
                <w:sz w:val="26"/>
              </w:rPr>
              <w:t>IČ</w:t>
            </w:r>
            <w:r>
              <w:rPr>
                <w:sz w:val="26"/>
              </w:rPr>
              <w:t>: 28085400 Zástupce: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A0A2B" w:rsidRDefault="0079652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DIČ: CZ</w:t>
            </w:r>
            <w:r>
              <w:rPr>
                <w:sz w:val="26"/>
              </w:rPr>
              <w:t>28085400</w:t>
            </w:r>
          </w:p>
        </w:tc>
      </w:tr>
      <w:tr w:rsidR="008A0A2B" w:rsidRPr="0079652C">
        <w:trPr>
          <w:trHeight w:val="1253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8A0A2B" w:rsidRDefault="0079652C">
            <w:pPr>
              <w:spacing w:after="0" w:line="259" w:lineRule="auto"/>
              <w:ind w:left="0" w:firstLine="0"/>
              <w:jc w:val="left"/>
            </w:pPr>
            <w:r>
              <w:t>ve věcech smluvních: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8A0A2B" w:rsidRPr="0079652C" w:rsidRDefault="0079652C">
            <w:pPr>
              <w:spacing w:after="0" w:line="259" w:lineRule="auto"/>
              <w:ind w:left="0" w:firstLine="0"/>
              <w:jc w:val="left"/>
              <w:rPr>
                <w:highlight w:val="black"/>
              </w:rPr>
            </w:pPr>
            <w:r w:rsidRPr="0079652C">
              <w:rPr>
                <w:highlight w:val="black"/>
              </w:rPr>
              <w:t>Ing. Pavel Černý</w:t>
            </w:r>
          </w:p>
          <w:p w:rsidR="008A0A2B" w:rsidRPr="0079652C" w:rsidRDefault="0079652C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79652C">
              <w:rPr>
                <w:highlight w:val="black"/>
              </w:rPr>
              <w:t>Rozvoj a technické plánování</w:t>
            </w:r>
          </w:p>
          <w:p w:rsidR="008A0A2B" w:rsidRPr="0079652C" w:rsidRDefault="0079652C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 w:rsidRPr="0079652C">
              <w:rPr>
                <w:highlight w:val="black"/>
              </w:rPr>
              <w:t>Ing. Michal Turek</w:t>
            </w:r>
          </w:p>
          <w:p w:rsidR="008A0A2B" w:rsidRPr="0079652C" w:rsidRDefault="0079652C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 w:rsidRPr="0079652C">
              <w:rPr>
                <w:highlight w:val="black"/>
              </w:rPr>
              <w:t>Rozvoj sítí západ</w:t>
            </w:r>
          </w:p>
        </w:tc>
      </w:tr>
      <w:tr w:rsidR="008A0A2B" w:rsidRPr="0079652C">
        <w:trPr>
          <w:trHeight w:val="38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A2B" w:rsidRDefault="0079652C">
            <w:pPr>
              <w:spacing w:after="0" w:line="259" w:lineRule="auto"/>
              <w:ind w:left="14" w:firstLine="0"/>
              <w:jc w:val="left"/>
            </w:pPr>
            <w:r>
              <w:t>ve věcech technických: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A2B" w:rsidRPr="0079652C" w:rsidRDefault="0079652C">
            <w:pPr>
              <w:spacing w:after="0" w:line="259" w:lineRule="auto"/>
              <w:ind w:left="7" w:firstLine="0"/>
              <w:jc w:val="left"/>
              <w:rPr>
                <w:highlight w:val="black"/>
              </w:rPr>
            </w:pPr>
            <w:r w:rsidRPr="0079652C">
              <w:rPr>
                <w:highlight w:val="black"/>
              </w:rPr>
              <w:t>Andrea Zikešová</w:t>
            </w:r>
          </w:p>
        </w:tc>
      </w:tr>
    </w:tbl>
    <w:p w:rsidR="008A0A2B" w:rsidRPr="0079652C" w:rsidRDefault="0079652C" w:rsidP="0079652C">
      <w:pPr>
        <w:spacing w:after="42"/>
        <w:ind w:left="892" w:right="245" w:firstLine="3813"/>
        <w:jc w:val="left"/>
        <w:rPr>
          <w:highlight w:val="black"/>
        </w:rPr>
      </w:pPr>
      <w:r w:rsidRPr="0079652C">
        <w:rPr>
          <w:highlight w:val="black"/>
        </w:rPr>
        <w:t>T+420 387 862 669, andrea.zikesova@eon.cz</w:t>
      </w:r>
      <w:r>
        <w:t xml:space="preserve">      </w:t>
      </w:r>
      <w:r>
        <w:t xml:space="preserve">Bankovní spojení: </w:t>
      </w:r>
      <w:r w:rsidRPr="0079652C">
        <w:rPr>
          <w:highlight w:val="black"/>
        </w:rPr>
        <w:t>Komerční banka, a.s.</w:t>
      </w:r>
    </w:p>
    <w:p w:rsidR="008A0A2B" w:rsidRDefault="0079652C">
      <w:pPr>
        <w:spacing w:after="239"/>
        <w:ind w:left="895" w:right="5454"/>
      </w:pPr>
      <w:r w:rsidRPr="0079652C">
        <w:rPr>
          <w:highlight w:val="black"/>
        </w:rPr>
        <w:t>č. účtu: 27-9426120297 / 0100</w:t>
      </w:r>
      <w:r>
        <w:t xml:space="preserve">                </w:t>
      </w:r>
      <w:r>
        <w:t xml:space="preserve"> variabilní symbol: </w:t>
      </w:r>
      <w:r w:rsidRPr="0079652C">
        <w:rPr>
          <w:highlight w:val="black"/>
        </w:rPr>
        <w:t>3847001803</w:t>
      </w:r>
    </w:p>
    <w:p w:rsidR="008A0A2B" w:rsidRDefault="0079652C">
      <w:pPr>
        <w:ind w:left="895" w:right="50"/>
      </w:pPr>
      <w:r>
        <w:t>(dále jen „Provozovatel DS”)</w:t>
      </w:r>
    </w:p>
    <w:p w:rsidR="0079652C" w:rsidRDefault="0079652C">
      <w:pPr>
        <w:ind w:left="895" w:right="50"/>
      </w:pPr>
    </w:p>
    <w:p w:rsidR="0079652C" w:rsidRDefault="0079652C">
      <w:pPr>
        <w:ind w:left="895" w:right="50"/>
      </w:pPr>
    </w:p>
    <w:p w:rsidR="0079652C" w:rsidRDefault="0079652C">
      <w:pPr>
        <w:ind w:left="895" w:right="50"/>
      </w:pPr>
    </w:p>
    <w:p w:rsidR="008A0A2B" w:rsidRDefault="0079652C">
      <w:pPr>
        <w:spacing w:after="0" w:line="259" w:lineRule="auto"/>
        <w:ind w:left="894" w:hanging="10"/>
        <w:jc w:val="left"/>
      </w:pPr>
      <w:r>
        <w:rPr>
          <w:sz w:val="26"/>
        </w:rPr>
        <w:lastRenderedPageBreak/>
        <w:t>I. Předmět smlouvy a specifikace přeložky</w:t>
      </w:r>
    </w:p>
    <w:p w:rsidR="008A0A2B" w:rsidRDefault="0079652C">
      <w:pPr>
        <w:numPr>
          <w:ilvl w:val="0"/>
          <w:numId w:val="1"/>
        </w:numPr>
        <w:spacing w:after="51"/>
        <w:ind w:left="1168" w:right="25" w:hanging="266"/>
        <w:jc w:val="left"/>
      </w:pPr>
      <w:r>
        <w:t>Předmětem této smlouvy je závazek Provozovatele DS provést ve smyslu ust. §</w:t>
      </w:r>
      <w:r>
        <w:t xml:space="preserve"> 70 zákona č. 458/2000 Sb. ve znění pozdějších předpisů přeložení níže specifikované části zařízení distribuční soustavy a závazek Žadatele</w:t>
      </w:r>
      <w:r>
        <w:t xml:space="preserve"> uhradit veškeré náklady spojené s tímto přeložením a vybudováním nové části zařízení distribuční soustavy jako náhrady za stávající.</w:t>
      </w:r>
    </w:p>
    <w:p w:rsidR="008A0A2B" w:rsidRDefault="0079652C">
      <w:pPr>
        <w:numPr>
          <w:ilvl w:val="0"/>
          <w:numId w:val="1"/>
        </w:numPr>
        <w:spacing w:after="78" w:line="248" w:lineRule="auto"/>
        <w:ind w:left="1168" w:right="25" w:hanging="266"/>
        <w:jc w:val="left"/>
      </w:pPr>
      <w:r>
        <w:t>Provozovatel DS je vlastníkem a provozovatelem části zařízení distribuční soustavy označené jako: VTL plynovod DNIOO které</w:t>
      </w:r>
      <w:r>
        <w:t xml:space="preserve"> se nachází v lokalitě: k.ú. Mirotice</w:t>
      </w:r>
    </w:p>
    <w:p w:rsidR="008A0A2B" w:rsidRDefault="0079652C">
      <w:pPr>
        <w:spacing w:after="44"/>
        <w:ind w:left="895" w:right="50"/>
      </w:pPr>
      <w:r>
        <w:t>Z důvodu požadavku stavby Žadatele: 1)4 Mirotice, rozšíření je nutno přeložit výše uvedenou část zařízení distribuční soustavy, a to následujícím způsobem: Přeložka má charakter dílčí změny trasy plynárenského zařízení</w:t>
      </w:r>
      <w:r>
        <w:t xml:space="preserve"> (příp. přemístění některých prvků tohoto zařízení).</w:t>
      </w:r>
    </w:p>
    <w:p w:rsidR="008A0A2B" w:rsidRDefault="0079652C">
      <w:pPr>
        <w:spacing w:after="60"/>
        <w:ind w:left="895" w:right="50"/>
      </w:pPr>
      <w:r>
        <w:t>Stavební objekt přeložky (SO):</w:t>
      </w:r>
    </w:p>
    <w:p w:rsidR="008A0A2B" w:rsidRPr="0079652C" w:rsidRDefault="0079652C">
      <w:pPr>
        <w:spacing w:after="0" w:line="259" w:lineRule="auto"/>
        <w:ind w:left="894" w:hanging="10"/>
        <w:jc w:val="left"/>
        <w:rPr>
          <w:b/>
        </w:rPr>
      </w:pPr>
      <w:r w:rsidRPr="0079652C">
        <w:rPr>
          <w:b/>
          <w:sz w:val="26"/>
        </w:rPr>
        <w:t>SO 501 — Přeložka VTL plynovodu v km 76,130</w:t>
      </w:r>
    </w:p>
    <w:p w:rsidR="008A0A2B" w:rsidRDefault="0079652C">
      <w:pPr>
        <w:ind w:left="895" w:right="50"/>
      </w:pPr>
      <w:r>
        <w:t xml:space="preserve">Přeložka VTL plynovodu DN 100 v celkové délce cca 150 m začíná napojením na stávající VTL plynovod DN 100 na pozemku p.č.1863 v </w:t>
      </w:r>
      <w:r>
        <w:t>k.ú. Mirotice. Křížení dálnice D4 bude provedeno podvrtem, potrubí DN 100 bude uloženo do chráničky DN300. Přeložka bude ukončena napojením na stávající plynovod na pozemku p.č. 1425 v k.ú. Mirotice.</w:t>
      </w:r>
    </w:p>
    <w:p w:rsidR="008A0A2B" w:rsidRDefault="0079652C">
      <w:pPr>
        <w:ind w:left="895" w:right="50"/>
      </w:pPr>
      <w:r>
        <w:t>Propojení přeložky na stávající potrubí bude provedeno p</w:t>
      </w:r>
      <w:r>
        <w:t>omocí jednoho stoplování před přeložkou a stávajícím uzávěrem u RS. Vzhledem k tomu že překládaná část zařízení je vstupním potrubím do VTL RS Mirotice, je nutné po dobu výstavby zajistit plynulé zásobování odběratelů pomocí náhradní regulační řady. Zárove</w:t>
      </w:r>
      <w:r>
        <w:t>ň bude na novém potrubí osazeny prvky katodové ochrany.</w:t>
      </w:r>
    </w:p>
    <w:p w:rsidR="008A0A2B" w:rsidRDefault="0079652C">
      <w:pPr>
        <w:ind w:left="895" w:right="50"/>
      </w:pPr>
      <w:r>
        <w:t>V rámci přeložky bude odstraněno (demontováno) cca 130 m stávajícího potrubí.</w:t>
      </w:r>
    </w:p>
    <w:p w:rsidR="008A0A2B" w:rsidRDefault="0079652C">
      <w:pPr>
        <w:ind w:left="895" w:right="50"/>
      </w:pPr>
      <w:r>
        <w:t>Rozsah překládaného zařízení je vyznačen v přiložené situační mapce, která je součástí této smlouvy.</w:t>
      </w:r>
    </w:p>
    <w:p w:rsidR="008A0A2B" w:rsidRDefault="0079652C">
      <w:pPr>
        <w:spacing w:after="25"/>
        <w:ind w:left="960" w:right="50"/>
      </w:pPr>
      <w:r>
        <w:t>Přeložka plynárenského zařízení bude realizována Provozovatelem DS jako stavba:</w:t>
      </w:r>
    </w:p>
    <w:p w:rsidR="008A0A2B" w:rsidRDefault="0079652C">
      <w:pPr>
        <w:tabs>
          <w:tab w:val="center" w:pos="1399"/>
          <w:tab w:val="center" w:pos="4123"/>
        </w:tabs>
        <w:spacing w:after="0" w:line="259" w:lineRule="auto"/>
        <w:ind w:left="0" w:firstLine="0"/>
        <w:jc w:val="left"/>
      </w:pPr>
      <w:r>
        <w:rPr>
          <w:sz w:val="26"/>
        </w:rPr>
        <w:tab/>
        <w:t xml:space="preserve">Přeložka </w:t>
      </w:r>
      <w:r>
        <w:rPr>
          <w:sz w:val="26"/>
        </w:rPr>
        <w:tab/>
        <w:t>Mirotice, SO 501 (číslo: 1050000880)</w:t>
      </w:r>
    </w:p>
    <w:p w:rsidR="008A0A2B" w:rsidRDefault="0079652C">
      <w:pPr>
        <w:spacing w:after="113"/>
        <w:ind w:left="960" w:right="50"/>
      </w:pPr>
      <w:r>
        <w:t>(dále jen „provedení přeložky”)</w:t>
      </w:r>
    </w:p>
    <w:p w:rsidR="008A0A2B" w:rsidRDefault="0079652C">
      <w:pPr>
        <w:spacing w:after="0" w:line="259" w:lineRule="auto"/>
        <w:ind w:left="967" w:hanging="10"/>
        <w:jc w:val="left"/>
      </w:pPr>
      <w:r>
        <w:rPr>
          <w:sz w:val="26"/>
        </w:rPr>
        <w:t>II. Termín provedení přeložky</w:t>
      </w:r>
    </w:p>
    <w:p w:rsidR="008A0A2B" w:rsidRDefault="0079652C">
      <w:pPr>
        <w:numPr>
          <w:ilvl w:val="0"/>
          <w:numId w:val="2"/>
        </w:numPr>
        <w:ind w:right="50" w:hanging="288"/>
      </w:pPr>
      <w:r>
        <w:t>Provozovatel DS se zavazuje za sjednaných podmínek provést toto přeložení za součinnosti Žadatele do 31.12.2019 za předpokladu, že:</w:t>
      </w:r>
    </w:p>
    <w:p w:rsidR="008A0A2B" w:rsidRDefault="0079652C">
      <w:pPr>
        <w:numPr>
          <w:ilvl w:val="1"/>
          <w:numId w:val="2"/>
        </w:numPr>
        <w:ind w:left="1526" w:right="50" w:hanging="281"/>
      </w:pPr>
      <w:r>
        <w:t>Žadatel řádně a včas splní veškeré své závazky z této Smlouvy,</w:t>
      </w:r>
    </w:p>
    <w:p w:rsidR="008A0A2B" w:rsidRDefault="0079652C">
      <w:pPr>
        <w:numPr>
          <w:ilvl w:val="1"/>
          <w:numId w:val="2"/>
        </w:numPr>
        <w:ind w:left="1526" w:right="50" w:hanging="281"/>
      </w:pPr>
      <w:r>
        <w:t>nenastane překážka v době podpisu smlouvy neznámá, bránící za</w:t>
      </w:r>
      <w:r>
        <w:t>hájení nebo provádění prací souvisejících s provedením přeložky, žadatel bere na vědomí, že přeložka může být realizována pouze mimo topnou sezonu, tj. v období květen - září</w:t>
      </w:r>
    </w:p>
    <w:p w:rsidR="008A0A2B" w:rsidRDefault="0079652C">
      <w:pPr>
        <w:numPr>
          <w:ilvl w:val="1"/>
          <w:numId w:val="2"/>
        </w:numPr>
        <w:ind w:left="1526" w:right="50" w:hanging="281"/>
      </w:pPr>
      <w:r>
        <w:t>osoby s vlastnickým nebo jiným věcným právem k nemovitostem dotčeným realizací př</w:t>
      </w:r>
      <w:r>
        <w:t>eložky umožní Provozovateli DS provedení přeložky</w:t>
      </w:r>
    </w:p>
    <w:p w:rsidR="008A0A2B" w:rsidRDefault="0079652C">
      <w:pPr>
        <w:numPr>
          <w:ilvl w:val="1"/>
          <w:numId w:val="2"/>
        </w:numPr>
        <w:spacing w:after="51"/>
        <w:ind w:left="1526" w:right="50" w:hanging="281"/>
      </w:pPr>
      <w:r>
        <w:t>budou splněny veškeré zákonné předpoklady pro provedení přeložky, zejména splnění předpokladů dle zákona č. 183/2006 Sb. Stavebního zákona v platném znění, do: 31.12.2018 pokud tato smlouva dále nestanoví j</w:t>
      </w:r>
      <w:r>
        <w:t>inak.</w:t>
      </w:r>
    </w:p>
    <w:p w:rsidR="008A0A2B" w:rsidRDefault="0079652C">
      <w:pPr>
        <w:numPr>
          <w:ilvl w:val="0"/>
          <w:numId w:val="2"/>
        </w:numPr>
        <w:ind w:right="50" w:hanging="288"/>
      </w:pPr>
      <w:r>
        <w:t>Provozovatel DS má právo na jednostrannou přiměřenou změnu termínu provedení přeložky zařízení distribuční soustavy uvedeného v tomto článku a dále má právo na změnu</w:t>
      </w: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8A0A2B" w:rsidRDefault="0079652C">
      <w:pPr>
        <w:spacing w:after="124"/>
        <w:ind w:left="1133" w:right="50"/>
      </w:pPr>
      <w:r>
        <w:lastRenderedPageBreak/>
        <w:t>technického provedení přeložky specifikovaného v článku IV. odst. 2) písm. a) té</w:t>
      </w:r>
      <w:r>
        <w:t>to smlouvy v případě, že nebude splněna některá z podmínek stanovených v odst. 1) tohoto článku nebo v případě změny používané technologie prvků v důsledku technického rozvoje. Provozovatel DS uvědomí Ž</w:t>
      </w:r>
      <w:r>
        <w:t>adatele o jednostranné změně termínu provedení přeložk</w:t>
      </w:r>
      <w:r>
        <w:t>y nebo o jednostranné změně technického provedení přeložky poté, co se o nesplnění dané podmínky dozví.</w:t>
      </w:r>
    </w:p>
    <w:p w:rsidR="0079652C" w:rsidRDefault="0079652C">
      <w:pPr>
        <w:spacing w:after="124"/>
        <w:ind w:left="1133" w:right="50"/>
      </w:pPr>
    </w:p>
    <w:p w:rsidR="008A0A2B" w:rsidRDefault="0079652C">
      <w:pPr>
        <w:spacing w:after="58" w:line="259" w:lineRule="auto"/>
        <w:ind w:left="894" w:hanging="10"/>
        <w:jc w:val="left"/>
      </w:pPr>
      <w:r>
        <w:rPr>
          <w:sz w:val="26"/>
        </w:rPr>
        <w:t>III. Výše a splatnost úhrady nákladů na provedení přeložky</w:t>
      </w:r>
    </w:p>
    <w:p w:rsidR="008A0A2B" w:rsidRPr="0079652C" w:rsidRDefault="0079652C">
      <w:pPr>
        <w:spacing w:after="85"/>
        <w:ind w:left="1295" w:right="50" w:hanging="403"/>
        <w:rPr>
          <w:b/>
        </w:rPr>
      </w:pPr>
      <w:r>
        <w:t xml:space="preserve">l) V souladu s platnými právními předpisy, žádostí o přeložení zařízení distribuční soustavy a stanoveným technickým řešením dle této smlouvy je výše předpokládaných nákladů na provedení přeložky </w:t>
      </w:r>
      <w:r w:rsidRPr="0079652C">
        <w:rPr>
          <w:b/>
        </w:rPr>
        <w:t>2 800 000 Kč.</w:t>
      </w:r>
    </w:p>
    <w:p w:rsidR="008A0A2B" w:rsidRDefault="0079652C">
      <w:pPr>
        <w:numPr>
          <w:ilvl w:val="0"/>
          <w:numId w:val="3"/>
        </w:numPr>
        <w:spacing w:after="52"/>
        <w:ind w:right="50" w:hanging="424"/>
      </w:pPr>
      <w:r>
        <w:t>Úhrada nákladů na provedení přeložky bude prov</w:t>
      </w:r>
      <w:r>
        <w:t>edena takto:</w:t>
      </w:r>
    </w:p>
    <w:p w:rsidR="008A0A2B" w:rsidRDefault="0079652C">
      <w:pPr>
        <w:numPr>
          <w:ilvl w:val="2"/>
          <w:numId w:val="4"/>
        </w:numPr>
        <w:spacing w:after="35"/>
        <w:ind w:left="1857" w:right="50" w:hanging="137"/>
      </w:pPr>
      <w:r>
        <w:t xml:space="preserve">první splátka ve výši 15 % z předpokládaných nákladů sjednaných v odst. l) tohoto článku, tj. </w:t>
      </w:r>
      <w:r w:rsidRPr="0079652C">
        <w:rPr>
          <w:b/>
        </w:rPr>
        <w:t>420 000 Kč</w:t>
      </w:r>
      <w:r>
        <w:t xml:space="preserve"> je splatná do 15 dnů od uzavření této smlouvy na účet Provozovatele DS uvedený v záhlaví této smlouvy.</w:t>
      </w:r>
    </w:p>
    <w:p w:rsidR="008A0A2B" w:rsidRDefault="0079652C">
      <w:pPr>
        <w:numPr>
          <w:ilvl w:val="2"/>
          <w:numId w:val="4"/>
        </w:numPr>
        <w:spacing w:after="54"/>
        <w:ind w:left="1857" w:right="50" w:hanging="137"/>
      </w:pPr>
      <w:r>
        <w:t>druhá splátka bude uhrazena po zpra</w:t>
      </w:r>
      <w:r>
        <w:t>cování prováděcí projektové dokumentace na základě předpisu platby, který vystaví a zašle Provozovatel DS Žadateli.</w:t>
      </w:r>
    </w:p>
    <w:p w:rsidR="008A0A2B" w:rsidRDefault="0079652C">
      <w:pPr>
        <w:numPr>
          <w:ilvl w:val="2"/>
          <w:numId w:val="4"/>
        </w:numPr>
        <w:spacing w:after="69"/>
        <w:ind w:left="1857" w:right="50" w:hanging="137"/>
      </w:pPr>
      <w:r>
        <w:t>případné další nedoplatky budou uhrazeny po dokončení provedení přeložky na základě předpisu platby, který vystaví a zašle Provozovatel DS Ž</w:t>
      </w:r>
      <w:r>
        <w:t>adateli na základě skutečně vynaložených prokazatelně nezbytně nutných nákladů na provedení přeložky.</w:t>
      </w:r>
    </w:p>
    <w:p w:rsidR="008A0A2B" w:rsidRDefault="0079652C">
      <w:pPr>
        <w:numPr>
          <w:ilvl w:val="0"/>
          <w:numId w:val="3"/>
        </w:numPr>
        <w:spacing w:after="96"/>
        <w:ind w:right="50" w:hanging="424"/>
      </w:pPr>
      <w:r>
        <w:t>Ž</w:t>
      </w:r>
      <w:r>
        <w:t>adatel bere na vědomí, že shora uvedená výše předpokládaných nákladů byla stanovena na základě měrných nákladů Provozovatele DS, přičemž dle odst. 4) a 5</w:t>
      </w:r>
      <w:r>
        <w:t>) tohoto článku může být provedena úprava výše nákladů. Žadatel je povinen uhradit Provozovateli DS veškeré prokazatelně nezbytně nutné vynaložené náklady na provedení přeložky,</w:t>
      </w:r>
    </w:p>
    <w:p w:rsidR="008A0A2B" w:rsidRDefault="0079652C">
      <w:pPr>
        <w:numPr>
          <w:ilvl w:val="0"/>
          <w:numId w:val="3"/>
        </w:numPr>
        <w:spacing w:after="52"/>
        <w:ind w:right="50" w:hanging="424"/>
      </w:pPr>
      <w:r>
        <w:t>V případě, že z rozpočtu projektové dokumentace provedení přeložky nebo z proc</w:t>
      </w:r>
      <w:r>
        <w:t>esu samotné realizace provedení přeložky vyplyne odlišná výše nákladů oproti předpokládaným nákladům Provozovatele DS dle odst. 1) tohoto článku, smluvní strany sjednávají následující postup:</w:t>
      </w:r>
    </w:p>
    <w:p w:rsidR="008A0A2B" w:rsidRDefault="0079652C">
      <w:pPr>
        <w:numPr>
          <w:ilvl w:val="1"/>
          <w:numId w:val="3"/>
        </w:numPr>
        <w:spacing w:after="54"/>
        <w:ind w:left="1580" w:right="183" w:hanging="281"/>
      </w:pPr>
      <w:r>
        <w:t>V případě zvýšení nákladů, tj. přesáhnou-li skutečné náklady výš</w:t>
      </w:r>
      <w:r>
        <w:t>i předpokládaných nákladů sjednaných v odst. 1) tohoto článku, Provozovatel DS na toto zvýšení Ž</w:t>
      </w:r>
      <w:r>
        <w:t>adatele bez prodlení písemně upozorní a oznámí mu nově určenou výši předpokládaných nákladů. Takové zvýšení nákladů bude smluvními stranami potvrzeno písemným d</w:t>
      </w:r>
      <w:r>
        <w:t>odatkem k této smlouvě.</w:t>
      </w:r>
    </w:p>
    <w:p w:rsidR="008A0A2B" w:rsidRDefault="0079652C">
      <w:pPr>
        <w:numPr>
          <w:ilvl w:val="1"/>
          <w:numId w:val="3"/>
        </w:numPr>
        <w:spacing w:after="77"/>
        <w:ind w:left="1580" w:right="183" w:hanging="281"/>
      </w:pPr>
      <w:r>
        <w:t>V případě snížení předpokládaných nákladů je Provozovatel DS povinen tuto skutečnost oznámit Ž</w:t>
      </w:r>
      <w:r>
        <w:t>adateli. Pro tento případ snížení úhrady se smluvní strany dohodly, že nebudou uzavírat dodatek k této smlouvě.</w:t>
      </w:r>
    </w:p>
    <w:p w:rsidR="008A0A2B" w:rsidRDefault="0079652C">
      <w:pPr>
        <w:numPr>
          <w:ilvl w:val="0"/>
          <w:numId w:val="3"/>
        </w:numPr>
        <w:ind w:right="50" w:hanging="424"/>
      </w:pPr>
      <w:r>
        <w:t>V případě, že skutečně vyn</w:t>
      </w:r>
      <w:r>
        <w:t>aložené náklady budou nižší, než předpokládané náklady sjednané v odst. 1) tohoto článku, je Provozovatel DS povinen vrátit Žadateli případný přeplatek dobropisem, a to do 3 měsíců po dokončení provedení přeložky, tj. po kolaudaci stavby a po uzavření všec</w:t>
      </w:r>
      <w:r>
        <w:t>h majetkoprávních smluv souvisejících se stavbou specifikovanou v čl. I této smlouvy.</w:t>
      </w: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8A0A2B" w:rsidRDefault="0079652C">
      <w:pPr>
        <w:numPr>
          <w:ilvl w:val="0"/>
          <w:numId w:val="3"/>
        </w:numPr>
        <w:spacing w:after="117"/>
        <w:ind w:right="50" w:hanging="424"/>
      </w:pPr>
      <w:r>
        <w:lastRenderedPageBreak/>
        <w:t>Úhrada jakékoliv platby vyplývající z této smlouvy bude provedena převodním příkazem nebo složenkou. Závazek splacení ze strany Žadatele je splněn dnem připsání částky v požadované výši na účet Provozovatele DS uvedený v záhlaví této smlouvy.</w:t>
      </w:r>
    </w:p>
    <w:p w:rsidR="008A0A2B" w:rsidRDefault="0079652C">
      <w:pPr>
        <w:spacing w:after="0" w:line="259" w:lineRule="auto"/>
        <w:ind w:left="894" w:hanging="10"/>
        <w:jc w:val="left"/>
      </w:pPr>
      <w:r>
        <w:rPr>
          <w:sz w:val="26"/>
        </w:rPr>
        <w:t>IV. Práva a p</w:t>
      </w:r>
      <w:r>
        <w:rPr>
          <w:sz w:val="26"/>
        </w:rPr>
        <w:t>ovinnosti smluvních stran</w:t>
      </w:r>
    </w:p>
    <w:p w:rsidR="008A0A2B" w:rsidRDefault="0079652C">
      <w:pPr>
        <w:ind w:left="895" w:right="50"/>
      </w:pPr>
      <w:r>
        <w:t>l) Povinnosti Žadatele:</w:t>
      </w:r>
    </w:p>
    <w:p w:rsidR="008A0A2B" w:rsidRDefault="0079652C">
      <w:pPr>
        <w:numPr>
          <w:ilvl w:val="0"/>
          <w:numId w:val="5"/>
        </w:numPr>
        <w:spacing w:after="34"/>
        <w:ind w:right="50" w:hanging="288"/>
      </w:pPr>
      <w:r>
        <w:t>řádně, včas a ve sjednané výši uhradit veškeré platby z této smlouvy a to na účet Provozovatele DS převodem nebo složenkou s variabilním symbolem 3847001803.</w:t>
      </w:r>
    </w:p>
    <w:p w:rsidR="008A0A2B" w:rsidRDefault="0079652C">
      <w:pPr>
        <w:numPr>
          <w:ilvl w:val="0"/>
          <w:numId w:val="5"/>
        </w:numPr>
        <w:spacing w:after="48"/>
        <w:ind w:right="50" w:hanging="288"/>
      </w:pPr>
      <w:r>
        <w:t xml:space="preserve">zajistit převedení práv a povinností z územního </w:t>
      </w:r>
      <w:r>
        <w:t>rozhodnutí, které se týkají stavebního objektu přeložky, uvedeného v článku I. této smlouvy z Žadatele na Provozovatele DS do 30.6.2018</w:t>
      </w:r>
    </w:p>
    <w:p w:rsidR="008A0A2B" w:rsidRDefault="0079652C">
      <w:pPr>
        <w:numPr>
          <w:ilvl w:val="0"/>
          <w:numId w:val="5"/>
        </w:numPr>
        <w:spacing w:after="59"/>
        <w:ind w:right="50" w:hanging="288"/>
      </w:pPr>
      <w:r>
        <w:t>zajistit veškerá veřejnoprávní projednání a povolení potřebná k realizaci stavby přeložky podle stavebně právních předpi</w:t>
      </w:r>
      <w:r>
        <w:t>sů, včetně nabytí právní moci, a předat Provozovateli DS projektovou dokumentaci k těmto povolením do 30.6.2018</w:t>
      </w:r>
    </w:p>
    <w:p w:rsidR="008A0A2B" w:rsidRDefault="0079652C">
      <w:pPr>
        <w:numPr>
          <w:ilvl w:val="0"/>
          <w:numId w:val="5"/>
        </w:numPr>
        <w:spacing w:after="45"/>
        <w:ind w:right="50" w:hanging="288"/>
      </w:pPr>
      <w:r>
        <w:t xml:space="preserve">zajistit a prokázat Provozovateli DS uzavření smluv o zřízení věcného břemene mezi Provozovatelem DS a vlastníky nemovitostí, dotčených stavbou </w:t>
      </w:r>
      <w:r>
        <w:t>přeložky, a to v souladu s pokyny Provozovatele DS, do 30.04.2019, nejpozději však do termínu zahájení výběru zhotovitele přeložky Provozovatelem DS; o termínu zahájení výběru zhotovitele přeložky bude za tímto účelem Provozovatel DS informovat Ž</w:t>
      </w:r>
      <w:r>
        <w:t>adatele ne</w:t>
      </w:r>
      <w:r>
        <w:t>jméně 1 měsíc předem</w:t>
      </w:r>
    </w:p>
    <w:p w:rsidR="008A0A2B" w:rsidRDefault="0079652C">
      <w:pPr>
        <w:numPr>
          <w:ilvl w:val="0"/>
          <w:numId w:val="5"/>
        </w:numPr>
        <w:spacing w:after="55"/>
        <w:ind w:right="50" w:hanging="288"/>
      </w:pPr>
      <w:r>
        <w:t>zajistit vklad věcných břemen ze smluv uvedených v písm. e) do katastru nemovitostí a uhradit náhrady vyplývající z těchto smluv vlastníkům pozemků do 30.12.2019</w:t>
      </w:r>
    </w:p>
    <w:p w:rsidR="008A0A2B" w:rsidRDefault="0079652C">
      <w:pPr>
        <w:numPr>
          <w:ilvl w:val="0"/>
          <w:numId w:val="5"/>
        </w:numPr>
        <w:spacing w:after="28"/>
        <w:ind w:right="50" w:hanging="288"/>
      </w:pPr>
      <w:r>
        <w:t>uhradit Provozovateli DS finanční náhradu za vypuštěný plyn z části distr</w:t>
      </w:r>
      <w:r>
        <w:t>ibuční soustavy dotčené přeložkou, a to na základě faktury Provozovatele DS. Tato náhrada není zahrnuta v předpokládaných nákladech na provedení přeložky.</w:t>
      </w:r>
    </w:p>
    <w:p w:rsidR="008A0A2B" w:rsidRDefault="0079652C">
      <w:pPr>
        <w:numPr>
          <w:ilvl w:val="0"/>
          <w:numId w:val="5"/>
        </w:numPr>
        <w:spacing w:after="48"/>
        <w:ind w:right="50" w:hanging="288"/>
      </w:pPr>
      <w:r>
        <w:t>poskytovat Provozovateli DS potřebnou součinnost 2) Povinnost Provozovatele DS:</w:t>
      </w:r>
    </w:p>
    <w:p w:rsidR="008A0A2B" w:rsidRDefault="0079652C">
      <w:pPr>
        <w:spacing w:after="54"/>
        <w:ind w:left="1320" w:right="50"/>
      </w:pPr>
      <w:r>
        <w:t>Zajistit provedení st</w:t>
      </w:r>
      <w:r>
        <w:t>avby přeložky v termínu uvedeném v článku II. této smlouvy, v rozsahu uvedeném v článku I. odst. 2) této smlouvy.</w:t>
      </w:r>
    </w:p>
    <w:p w:rsidR="008A0A2B" w:rsidRDefault="0079652C">
      <w:pPr>
        <w:spacing w:after="27"/>
        <w:ind w:left="895" w:right="50"/>
      </w:pPr>
      <w:r>
        <w:t>3) Práva a povinnosti obou smluvních stran:</w:t>
      </w:r>
    </w:p>
    <w:p w:rsidR="008A0A2B" w:rsidRDefault="0079652C">
      <w:pPr>
        <w:spacing w:after="454"/>
        <w:ind w:left="1320" w:right="50"/>
      </w:pPr>
      <w:r>
        <w:t>Další práva a povinnosti smluvních stran jsou upravena právními předpisy, zejména energetickým zákonem a jeho prováděcími předpisy.</w:t>
      </w:r>
    </w:p>
    <w:p w:rsidR="008A0A2B" w:rsidRDefault="0079652C">
      <w:pPr>
        <w:spacing w:after="0" w:line="259" w:lineRule="auto"/>
        <w:ind w:left="894" w:hanging="10"/>
        <w:jc w:val="left"/>
      </w:pPr>
      <w:r>
        <w:rPr>
          <w:sz w:val="26"/>
        </w:rPr>
        <w:t>V. Doba platnosti smlouvy a ukončení smlouvy</w:t>
      </w:r>
    </w:p>
    <w:p w:rsidR="008A0A2B" w:rsidRDefault="0079652C">
      <w:pPr>
        <w:numPr>
          <w:ilvl w:val="0"/>
          <w:numId w:val="6"/>
        </w:numPr>
        <w:spacing w:after="60"/>
        <w:ind w:left="1324" w:right="50" w:hanging="432"/>
      </w:pPr>
      <w:r>
        <w:t>Smlouva je uzavřena na dobu určitou a je řádně ukončena dnem, kdy budou vypořád</w:t>
      </w:r>
      <w:r>
        <w:t>ány vzájemné závazky smluvních stran dle této smlouvy.</w:t>
      </w:r>
    </w:p>
    <w:p w:rsidR="008A0A2B" w:rsidRDefault="0079652C">
      <w:pPr>
        <w:numPr>
          <w:ilvl w:val="0"/>
          <w:numId w:val="6"/>
        </w:numPr>
        <w:spacing w:after="30"/>
        <w:ind w:left="1324" w:right="50" w:hanging="432"/>
      </w:pPr>
      <w:r>
        <w:t>Předčasně lze ukončit smlouvu písemnou listinnou dohodou obou smluvních stran.</w:t>
      </w:r>
    </w:p>
    <w:p w:rsidR="008A0A2B" w:rsidRDefault="0079652C">
      <w:pPr>
        <w:numPr>
          <w:ilvl w:val="0"/>
          <w:numId w:val="6"/>
        </w:numPr>
        <w:spacing w:after="37"/>
        <w:ind w:left="1324" w:right="50" w:hanging="432"/>
      </w:pPr>
      <w:r>
        <w:t>Kterákoli ze smluvních stran má právo smlouvu předčasně ukončit jednostrannou písemnou listinnou výpovědí s výpovědní lhůt</w:t>
      </w:r>
      <w:r>
        <w:t>ou I měsíc od doručení výpovědi protistraně.</w:t>
      </w:r>
    </w:p>
    <w:p w:rsidR="008A0A2B" w:rsidRDefault="0079652C">
      <w:pPr>
        <w:numPr>
          <w:ilvl w:val="0"/>
          <w:numId w:val="6"/>
        </w:numPr>
        <w:ind w:left="1324" w:right="50" w:hanging="432"/>
      </w:pPr>
      <w:r>
        <w:t>Smlouva může být ukončena jednostranným odstoupením kterékoliv ze smluvních stran v případě podstatného porušení povinností druhou stranou dle obecně závazných právních předpisů. Za podstatné porušení povinností</w:t>
      </w:r>
      <w:r>
        <w:t xml:space="preserve"> smluvních stran se považuje nesplnění jejich povinností uvedených v čl. IV. smlouvy.</w:t>
      </w: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79652C" w:rsidRDefault="0079652C" w:rsidP="0079652C">
      <w:pPr>
        <w:ind w:right="50"/>
      </w:pPr>
    </w:p>
    <w:p w:rsidR="008A0A2B" w:rsidRDefault="0079652C">
      <w:pPr>
        <w:numPr>
          <w:ilvl w:val="0"/>
          <w:numId w:val="7"/>
        </w:numPr>
        <w:spacing w:after="68"/>
        <w:ind w:right="115" w:hanging="432"/>
      </w:pPr>
      <w:r>
        <w:lastRenderedPageBreak/>
        <w:t>Provozovatel DS má dále právo na odstoupení od této smlouvy</w:t>
      </w:r>
    </w:p>
    <w:p w:rsidR="008A0A2B" w:rsidRDefault="0079652C">
      <w:pPr>
        <w:numPr>
          <w:ilvl w:val="1"/>
          <w:numId w:val="7"/>
        </w:numPr>
        <w:spacing w:after="59"/>
        <w:ind w:left="1849" w:right="169" w:hanging="338"/>
      </w:pPr>
      <w:r>
        <w:t>jestliže Žadatel bez dalšího projednání s Provozovatelem DS neuhradí své finanční závazky dle čl. III. odst. 2) této smlouvy včas, ani v dodatečné lhůtě 15 dnů ode dne termínů splatnosti kterékoli z plateb, uvedených v této smlouvě.</w:t>
      </w:r>
    </w:p>
    <w:p w:rsidR="008A0A2B" w:rsidRDefault="0079652C">
      <w:pPr>
        <w:numPr>
          <w:ilvl w:val="1"/>
          <w:numId w:val="7"/>
        </w:numPr>
        <w:spacing w:after="73" w:line="259" w:lineRule="auto"/>
        <w:ind w:left="1849" w:right="169" w:hanging="338"/>
      </w:pPr>
      <w:r>
        <w:t>nebude splněna některá z podmínek uvedených v čl. II odst. I písm. c) a d) této smlouvy.</w:t>
      </w:r>
    </w:p>
    <w:p w:rsidR="008A0A2B" w:rsidRDefault="0079652C">
      <w:pPr>
        <w:numPr>
          <w:ilvl w:val="0"/>
          <w:numId w:val="7"/>
        </w:numPr>
        <w:spacing w:after="95"/>
        <w:ind w:right="115" w:hanging="432"/>
      </w:pPr>
      <w:r>
        <w:t>Odstoupení od této smlouvy musí být učiněno písemně v listinné podobě. Odstoupením smlouva zaniká, když projev vůle oprávněné osoby odstoupit od smlouvy je doručen dru</w:t>
      </w:r>
      <w:r>
        <w:t>hé straně.</w:t>
      </w:r>
    </w:p>
    <w:p w:rsidR="008A0A2B" w:rsidRDefault="0079652C">
      <w:pPr>
        <w:numPr>
          <w:ilvl w:val="0"/>
          <w:numId w:val="7"/>
        </w:numPr>
        <w:spacing w:after="96"/>
        <w:ind w:right="115" w:hanging="432"/>
      </w:pPr>
      <w:r>
        <w:t>V případě ukončení smlouvy, kdy Provozovatel DS dosud nevynaložil a nebude nucen vynaložit oprávněné náklady, bude dosud uhrazená částka vrácena Ž</w:t>
      </w:r>
      <w:r>
        <w:t>adateli.</w:t>
      </w:r>
    </w:p>
    <w:p w:rsidR="008A0A2B" w:rsidRDefault="0079652C">
      <w:pPr>
        <w:numPr>
          <w:ilvl w:val="0"/>
          <w:numId w:val="7"/>
        </w:numPr>
        <w:spacing w:after="86"/>
        <w:ind w:right="115" w:hanging="432"/>
      </w:pPr>
      <w:r>
        <w:t>V případě ukončení smlouvy výpovědí Ž</w:t>
      </w:r>
      <w:r>
        <w:t>adatele nebo v případě ukončení smlouvy dohodou z dův</w:t>
      </w:r>
      <w:r>
        <w:t>odů, které nelze přičítat Provozovateli DS nebo v případě ukončení smlouvy odstoupením Provozovatele DS dle této smlouvy (vyjma odstoupení dle odst. 5) písm. b) tohoto článku) je Žadatel povinen uhradit Provozovateli DS veškeré oprávněné náklady, které Pro</w:t>
      </w:r>
      <w:r>
        <w:t>vozovatel DS dosud vynaložil anebo které bude nucen ještě vynaložit v souvislosti s touto smlouvou.</w:t>
      </w:r>
    </w:p>
    <w:p w:rsidR="008A0A2B" w:rsidRDefault="0079652C">
      <w:pPr>
        <w:numPr>
          <w:ilvl w:val="0"/>
          <w:numId w:val="7"/>
        </w:numPr>
        <w:spacing w:after="62"/>
        <w:ind w:right="115" w:hanging="432"/>
      </w:pPr>
      <w:r>
        <w:t>V případě ukončení smlouvy odstoupením ze strany Provozovatele DS z důvodu dle čl. V. odst. 5) písm. b) budou smluvní strany hradit veškeré oprávněné náklad</w:t>
      </w:r>
      <w:r>
        <w:t>y, které Provozovatel DS vynaložil nebo které bude nucen ještě vynaložit v souvislosti s touto smlouvou, a to společně a nerozdílně. V tomto případě nepřesáhne platba Žadatele částku, sjednanou jako první splátka dle čl. III. odst. 2) této smlouvy.</w:t>
      </w:r>
    </w:p>
    <w:p w:rsidR="008A0A2B" w:rsidRDefault="0079652C">
      <w:pPr>
        <w:spacing w:after="451"/>
        <w:ind w:left="1230" w:right="115" w:hanging="403"/>
      </w:pPr>
      <w:r>
        <w:t>IO) Sml</w:t>
      </w:r>
      <w:r>
        <w:t>uvní strany se dohodly, že nároky Provozovatele DS odpovídající povinnosti Ž</w:t>
      </w:r>
      <w:r>
        <w:t>adatele dle odst. 8) a odst. 9) tohoto článku budou přednostně uhrazeny z plateb, které Ž</w:t>
      </w:r>
      <w:r>
        <w:t>adatel Provozovateli DS již poskytl za trvání smlouvy, jejich započtením. Provozovatel DS je povinen započtení oznámit Ž</w:t>
      </w:r>
      <w:r>
        <w:t>adateli. V případě, že tyto již poskytnuté platby plně nepokryjí veškeré nároky, Žadatel nedoplatek Provozovateli DS uhradí na základě předpisu platby. V případě, že nároky Provozovatele DS již poskytnuté platby nepřevýší, Prov</w:t>
      </w:r>
      <w:r>
        <w:t>ozovatel DS zbylou částku po započtení vlastních nároků Ž</w:t>
      </w:r>
      <w:r>
        <w:t>adateli vrátí.</w:t>
      </w:r>
    </w:p>
    <w:p w:rsidR="008A0A2B" w:rsidRDefault="0079652C">
      <w:pPr>
        <w:spacing w:after="58" w:line="259" w:lineRule="auto"/>
        <w:ind w:left="816" w:hanging="10"/>
        <w:jc w:val="left"/>
      </w:pPr>
      <w:r>
        <w:rPr>
          <w:sz w:val="26"/>
        </w:rPr>
        <w:t>VI. Ostatní ujednání</w:t>
      </w:r>
    </w:p>
    <w:p w:rsidR="008A0A2B" w:rsidRDefault="0079652C">
      <w:pPr>
        <w:numPr>
          <w:ilvl w:val="0"/>
          <w:numId w:val="8"/>
        </w:numPr>
        <w:spacing w:after="76"/>
        <w:ind w:left="1324" w:right="50" w:hanging="432"/>
      </w:pPr>
      <w:r>
        <w:t>Ž</w:t>
      </w:r>
      <w:r>
        <w:t>adatel bere na vědomí, že Provozovatel DS po provedení přeložky zůstává výhradním vlastníkem přeloženého zařízení ve smyslu §</w:t>
      </w:r>
      <w:r>
        <w:t xml:space="preserve"> 47 zákona č. 458/2000 Sb., ve znění </w:t>
      </w:r>
      <w:r>
        <w:t>pozdějších předpisů.</w:t>
      </w:r>
    </w:p>
    <w:p w:rsidR="008A0A2B" w:rsidRDefault="0079652C">
      <w:pPr>
        <w:numPr>
          <w:ilvl w:val="0"/>
          <w:numId w:val="8"/>
        </w:numPr>
        <w:spacing w:after="78"/>
        <w:ind w:left="1324" w:right="50" w:hanging="432"/>
      </w:pPr>
      <w:r>
        <w:t>Smluvní strany jsou zbaveny odpovědnosti za částečné nebo úplné neplnění povinností daných smlouvou v případech, kdy toto neplnění bylo výsledkem okolností vylučujících odpovědnost nebo za podmínek vyplývajících ze zákona č. 458/2000 S</w:t>
      </w:r>
      <w:r>
        <w:t>b., ve znění pozdějších předpisů.</w:t>
      </w:r>
    </w:p>
    <w:p w:rsidR="008A0A2B" w:rsidRDefault="0079652C">
      <w:pPr>
        <w:numPr>
          <w:ilvl w:val="0"/>
          <w:numId w:val="8"/>
        </w:numPr>
        <w:spacing w:after="97"/>
        <w:ind w:left="1324" w:right="50" w:hanging="432"/>
      </w:pPr>
      <w:r>
        <w:t>Tato smlouva může být měněna nebo doplňována pouze formou písemných a číslovaných dodatků, podepsaných oběma smluvními stranami.</w:t>
      </w:r>
    </w:p>
    <w:p w:rsidR="008A0A2B" w:rsidRDefault="0079652C">
      <w:pPr>
        <w:numPr>
          <w:ilvl w:val="0"/>
          <w:numId w:val="8"/>
        </w:numPr>
        <w:ind w:left="1324" w:right="50" w:hanging="432"/>
      </w:pPr>
      <w:r>
        <w:t>Ostatní záležitosti touto smlouvou neupravené se řídí občanským zákoníkem č. 89/2012 Sb. v platném znění a energetickým zákonem č. 458/2000 Sb. v platném znění.</w:t>
      </w:r>
    </w:p>
    <w:p w:rsidR="0079652C" w:rsidRDefault="0079652C" w:rsidP="0079652C">
      <w:pPr>
        <w:ind w:right="50"/>
      </w:pPr>
    </w:p>
    <w:p w:rsidR="008A0A2B" w:rsidRDefault="0079652C">
      <w:pPr>
        <w:numPr>
          <w:ilvl w:val="0"/>
          <w:numId w:val="8"/>
        </w:numPr>
        <w:spacing w:after="41"/>
        <w:ind w:left="1324" w:right="50" w:hanging="432"/>
      </w:pPr>
      <w:r>
        <w:lastRenderedPageBreak/>
        <w:t>Obě strany se zavazují vzájemně se informovat o jakýchkoliv změnách nezbytných pro řádné provád</w:t>
      </w:r>
      <w:r>
        <w:t>ění této smlouvy, zejména pak o změnách identifikačních údajů Žadatele a to nejpozději do 30 dnů od provedení této změny.</w:t>
      </w:r>
    </w:p>
    <w:p w:rsidR="008A0A2B" w:rsidRDefault="0079652C">
      <w:pPr>
        <w:numPr>
          <w:ilvl w:val="0"/>
          <w:numId w:val="8"/>
        </w:numPr>
        <w:spacing w:after="65"/>
        <w:ind w:left="1324" w:right="50" w:hanging="432"/>
      </w:pPr>
      <w:r>
        <w:t>Veškerá práva a povinnosti z této smlouvy plynoucí přechází na právní nástupce obou smluvních stran.</w:t>
      </w:r>
    </w:p>
    <w:p w:rsidR="008A0A2B" w:rsidRDefault="0079652C">
      <w:pPr>
        <w:numPr>
          <w:ilvl w:val="0"/>
          <w:numId w:val="8"/>
        </w:numPr>
        <w:spacing w:after="36"/>
        <w:ind w:left="1324" w:right="50" w:hanging="432"/>
      </w:pPr>
      <w:r>
        <w:t>Žadatel, pokud je fyzickou osobou</w:t>
      </w:r>
      <w:r>
        <w:t xml:space="preserve">, podpisem této smlouvy poskytuje souhlas ke zpracování svých osobních údajů správcem — společností EON Distribuce, a. s. a oprávněnými zpracovateli, zejména společností E.ON Česká republika, s. r. o. a EON Business Services Czech Republic s.r.o., všechny </w:t>
      </w:r>
      <w:r>
        <w:t>se sídlem F. A. Gerstnera 2151/6, České Budějovice, v rozsahu uvedeném v úvodních ustanoveních smlouvy, za účelem uzavření a plnění této smlouvy, a to na dobu trvání této smlouvy, nejpozději však do doby vypořádání veškerých nároků z této smlouvy vzniklých</w:t>
      </w:r>
      <w:r>
        <w:t>.</w:t>
      </w:r>
    </w:p>
    <w:p w:rsidR="008A0A2B" w:rsidRDefault="0079652C">
      <w:pPr>
        <w:numPr>
          <w:ilvl w:val="0"/>
          <w:numId w:val="8"/>
        </w:numPr>
        <w:spacing w:after="52"/>
        <w:ind w:left="1324" w:right="50" w:hanging="432"/>
      </w:pPr>
      <w:r>
        <w:t>Ve smyslu ustanovení Š 89 a zákona č.99/1963 Sb., občanského soudního řádu se smluvní strany dohodly, že v případě řešení sporů soudní cestou bude místně příslušným soudem Okresní soud v Českých Budějovicích, popř. Krajský soud v Českých Budějovicích.</w:t>
      </w:r>
    </w:p>
    <w:p w:rsidR="008A0A2B" w:rsidRDefault="0079652C">
      <w:pPr>
        <w:numPr>
          <w:ilvl w:val="0"/>
          <w:numId w:val="8"/>
        </w:numPr>
        <w:spacing w:after="48"/>
        <w:ind w:left="1324" w:right="50" w:hanging="432"/>
      </w:pPr>
      <w:r>
        <w:t>Sm</w:t>
      </w:r>
      <w:r>
        <w:t>louva je vyhotovena ve dvou stejnopisech s platností originálu, z nichž každá ze stran obdrží po jednom výtisku.</w:t>
      </w:r>
    </w:p>
    <w:p w:rsidR="008A0A2B" w:rsidRDefault="0079652C">
      <w:pPr>
        <w:numPr>
          <w:ilvl w:val="0"/>
          <w:numId w:val="8"/>
        </w:numPr>
        <w:ind w:left="1324" w:right="50" w:hanging="432"/>
      </w:pPr>
      <w:r>
        <w:t>Smluvní strany prohlašují, že se s textem této smlouvy seznámily a souhlasí s ním, na důkaz čehož ji oprávněné osoby obou smluvních stran stvrz</w:t>
      </w:r>
      <w:r>
        <w:t>ují svými vlastnoručními podpisy.</w:t>
      </w:r>
      <w:r>
        <w:br w:type="page"/>
      </w:r>
    </w:p>
    <w:p w:rsidR="008A0A2B" w:rsidRDefault="008A0A2B">
      <w:pPr>
        <w:spacing w:after="766" w:line="259" w:lineRule="auto"/>
        <w:ind w:left="820" w:firstLine="0"/>
        <w:jc w:val="left"/>
      </w:pPr>
    </w:p>
    <w:p w:rsidR="008A0A2B" w:rsidRDefault="0079652C">
      <w:pPr>
        <w:numPr>
          <w:ilvl w:val="0"/>
          <w:numId w:val="8"/>
        </w:numPr>
        <w:spacing w:after="114"/>
        <w:ind w:left="1324" w:right="50" w:hanging="432"/>
      </w:pPr>
      <w:r>
        <w:t>Smlouva nabývá platnosti i účinnosti dnem jejího podpisu smluvními stranami.</w:t>
      </w:r>
    </w:p>
    <w:p w:rsidR="008A0A2B" w:rsidRDefault="0079652C">
      <w:pPr>
        <w:numPr>
          <w:ilvl w:val="0"/>
          <w:numId w:val="8"/>
        </w:numPr>
        <w:spacing w:after="107"/>
        <w:ind w:left="1324" w:right="50" w:hanging="432"/>
      </w:pPr>
      <w:r>
        <w:t>Povinný a oprávněný bere na vědomí, že ŘSD ČR je subjektem, jež nese v určitých případech zákonnou povinnost uveřejňovat smlouvy v souladu se zákonem č. 340/2015 Sb. v registru smluv vedeném pro tyto účely Ministerstvem vnitra.</w:t>
      </w:r>
    </w:p>
    <w:p w:rsidR="008A0A2B" w:rsidRDefault="0079652C">
      <w:pPr>
        <w:spacing w:after="469" w:line="248" w:lineRule="auto"/>
        <w:ind w:left="1237" w:right="-1" w:firstLine="0"/>
        <w:jc w:val="left"/>
      </w:pPr>
      <w:r>
        <w:t>Povinný a oprávněný souhlasí</w:t>
      </w:r>
      <w:r>
        <w:t xml:space="preserve"> se zveřejněním této smlouvy v případě, kdy ŘSD ČR ponese, v souladu s uvedeným zákonem, povinnost uveřejnění, a to v rozsahu a způsobem z uvedeného zákona vyplývající.</w:t>
      </w:r>
    </w:p>
    <w:p w:rsidR="008A0A2B" w:rsidRDefault="0079652C">
      <w:pPr>
        <w:spacing w:after="26" w:line="259" w:lineRule="auto"/>
        <w:ind w:left="894" w:hanging="10"/>
        <w:jc w:val="left"/>
      </w:pPr>
      <w:r>
        <w:rPr>
          <w:sz w:val="26"/>
        </w:rPr>
        <w:t>VII. Akceptační ustanovení</w:t>
      </w:r>
    </w:p>
    <w:p w:rsidR="008A0A2B" w:rsidRDefault="0079652C">
      <w:pPr>
        <w:numPr>
          <w:ilvl w:val="0"/>
          <w:numId w:val="9"/>
        </w:numPr>
        <w:spacing w:after="92"/>
        <w:ind w:right="50" w:hanging="424"/>
      </w:pPr>
      <w:r>
        <w:t>K přijetí návrhu této smlouvy stanovuje Provozovatel DS akce</w:t>
      </w:r>
      <w:r>
        <w:t>ptační lhůtu v délce 90 dnů od okamžiku odeslání návrhu této smlouvy Žadateli.</w:t>
      </w:r>
    </w:p>
    <w:p w:rsidR="008A0A2B" w:rsidRDefault="0079652C">
      <w:pPr>
        <w:numPr>
          <w:ilvl w:val="0"/>
          <w:numId w:val="9"/>
        </w:numPr>
        <w:spacing w:after="52"/>
        <w:ind w:right="50" w:hanging="424"/>
      </w:pPr>
      <w:r>
        <w:t>Smlouva je uzavřena za předpokladu, že Žadatel nejpozději do konce uvedené 90 denní lhůty vyhotovení smlouvy podepíše a zašle zpět Provozovateli DS. Jiná forma přijetí návrhu Sm</w:t>
      </w:r>
      <w:r>
        <w:t>louvy není možná. Pokud bude zaslaný podepsaný výtisk Smlouvy obsahovat jakékoliv vpisky, dodatky či odchylky, k uzavření smlouvy nedojde.</w:t>
      </w:r>
    </w:p>
    <w:p w:rsidR="008A0A2B" w:rsidRDefault="0079652C">
      <w:pPr>
        <w:numPr>
          <w:ilvl w:val="0"/>
          <w:numId w:val="9"/>
        </w:numPr>
        <w:spacing w:after="441"/>
        <w:ind w:right="50" w:hanging="424"/>
      </w:pPr>
      <w:r>
        <w:t>Marným uplynutím akceptační lhůty návrh této smlouvy zaniká.</w:t>
      </w:r>
    </w:p>
    <w:p w:rsidR="0079652C" w:rsidRDefault="0079652C" w:rsidP="0079652C">
      <w:pPr>
        <w:spacing w:after="441"/>
        <w:ind w:left="1316" w:right="50" w:firstLine="0"/>
      </w:pPr>
    </w:p>
    <w:p w:rsidR="0079652C" w:rsidRDefault="0079652C" w:rsidP="0079652C">
      <w:pPr>
        <w:spacing w:after="441"/>
        <w:ind w:left="1316" w:right="50" w:firstLine="0"/>
      </w:pPr>
    </w:p>
    <w:p w:rsidR="0079652C" w:rsidRDefault="0079652C" w:rsidP="0079652C">
      <w:pPr>
        <w:spacing w:after="441"/>
        <w:ind w:left="1316" w:right="50" w:firstLine="0"/>
      </w:pPr>
    </w:p>
    <w:p w:rsidR="0079652C" w:rsidRDefault="0079652C" w:rsidP="0079652C">
      <w:pPr>
        <w:spacing w:after="441"/>
        <w:ind w:left="1316" w:right="50" w:firstLine="0"/>
      </w:pPr>
      <w:r>
        <w:t>České Budějovice dne 19-04-2018                                V Plzni dne 04-05-2018</w:t>
      </w:r>
    </w:p>
    <w:sectPr w:rsidR="0079652C">
      <w:footerReference w:type="even" r:id="rId7"/>
      <w:footerReference w:type="default" r:id="rId8"/>
      <w:footerReference w:type="first" r:id="rId9"/>
      <w:pgSz w:w="11900" w:h="16820"/>
      <w:pgMar w:top="1309" w:right="1122" w:bottom="799" w:left="504" w:header="708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52C">
      <w:pPr>
        <w:spacing w:after="0" w:line="240" w:lineRule="auto"/>
      </w:pPr>
      <w:r>
        <w:separator/>
      </w:r>
    </w:p>
  </w:endnote>
  <w:endnote w:type="continuationSeparator" w:id="0">
    <w:p w:rsidR="00000000" w:rsidRDefault="0079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B" w:rsidRDefault="0079652C">
    <w:pPr>
      <w:tabs>
        <w:tab w:val="center" w:pos="1086"/>
        <w:tab w:val="center" w:pos="9425"/>
      </w:tabs>
      <w:spacing w:after="0" w:line="259" w:lineRule="auto"/>
      <w:ind w:lef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8"/>
      </w:rPr>
      <w:t>7</w:t>
    </w:r>
    <w:r>
      <w:rPr>
        <w:sz w:val="28"/>
      </w:rPr>
      <w:fldChar w:fldCharType="end"/>
    </w:r>
    <w:r>
      <w:rPr>
        <w:sz w:val="28"/>
      </w:rPr>
      <w:tab/>
    </w:r>
    <w:r>
      <w:rPr>
        <w:sz w:val="22"/>
      </w:rPr>
      <w:t>1050000880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B" w:rsidRDefault="0079652C">
    <w:pPr>
      <w:tabs>
        <w:tab w:val="center" w:pos="1086"/>
        <w:tab w:val="center" w:pos="9425"/>
      </w:tabs>
      <w:spacing w:after="0" w:line="259" w:lineRule="auto"/>
      <w:ind w:lef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79652C">
      <w:rPr>
        <w:noProof/>
        <w:sz w:val="28"/>
      </w:rPr>
      <w:t>7</w:t>
    </w:r>
    <w:r>
      <w:rPr>
        <w:sz w:val="28"/>
      </w:rPr>
      <w:fldChar w:fldCharType="end"/>
    </w:r>
    <w:r>
      <w:rPr>
        <w:sz w:val="2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79652C">
      <w:rPr>
        <w:noProof/>
        <w:sz w:val="28"/>
      </w:rPr>
      <w:t>7</w:t>
    </w:r>
    <w:r>
      <w:rPr>
        <w:sz w:val="28"/>
      </w:rPr>
      <w:fldChar w:fldCharType="end"/>
    </w:r>
    <w:r>
      <w:rPr>
        <w:sz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2B" w:rsidRDefault="0079652C">
    <w:pPr>
      <w:tabs>
        <w:tab w:val="center" w:pos="1086"/>
        <w:tab w:val="center" w:pos="9425"/>
      </w:tabs>
      <w:spacing w:after="0" w:line="259" w:lineRule="auto"/>
      <w:ind w:left="0" w:firstLine="0"/>
      <w:jc w:val="left"/>
    </w:pP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8"/>
      </w:rPr>
      <w:t>7</w:t>
    </w:r>
    <w:r>
      <w:rPr>
        <w:sz w:val="28"/>
      </w:rPr>
      <w:fldChar w:fldCharType="end"/>
    </w:r>
    <w:r>
      <w:rPr>
        <w:sz w:val="28"/>
      </w:rPr>
      <w:tab/>
    </w:r>
    <w:r>
      <w:rPr>
        <w:sz w:val="22"/>
      </w:rPr>
      <w:t>1050000880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52C">
      <w:pPr>
        <w:spacing w:after="0" w:line="240" w:lineRule="auto"/>
      </w:pPr>
      <w:r>
        <w:separator/>
      </w:r>
    </w:p>
  </w:footnote>
  <w:footnote w:type="continuationSeparator" w:id="0">
    <w:p w:rsidR="00000000" w:rsidRDefault="00796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4C8"/>
    <w:multiLevelType w:val="hybridMultilevel"/>
    <w:tmpl w:val="FFCE17CE"/>
    <w:lvl w:ilvl="0" w:tplc="8FBA3F1A">
      <w:start w:val="1"/>
      <w:numFmt w:val="lowerLetter"/>
      <w:lvlText w:val="%1)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983010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16BC2C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D0415A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BC53C2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7695AA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8811B0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9C3AF2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E2CFD0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5427B"/>
    <w:multiLevelType w:val="hybridMultilevel"/>
    <w:tmpl w:val="2F6E10C8"/>
    <w:lvl w:ilvl="0" w:tplc="2436A894">
      <w:start w:val="1"/>
      <w:numFmt w:val="decimal"/>
      <w:lvlText w:val="%1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2AE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0A65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2AF8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A58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0A7D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C409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6528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842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33F65"/>
    <w:multiLevelType w:val="hybridMultilevel"/>
    <w:tmpl w:val="A9E2EC9A"/>
    <w:lvl w:ilvl="0" w:tplc="85E2C9B6">
      <w:start w:val="1"/>
      <w:numFmt w:val="decimal"/>
      <w:lvlText w:val="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87BF2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6860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2576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E3D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29A2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CCFF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281F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C2016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3C1404"/>
    <w:multiLevelType w:val="hybridMultilevel"/>
    <w:tmpl w:val="0D864A5E"/>
    <w:lvl w:ilvl="0" w:tplc="5F8048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8EE2E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E472F0">
      <w:start w:val="1"/>
      <w:numFmt w:val="bullet"/>
      <w:lvlRestart w:val="0"/>
      <w:lvlText w:val="-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6E0694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363B5E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6C2FD4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F60C64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1A004A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DE96F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336CB1"/>
    <w:multiLevelType w:val="hybridMultilevel"/>
    <w:tmpl w:val="19540CFC"/>
    <w:lvl w:ilvl="0" w:tplc="72FA39AE">
      <w:start w:val="1"/>
      <w:numFmt w:val="decimal"/>
      <w:lvlText w:val="%1)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00BF3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1A185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AEC9F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0BB1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F4A7D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94129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AA3FB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F2B0D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9566EC"/>
    <w:multiLevelType w:val="hybridMultilevel"/>
    <w:tmpl w:val="94ACF15A"/>
    <w:lvl w:ilvl="0" w:tplc="8CCC14D2">
      <w:start w:val="1"/>
      <w:numFmt w:val="decimal"/>
      <w:lvlText w:val="%1)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0A10C">
      <w:start w:val="1"/>
      <w:numFmt w:val="lowerLetter"/>
      <w:lvlText w:val="%2)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4D3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0C13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26A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6C3A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2835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CC77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08B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5D1FF2"/>
    <w:multiLevelType w:val="hybridMultilevel"/>
    <w:tmpl w:val="8E4C61F0"/>
    <w:lvl w:ilvl="0" w:tplc="BF546B24">
      <w:start w:val="5"/>
      <w:numFmt w:val="decimal"/>
      <w:lvlText w:val="%1)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467140">
      <w:start w:val="1"/>
      <w:numFmt w:val="lowerLetter"/>
      <w:lvlText w:val="%2)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4CCB2">
      <w:start w:val="1"/>
      <w:numFmt w:val="lowerRoman"/>
      <w:lvlText w:val="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69500">
      <w:start w:val="1"/>
      <w:numFmt w:val="decimal"/>
      <w:lvlText w:val="%4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2FFBE">
      <w:start w:val="1"/>
      <w:numFmt w:val="lowerLetter"/>
      <w:lvlText w:val="%5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2CD84">
      <w:start w:val="1"/>
      <w:numFmt w:val="lowerRoman"/>
      <w:lvlText w:val="%6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4F46E">
      <w:start w:val="1"/>
      <w:numFmt w:val="decimal"/>
      <w:lvlText w:val="%7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0F5A">
      <w:start w:val="1"/>
      <w:numFmt w:val="lowerLetter"/>
      <w:lvlText w:val="%8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88B66">
      <w:start w:val="1"/>
      <w:numFmt w:val="lowerRoman"/>
      <w:lvlText w:val="%9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B9225B"/>
    <w:multiLevelType w:val="hybridMultilevel"/>
    <w:tmpl w:val="5016E480"/>
    <w:lvl w:ilvl="0" w:tplc="7F7EA204">
      <w:start w:val="1"/>
      <w:numFmt w:val="decimal"/>
      <w:lvlText w:val="%1)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23EA0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8754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4745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CBA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CFB1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5F4A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ADF9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66686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D37A5"/>
    <w:multiLevelType w:val="hybridMultilevel"/>
    <w:tmpl w:val="D47C4D44"/>
    <w:lvl w:ilvl="0" w:tplc="B3348438">
      <w:start w:val="2"/>
      <w:numFmt w:val="decimal"/>
      <w:lvlText w:val="%1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910A">
      <w:start w:val="1"/>
      <w:numFmt w:val="lowerLetter"/>
      <w:lvlText w:val="%2)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E499F2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60BCEC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120CEA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5AF984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948800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34BDE4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3ABC7A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2B"/>
    <w:rsid w:val="0079652C"/>
    <w:rsid w:val="008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65CD"/>
  <w15:docId w15:val="{88CD43DE-C54C-4953-AC82-4DC4D51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86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8"/>
      <w:outlineLvl w:val="0"/>
    </w:pPr>
    <w:rPr>
      <w:rFonts w:ascii="Times New Roman" w:eastAsia="Times New Roman" w:hAnsi="Times New Roman" w:cs="Times New Roman"/>
      <w:color w:val="000000"/>
      <w:sz w:val="15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15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5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5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9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652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2223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KMBT_C284e-20180510080833</vt:lpstr>
    </vt:vector>
  </TitlesOfParts>
  <Company>RSD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KMBT_C284e-20180510080833</dc:title>
  <dc:subject/>
  <dc:creator>Horová Hana</dc:creator>
  <cp:keywords/>
  <cp:lastModifiedBy>Horová Hana</cp:lastModifiedBy>
  <cp:revision>2</cp:revision>
  <dcterms:created xsi:type="dcterms:W3CDTF">2018-05-10T06:17:00Z</dcterms:created>
  <dcterms:modified xsi:type="dcterms:W3CDTF">2018-05-10T06:17:00Z</dcterms:modified>
</cp:coreProperties>
</file>