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FA9A" w14:textId="77777777" w:rsidR="00522918" w:rsidRDefault="00161E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16" w:lineRule="auto"/>
        <w:ind w:left="3429" w:right="3160" w:firstLine="303"/>
      </w:pPr>
      <w:bookmarkStart w:id="0" w:name="_GoBack"/>
      <w:bookmarkEnd w:id="0"/>
      <w:r>
        <w:rPr>
          <w:rFonts w:ascii="Calibri" w:eastAsia="Calibri" w:hAnsi="Calibri" w:cs="Calibri"/>
          <w:sz w:val="30"/>
          <w:u w:val="single" w:color="000000"/>
        </w:rPr>
        <w:t xml:space="preserve">S m lo u va o d í l o </w:t>
      </w:r>
      <w:r>
        <w:rPr>
          <w:sz w:val="30"/>
        </w:rPr>
        <w:t>na sklizeň cukrovky v roce 2018</w:t>
      </w:r>
    </w:p>
    <w:p w14:paraId="193DA410" w14:textId="77777777" w:rsidR="00522918" w:rsidRDefault="00161EB3">
      <w:pPr>
        <w:spacing w:after="85"/>
        <w:ind w:left="302" w:firstLine="9"/>
        <w:jc w:val="both"/>
      </w:pPr>
      <w:r>
        <w:rPr>
          <w:rFonts w:ascii="Calibri" w:eastAsia="Calibri" w:hAnsi="Calibri" w:cs="Calibri"/>
          <w:sz w:val="20"/>
        </w:rPr>
        <w:t>uzavřená mezi :</w:t>
      </w:r>
    </w:p>
    <w:p w14:paraId="6CCBC38A" w14:textId="77777777" w:rsidR="00522918" w:rsidRDefault="00161EB3">
      <w:pPr>
        <w:tabs>
          <w:tab w:val="center" w:pos="3959"/>
          <w:tab w:val="right" w:pos="10223"/>
        </w:tabs>
        <w:spacing w:after="0"/>
      </w:pPr>
      <w:r>
        <w:rPr>
          <w:sz w:val="18"/>
        </w:rPr>
        <w:tab/>
      </w:r>
      <w:r>
        <w:rPr>
          <w:rFonts w:ascii="Calibri" w:eastAsia="Calibri" w:hAnsi="Calibri" w:cs="Calibri"/>
          <w:sz w:val="18"/>
        </w:rPr>
        <w:t>Zhotovitelem : AgrosluŽby CZ, a.s., Komenského 247, 500 03 Hradec Králové</w:t>
      </w:r>
      <w:r>
        <w:rPr>
          <w:rFonts w:ascii="Calibri" w:eastAsia="Calibri" w:hAnsi="Calibri" w:cs="Calibri"/>
          <w:sz w:val="18"/>
        </w:rPr>
        <w:tab/>
      </w:r>
      <w:r>
        <w:rPr>
          <w:sz w:val="18"/>
        </w:rPr>
        <w:t>BD</w:t>
      </w:r>
    </w:p>
    <w:p w14:paraId="60197B25" w14:textId="77777777" w:rsidR="00522918" w:rsidRDefault="00161EB3">
      <w:pPr>
        <w:spacing w:after="0"/>
        <w:ind w:left="2151" w:right="1796" w:firstLine="9"/>
        <w:jc w:val="both"/>
      </w:pPr>
      <w:r>
        <w:rPr>
          <w:rFonts w:ascii="Calibri" w:eastAsia="Calibri" w:hAnsi="Calibri" w:cs="Calibri"/>
          <w:sz w:val="20"/>
        </w:rPr>
        <w:t>společnost je zapsaná v Obch. rejstříku u Kr. soudu v HK oddíl B vložka 1405 zastoupená členem představenstva a.s. Ing. Slavomírem Cejnarem k jednání zmocněn Miroslav Navrátil ( tel 777 009 147 )</w:t>
      </w:r>
    </w:p>
    <w:p w14:paraId="4C961794" w14:textId="77777777" w:rsidR="00522918" w:rsidRDefault="00161EB3">
      <w:pPr>
        <w:tabs>
          <w:tab w:val="center" w:pos="2821"/>
          <w:tab w:val="center" w:pos="4608"/>
          <w:tab w:val="center" w:pos="7510"/>
        </w:tabs>
        <w:spacing w:after="0"/>
      </w:pP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 xml:space="preserve">IČO : 64789543 </w:t>
      </w:r>
      <w:r>
        <w:rPr>
          <w:rFonts w:ascii="Calibri" w:eastAsia="Calibri" w:hAnsi="Calibri" w:cs="Calibri"/>
          <w:sz w:val="20"/>
        </w:rPr>
        <w:tab/>
        <w:t>DIČ : CZ64789543</w:t>
      </w:r>
      <w:r>
        <w:rPr>
          <w:rFonts w:ascii="Calibri" w:eastAsia="Calibri" w:hAnsi="Calibri" w:cs="Calibri"/>
          <w:sz w:val="20"/>
        </w:rPr>
        <w:tab/>
        <w:t>účet : KB HK 612220207/010</w:t>
      </w:r>
      <w:r>
        <w:rPr>
          <w:rFonts w:ascii="Calibri" w:eastAsia="Calibri" w:hAnsi="Calibri" w:cs="Calibri"/>
          <w:sz w:val="20"/>
        </w:rPr>
        <w:t>0</w:t>
      </w:r>
    </w:p>
    <w:p w14:paraId="35135A24" w14:textId="77777777" w:rsidR="00522918" w:rsidRDefault="00161EB3">
      <w:pPr>
        <w:spacing w:after="0"/>
        <w:ind w:left="2175" w:firstLine="9"/>
        <w:jc w:val="both"/>
      </w:pPr>
      <w:r>
        <w:rPr>
          <w:rFonts w:ascii="Calibri" w:eastAsia="Calibri" w:hAnsi="Calibri" w:cs="Calibri"/>
          <w:sz w:val="20"/>
        </w:rPr>
        <w:t>Tel. +420 601 246 443</w:t>
      </w:r>
    </w:p>
    <w:p w14:paraId="4275D498" w14:textId="77777777" w:rsidR="00522918" w:rsidRDefault="00161EB3">
      <w:pPr>
        <w:spacing w:after="481"/>
        <w:ind w:left="2180"/>
      </w:pPr>
      <w:r>
        <w:rPr>
          <w:u w:val="single" w:color="000000"/>
        </w:rPr>
        <w:t>info@aqrosluzbycz.eu</w:t>
      </w:r>
      <w:r>
        <w:t xml:space="preserve"> </w:t>
      </w:r>
      <w:r>
        <w:rPr>
          <w:u w:val="single" w:color="000000"/>
        </w:rPr>
        <w:t>www.aqrosluzbycz.eu</w:t>
      </w:r>
      <w:r>
        <w:t xml:space="preserve"> </w:t>
      </w:r>
      <w:r>
        <w:rPr>
          <w:u w:val="single" w:color="000000"/>
        </w:rPr>
        <w:t>www.facebook.com/aqrosluzbycz</w:t>
      </w:r>
    </w:p>
    <w:p w14:paraId="3D69A9EE" w14:textId="77777777" w:rsidR="00522918" w:rsidRDefault="00161EB3">
      <w:pPr>
        <w:spacing w:after="0"/>
        <w:ind w:left="403"/>
        <w:jc w:val="center"/>
      </w:pPr>
      <w:r>
        <w:rPr>
          <w:rFonts w:ascii="Calibri" w:eastAsia="Calibri" w:hAnsi="Calibri" w:cs="Calibri"/>
          <w:sz w:val="26"/>
        </w:rPr>
        <w:t>a</w:t>
      </w:r>
    </w:p>
    <w:p w14:paraId="19A8D9B8" w14:textId="77777777" w:rsidR="00522918" w:rsidRDefault="00161EB3">
      <w:pPr>
        <w:spacing w:after="53"/>
        <w:ind w:left="327"/>
      </w:pPr>
      <w:r>
        <w:rPr>
          <w:rFonts w:ascii="Calibri" w:eastAsia="Calibri" w:hAnsi="Calibri" w:cs="Calibri"/>
          <w:sz w:val="30"/>
        </w:rPr>
        <w:t>Objednavatelem : Skolní statek, Opava, příspěvková organizace</w:t>
      </w:r>
    </w:p>
    <w:p w14:paraId="7DB51B8A" w14:textId="77777777" w:rsidR="00522918" w:rsidRDefault="00161EB3">
      <w:pPr>
        <w:spacing w:after="227"/>
        <w:ind w:left="2377" w:firstLine="9"/>
        <w:jc w:val="both"/>
      </w:pPr>
      <w:r>
        <w:rPr>
          <w:rFonts w:ascii="Calibri" w:eastAsia="Calibri" w:hAnsi="Calibri" w:cs="Calibri"/>
          <w:sz w:val="20"/>
        </w:rPr>
        <w:t>adresa: Opava, Englišova 526</w:t>
      </w:r>
    </w:p>
    <w:p w14:paraId="27EE8A13" w14:textId="77777777" w:rsidR="00522918" w:rsidRDefault="00161EB3">
      <w:pPr>
        <w:spacing w:after="0" w:line="463" w:lineRule="auto"/>
        <w:ind w:left="2358" w:right="4250" w:firstLine="9"/>
        <w:jc w:val="both"/>
      </w:pPr>
      <w:r>
        <w:rPr>
          <w:rFonts w:ascii="Calibri" w:eastAsia="Calibri" w:hAnsi="Calibri" w:cs="Calibri"/>
          <w:sz w:val="20"/>
        </w:rPr>
        <w:t>PSČ 746 01 cukrovka pro cukrovar:Opava zastoupený ředitelem ing Arnoštem Kleinem IČO 00098752 DIČ CZ00098752</w:t>
      </w:r>
    </w:p>
    <w:p w14:paraId="0533C802" w14:textId="77777777" w:rsidR="00522918" w:rsidRDefault="00161EB3">
      <w:pPr>
        <w:tabs>
          <w:tab w:val="center" w:pos="2615"/>
          <w:tab w:val="center" w:pos="5133"/>
        </w:tabs>
        <w:spacing w:after="240"/>
      </w:pP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>č.účtu</w:t>
      </w:r>
      <w:r>
        <w:rPr>
          <w:rFonts w:ascii="Calibri" w:eastAsia="Calibri" w:hAnsi="Calibri" w:cs="Calibri"/>
          <w:sz w:val="20"/>
        </w:rPr>
        <w:tab/>
        <w:t>Plátce DPH</w:t>
      </w:r>
    </w:p>
    <w:p w14:paraId="2E8CA4AF" w14:textId="77777777" w:rsidR="00522918" w:rsidRDefault="00161EB3">
      <w:pPr>
        <w:tabs>
          <w:tab w:val="center" w:pos="3013"/>
          <w:tab w:val="center" w:pos="5407"/>
        </w:tabs>
        <w:spacing w:after="335"/>
      </w:pPr>
      <w:r>
        <w:rPr>
          <w:sz w:val="20"/>
        </w:rPr>
        <w:tab/>
      </w:r>
      <w:r>
        <w:rPr>
          <w:rFonts w:ascii="Calibri" w:eastAsia="Calibri" w:hAnsi="Calibri" w:cs="Calibri"/>
          <w:sz w:val="20"/>
        </w:rPr>
        <w:t>tel. 553 607 111</w:t>
      </w:r>
      <w:r>
        <w:rPr>
          <w:rFonts w:ascii="Calibri" w:eastAsia="Calibri" w:hAnsi="Calibri" w:cs="Calibri"/>
          <w:sz w:val="20"/>
        </w:rPr>
        <w:tab/>
        <w:t>Fax : 553 623 580</w:t>
      </w:r>
    </w:p>
    <w:p w14:paraId="64968AA4" w14:textId="77777777" w:rsidR="00522918" w:rsidRDefault="00161EB3">
      <w:pPr>
        <w:numPr>
          <w:ilvl w:val="0"/>
          <w:numId w:val="1"/>
        </w:numPr>
        <w:spacing w:after="0"/>
        <w:ind w:hanging="365"/>
        <w:jc w:val="center"/>
      </w:pPr>
      <w:r>
        <w:rPr>
          <w:rFonts w:ascii="Calibri" w:eastAsia="Calibri" w:hAnsi="Calibri" w:cs="Calibri"/>
          <w:sz w:val="24"/>
          <w:u w:val="single" w:color="000000"/>
        </w:rPr>
        <w:t>Předmět smlouvy .</w:t>
      </w:r>
    </w:p>
    <w:p w14:paraId="7E5190D6" w14:textId="77777777" w:rsidR="00522918" w:rsidRDefault="00161EB3">
      <w:pPr>
        <w:spacing w:after="226"/>
        <w:ind w:left="302" w:firstLine="365"/>
        <w:jc w:val="both"/>
      </w:pPr>
      <w:r>
        <w:rPr>
          <w:rFonts w:ascii="Calibri" w:eastAsia="Calibri" w:hAnsi="Calibri" w:cs="Calibri"/>
          <w:sz w:val="20"/>
        </w:rPr>
        <w:t>Předmětem této S m I o uvy o dí 10 na sklizeň cukrovky v roce 2018 (dále j</w:t>
      </w:r>
      <w:r>
        <w:rPr>
          <w:rFonts w:ascii="Calibri" w:eastAsia="Calibri" w:hAnsi="Calibri" w:cs="Calibri"/>
          <w:sz w:val="20"/>
        </w:rPr>
        <w:t>en Smlouva) je sklizeň cukrovky zhotovitelem samojízdným bunkrovým sklízečem typu Holmer nebo Ropa (dálejen stroj) za podmínek dále uvedených.</w:t>
      </w:r>
    </w:p>
    <w:p w14:paraId="1A2E6B17" w14:textId="77777777" w:rsidR="00522918" w:rsidRDefault="00161EB3">
      <w:pPr>
        <w:numPr>
          <w:ilvl w:val="0"/>
          <w:numId w:val="1"/>
        </w:numPr>
        <w:spacing w:after="0"/>
        <w:ind w:hanging="365"/>
        <w:jc w:val="center"/>
      </w:pPr>
      <w:r>
        <w:rPr>
          <w:rFonts w:ascii="Calibri" w:eastAsia="Calibri" w:hAnsi="Calibri" w:cs="Calibri"/>
          <w:sz w:val="26"/>
          <w:u w:val="single" w:color="000000"/>
        </w:rPr>
        <w:t>Povinnosti zhotovitele :</w:t>
      </w:r>
    </w:p>
    <w:p w14:paraId="01CF02E3" w14:textId="77777777" w:rsidR="00522918" w:rsidRDefault="00161EB3">
      <w:pPr>
        <w:numPr>
          <w:ilvl w:val="0"/>
          <w:numId w:val="2"/>
        </w:numPr>
        <w:spacing w:after="0"/>
        <w:ind w:firstLine="9"/>
        <w:jc w:val="both"/>
      </w:pPr>
      <w:r>
        <w:rPr>
          <w:rFonts w:ascii="Calibri" w:eastAsia="Calibri" w:hAnsi="Calibri" w:cs="Calibri"/>
          <w:sz w:val="20"/>
        </w:rPr>
        <w:t>Zhotovitel provede objednateli sklizeň cukrovky v roce 2018 strojem typu Holmer nebo Rop</w:t>
      </w:r>
      <w:r>
        <w:rPr>
          <w:rFonts w:ascii="Calibri" w:eastAsia="Calibri" w:hAnsi="Calibri" w:cs="Calibri"/>
          <w:sz w:val="20"/>
        </w:rPr>
        <w:t>a celkem na :</w:t>
      </w:r>
    </w:p>
    <w:p w14:paraId="7DAE7469" w14:textId="77777777" w:rsidR="00522918" w:rsidRDefault="00161EB3">
      <w:pPr>
        <w:spacing w:after="269" w:line="265" w:lineRule="auto"/>
        <w:ind w:left="399" w:hanging="10"/>
        <w:jc w:val="center"/>
      </w:pPr>
      <w:r>
        <w:rPr>
          <w:noProof/>
        </w:rPr>
        <w:drawing>
          <wp:inline distT="0" distB="0" distL="0" distR="0" wp14:anchorId="0B745C84" wp14:editId="0A0DE255">
            <wp:extent cx="783661" cy="347472"/>
            <wp:effectExtent l="0" t="0" r="0" b="0"/>
            <wp:docPr id="2490" name="Picture 2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0" name="Picture 24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661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 ha plochy cukrovky.</w:t>
      </w:r>
    </w:p>
    <w:p w14:paraId="28B4D7F5" w14:textId="77777777" w:rsidR="00522918" w:rsidRDefault="00161EB3">
      <w:pPr>
        <w:spacing w:after="176"/>
        <w:ind w:left="543" w:firstLine="9"/>
        <w:jc w:val="both"/>
      </w:pPr>
      <w:r>
        <w:rPr>
          <w:rFonts w:ascii="Calibri" w:eastAsia="Calibri" w:hAnsi="Calibri" w:cs="Calibri"/>
          <w:sz w:val="20"/>
        </w:rPr>
        <w:t>Z toho bude provedena sklizeň a odvoz s jedním vyvažečem typu AgroVital od sklízecího stroje na souvrať na ploše až</w:t>
      </w:r>
    </w:p>
    <w:p w14:paraId="3CCDAD7E" w14:textId="77777777" w:rsidR="00522918" w:rsidRDefault="00161EB3">
      <w:pPr>
        <w:spacing w:after="316" w:line="265" w:lineRule="auto"/>
        <w:ind w:left="399" w:right="-110" w:hanging="10"/>
        <w:jc w:val="center"/>
      </w:pPr>
      <w:r>
        <w:rPr>
          <w:noProof/>
        </w:rPr>
        <w:drawing>
          <wp:inline distT="0" distB="0" distL="0" distR="0" wp14:anchorId="51B09370" wp14:editId="7E151F0C">
            <wp:extent cx="420799" cy="21336"/>
            <wp:effectExtent l="0" t="0" r="0" b="0"/>
            <wp:docPr id="16386" name="Picture 16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163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79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>ha.</w:t>
      </w:r>
    </w:p>
    <w:p w14:paraId="39858C4C" w14:textId="77777777" w:rsidR="00522918" w:rsidRDefault="00161EB3">
      <w:pPr>
        <w:numPr>
          <w:ilvl w:val="0"/>
          <w:numId w:val="2"/>
        </w:numPr>
        <w:spacing w:after="0"/>
        <w:ind w:firstLine="9"/>
        <w:jc w:val="both"/>
      </w:pPr>
      <w:r>
        <w:rPr>
          <w:rFonts w:ascii="Calibri" w:eastAsia="Calibri" w:hAnsi="Calibri" w:cs="Calibri"/>
          <w:sz w:val="20"/>
        </w:rPr>
        <w:t>Zhotovitel sklidí dohodnuté pozemky v běžném termínu (od září do 20.11.) , který bude stanoven po v</w:t>
      </w:r>
      <w:r>
        <w:rPr>
          <w:rFonts w:ascii="Calibri" w:eastAsia="Calibri" w:hAnsi="Calibri" w:cs="Calibri"/>
          <w:sz w:val="20"/>
        </w:rPr>
        <w:t xml:space="preserve">zájemné dohodě smluvních stran a cukrovaru s odchylkou +/- 10 dní. Smluvní strany se dále dohodly, že pozdější termín je sice možný, ale jen po dohodě a bez záruky kvality a skliditelnosti řepy. Harmonogram sklizně bude zpracován před sklizní a upřesňován </w:t>
      </w:r>
      <w:r>
        <w:rPr>
          <w:rFonts w:ascii="Calibri" w:eastAsia="Calibri" w:hAnsi="Calibri" w:cs="Calibri"/>
          <w:sz w:val="20"/>
        </w:rPr>
        <w:t>v průběhu sklizně.</w:t>
      </w:r>
    </w:p>
    <w:p w14:paraId="53640B10" w14:textId="77777777" w:rsidR="00522918" w:rsidRDefault="00161EB3">
      <w:pPr>
        <w:numPr>
          <w:ilvl w:val="0"/>
          <w:numId w:val="2"/>
        </w:numPr>
        <w:spacing w:after="324"/>
        <w:ind w:firstLine="9"/>
        <w:jc w:val="both"/>
      </w:pPr>
      <w:r>
        <w:rPr>
          <w:rFonts w:ascii="Calibri" w:eastAsia="Calibri" w:hAnsi="Calibri" w:cs="Calibri"/>
          <w:sz w:val="20"/>
        </w:rPr>
        <w:t>Zhotovitel před samotnou sklizní sdělí objednateli případnou potřebu aditiva do nafty AdBlue.</w:t>
      </w:r>
    </w:p>
    <w:p w14:paraId="40093B48" w14:textId="77777777" w:rsidR="00522918" w:rsidRDefault="00161EB3">
      <w:pPr>
        <w:spacing w:after="0"/>
        <w:ind w:left="663" w:right="34" w:hanging="10"/>
        <w:jc w:val="center"/>
      </w:pPr>
      <w:r>
        <w:rPr>
          <w:rFonts w:ascii="Calibri" w:eastAsia="Calibri" w:hAnsi="Calibri" w:cs="Calibri"/>
          <w:sz w:val="26"/>
        </w:rPr>
        <w:t>III.</w:t>
      </w:r>
      <w:r>
        <w:rPr>
          <w:rFonts w:ascii="Calibri" w:eastAsia="Calibri" w:hAnsi="Calibri" w:cs="Calibri"/>
          <w:sz w:val="26"/>
          <w:u w:val="single" w:color="000000"/>
        </w:rPr>
        <w:t xml:space="preserve"> Povinnosti objednatele :</w:t>
      </w:r>
    </w:p>
    <w:p w14:paraId="3D340429" w14:textId="77777777" w:rsidR="00522918" w:rsidRDefault="00161EB3">
      <w:pPr>
        <w:spacing w:after="221"/>
        <w:ind w:left="302" w:firstLine="9"/>
        <w:jc w:val="both"/>
      </w:pPr>
      <w:r>
        <w:rPr>
          <w:rFonts w:ascii="Calibri" w:eastAsia="Calibri" w:hAnsi="Calibri" w:cs="Calibri"/>
          <w:sz w:val="20"/>
        </w:rPr>
        <w:t>1. Zajistit plynulý odvoz sklizené řepy, případně při zahájení sklizně vytyčit skládku max. do vzdálenosti 150m od pracujícího stroje s plným zásobníkem. Současně vytyčit kolejové řádky nebo být nápomocen při jejich určení. Zároveň zabezpečit bezpečný vjez</w:t>
      </w:r>
      <w:r>
        <w:rPr>
          <w:rFonts w:ascii="Calibri" w:eastAsia="Calibri" w:hAnsi="Calibri" w:cs="Calibri"/>
          <w:sz w:val="20"/>
        </w:rPr>
        <w:t>d na pozemek určený ke sklizni. Vše zabezpečit tak, aby sklizeň mohla probíhat nepřetržitě (24 hod.) denně. Zkrácení nepřetržité doby sklizně je možné jen po dohodě a za příplatek.</w:t>
      </w:r>
    </w:p>
    <w:p w14:paraId="0F906BEB" w14:textId="77777777" w:rsidR="00522918" w:rsidRDefault="00161EB3">
      <w:pPr>
        <w:spacing w:after="6" w:line="216" w:lineRule="auto"/>
        <w:ind w:left="336" w:hanging="38"/>
      </w:pPr>
      <w:r>
        <w:rPr>
          <w:rFonts w:ascii="Calibri" w:eastAsia="Calibri" w:hAnsi="Calibri" w:cs="Calibri"/>
        </w:rPr>
        <w:t>2.a) Zajistit pro stroj na své náklady pohonné hmoty a nutná aditiava (AdBl</w:t>
      </w:r>
      <w:r>
        <w:rPr>
          <w:rFonts w:ascii="Calibri" w:eastAsia="Calibri" w:hAnsi="Calibri" w:cs="Calibri"/>
        </w:rPr>
        <w:t>ue) o předepsané kvalitě a to v místě sklizně do maximální vzdálenosti 3 km.</w:t>
      </w:r>
    </w:p>
    <w:p w14:paraId="3288D3BD" w14:textId="77777777" w:rsidR="00522918" w:rsidRDefault="00161EB3">
      <w:pPr>
        <w:numPr>
          <w:ilvl w:val="0"/>
          <w:numId w:val="3"/>
        </w:numPr>
        <w:spacing w:after="0" w:line="218" w:lineRule="auto"/>
        <w:ind w:right="17" w:firstLine="192"/>
      </w:pPr>
      <w:r>
        <w:rPr>
          <w:rFonts w:ascii="Calibri" w:eastAsia="Calibri" w:hAnsi="Calibri" w:cs="Calibri"/>
          <w:sz w:val="24"/>
        </w:rPr>
        <w:t>Zajistit po skončení sklizně (nebo dílčího plnění) na své náklady dotankování nádrží nafty a aditiv na stroji do úrovně hladiny, která byla na počátku sklizně. Zakazuje se použití</w:t>
      </w:r>
      <w:r>
        <w:rPr>
          <w:rFonts w:ascii="Calibri" w:eastAsia="Calibri" w:hAnsi="Calibri" w:cs="Calibri"/>
          <w:sz w:val="24"/>
        </w:rPr>
        <w:t xml:space="preserve"> bionafty.</w:t>
      </w:r>
    </w:p>
    <w:p w14:paraId="462FCA6F" w14:textId="77777777" w:rsidR="00522918" w:rsidRDefault="00161EB3">
      <w:pPr>
        <w:numPr>
          <w:ilvl w:val="0"/>
          <w:numId w:val="3"/>
        </w:numPr>
        <w:spacing w:after="269" w:line="265" w:lineRule="auto"/>
        <w:ind w:right="17" w:firstLine="192"/>
      </w:pPr>
      <w:r>
        <w:rPr>
          <w:rFonts w:ascii="Calibri" w:eastAsia="Calibri" w:hAnsi="Calibri" w:cs="Calibri"/>
          <w:sz w:val="20"/>
        </w:rPr>
        <w:lastRenderedPageBreak/>
        <w:t>Nezajistí-li objednatel potřebné aditivum do nafty (AdBlue), zajistí ho zhotovitel po vzájemné dohodě s objednatelem.</w:t>
      </w:r>
    </w:p>
    <w:p w14:paraId="3275D6D2" w14:textId="77777777" w:rsidR="00522918" w:rsidRDefault="00161EB3">
      <w:pPr>
        <w:numPr>
          <w:ilvl w:val="0"/>
          <w:numId w:val="4"/>
        </w:numPr>
        <w:spacing w:after="169" w:line="227" w:lineRule="auto"/>
        <w:ind w:right="158" w:firstLine="4"/>
        <w:jc w:val="both"/>
      </w:pPr>
      <w:r>
        <w:rPr>
          <w:sz w:val="20"/>
        </w:rPr>
        <w:t>Uhradit Škody na sklízeči, ke kterým dojde z důvodu najetí na překážky na pozemku ke sklizni nebo při vjezdu na něj, pokud zhot</w:t>
      </w:r>
      <w:r>
        <w:rPr>
          <w:sz w:val="20"/>
        </w:rPr>
        <w:t xml:space="preserve">ovitele předem na tuto závadu objednatel neupozornil, překážky neoznačil a pokud škoda není plně hrazena pojišťovnou. Smluvní strany se dále dohodly, že sklizeň v ochranném pásmu el. zařízení, plyn. a vodohosp. zařízení apod. bude prováděna pouze tam, kde </w:t>
      </w:r>
      <w:r>
        <w:rPr>
          <w:sz w:val="20"/>
        </w:rPr>
        <w:t>nehrozí bezprostřední nebezpečí úrazu nebo poškození stroje dle Návodu k obsluze a použití stroje. Pokud by k takové události došlo, veškeré náklady jdou k tíži objednatele .</w:t>
      </w:r>
    </w:p>
    <w:p w14:paraId="6DBF0F9A" w14:textId="77777777" w:rsidR="00522918" w:rsidRDefault="00161EB3">
      <w:pPr>
        <w:numPr>
          <w:ilvl w:val="0"/>
          <w:numId w:val="4"/>
        </w:numPr>
        <w:spacing w:after="232" w:line="227" w:lineRule="auto"/>
        <w:ind w:right="158" w:firstLine="4"/>
        <w:jc w:val="both"/>
      </w:pPr>
      <w:r>
        <w:rPr>
          <w:sz w:val="20"/>
        </w:rPr>
        <w:t>Být přítomen průběhu sklizně, kontrolovat kvalitu sklizně, podepsat Výkazy o skli</w:t>
      </w:r>
      <w:r>
        <w:rPr>
          <w:sz w:val="20"/>
        </w:rPr>
        <w:t>zni a uplatnit případnou reklamaci na sklizeň ihned a to zápisem do Výkazu o sklizni. Na pozdější reklamace nebude brán zřetel. Obě smluvní strany se dohodly, že při porušení tohoto bodu ze strany objednatele, bude i nepodepsaný Výkaz o sklizni objednatele</w:t>
      </w:r>
      <w:r>
        <w:rPr>
          <w:sz w:val="20"/>
        </w:rPr>
        <w:t>m brán jako řádný doklad pro vyúčtování dle čl. IV.</w:t>
      </w:r>
    </w:p>
    <w:p w14:paraId="55C67490" w14:textId="77777777" w:rsidR="00522918" w:rsidRDefault="00161EB3">
      <w:pPr>
        <w:numPr>
          <w:ilvl w:val="0"/>
          <w:numId w:val="4"/>
        </w:numPr>
        <w:spacing w:after="27" w:line="227" w:lineRule="auto"/>
        <w:ind w:right="158" w:firstLine="4"/>
        <w:jc w:val="both"/>
      </w:pPr>
      <w:r>
        <w:rPr>
          <w:sz w:val="20"/>
        </w:rPr>
        <w:t>Cukrovku ke sklizni zaset na urovnaných pozemcích takto:</w:t>
      </w:r>
    </w:p>
    <w:p w14:paraId="3972AEA0" w14:textId="77777777" w:rsidR="00522918" w:rsidRDefault="00161EB3">
      <w:pPr>
        <w:spacing w:after="349" w:line="227" w:lineRule="auto"/>
        <w:ind w:left="192" w:right="158" w:firstLine="4"/>
        <w:jc w:val="both"/>
      </w:pPr>
      <w:r>
        <w:rPr>
          <w:sz w:val="20"/>
        </w:rPr>
        <w:t>rozteč řádků 45 cm , souvrať min 16,2 m /36 ř./, příčný svah pozemku do 4 stupňů.</w:t>
      </w:r>
    </w:p>
    <w:p w14:paraId="7FA202B1" w14:textId="77777777" w:rsidR="00522918" w:rsidRDefault="00161EB3">
      <w:pPr>
        <w:spacing w:after="3"/>
        <w:ind w:left="10" w:right="14" w:hanging="10"/>
        <w:jc w:val="center"/>
      </w:pPr>
      <w:r>
        <w:rPr>
          <w:sz w:val="26"/>
        </w:rPr>
        <w:t xml:space="preserve">IV. </w:t>
      </w:r>
      <w:r>
        <w:rPr>
          <w:sz w:val="26"/>
          <w:u w:val="single" w:color="000000"/>
        </w:rPr>
        <w:t>Platební podmínky:</w:t>
      </w:r>
    </w:p>
    <w:p w14:paraId="054E46F3" w14:textId="77777777" w:rsidR="00522918" w:rsidRDefault="00161EB3">
      <w:pPr>
        <w:spacing w:after="0" w:line="227" w:lineRule="auto"/>
        <w:ind w:left="95" w:right="158" w:firstLine="4"/>
        <w:jc w:val="both"/>
      </w:pPr>
      <w:r>
        <w:rPr>
          <w:sz w:val="20"/>
        </w:rPr>
        <w:t>I.A) Objednatel zaplatí zhotoviteli základní smluvní cenu (bez DPH) v KČ za každý sklizený hektar. Základní cena sklizně pro rok 2018 je stanovena takto:</w:t>
      </w:r>
    </w:p>
    <w:p w14:paraId="27049B7D" w14:textId="77777777" w:rsidR="00522918" w:rsidRDefault="00161EB3">
      <w:pPr>
        <w:numPr>
          <w:ilvl w:val="0"/>
          <w:numId w:val="5"/>
        </w:numPr>
        <w:spacing w:after="0"/>
        <w:ind w:right="480" w:hanging="245"/>
      </w:pPr>
      <w:r>
        <w:t>sklizeň strojem Holmer TerraDos nebo Ropa do 100 ha</w:t>
      </w:r>
      <w:r>
        <w:rPr>
          <w:noProof/>
        </w:rPr>
        <w:drawing>
          <wp:inline distT="0" distB="0" distL="0" distR="0" wp14:anchorId="0B55048D" wp14:editId="579C4BFE">
            <wp:extent cx="625099" cy="24384"/>
            <wp:effectExtent l="0" t="0" r="0" b="0"/>
            <wp:docPr id="16390" name="Picture 16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163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099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5 090,- Kč/ha</w:t>
      </w:r>
    </w:p>
    <w:p w14:paraId="76CDE1A0" w14:textId="77777777" w:rsidR="00522918" w:rsidRDefault="00161EB3">
      <w:pPr>
        <w:numPr>
          <w:ilvl w:val="0"/>
          <w:numId w:val="5"/>
        </w:numPr>
        <w:spacing w:after="0"/>
        <w:ind w:right="480" w:hanging="245"/>
      </w:pPr>
      <w:r>
        <w:t>sklizeň strojem Holmer TerraDos nebo</w:t>
      </w:r>
      <w:r>
        <w:t xml:space="preserve"> Ropa nad 101 ha</w:t>
      </w:r>
      <w:r>
        <w:rPr>
          <w:noProof/>
        </w:rPr>
        <w:drawing>
          <wp:inline distT="0" distB="0" distL="0" distR="0" wp14:anchorId="221C4703" wp14:editId="31DCFB9B">
            <wp:extent cx="497031" cy="21336"/>
            <wp:effectExtent l="0" t="0" r="0" b="0"/>
            <wp:docPr id="16392" name="Picture 16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" name="Picture 16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031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4 990,- Kč/ha</w:t>
      </w:r>
    </w:p>
    <w:p w14:paraId="5355A173" w14:textId="77777777" w:rsidR="00522918" w:rsidRDefault="00161EB3">
      <w:pPr>
        <w:spacing w:after="337"/>
        <w:ind w:left="139"/>
      </w:pPr>
      <w:r>
        <w:rPr>
          <w:sz w:val="24"/>
        </w:rPr>
        <w:t xml:space="preserve">Dle charakteru a velikosti pozemků objednatele byla dohodnuta konečná cena </w:t>
      </w:r>
      <w:r>
        <w:rPr>
          <w:noProof/>
        </w:rPr>
        <w:drawing>
          <wp:inline distT="0" distB="0" distL="0" distR="0" wp14:anchorId="05AD4806" wp14:editId="63B0B212">
            <wp:extent cx="878189" cy="448056"/>
            <wp:effectExtent l="0" t="0" r="0" b="0"/>
            <wp:docPr id="6391" name="Picture 6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" name="Picture 63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8189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č/ha</w:t>
      </w:r>
    </w:p>
    <w:p w14:paraId="171F8907" w14:textId="77777777" w:rsidR="00522918" w:rsidRDefault="00161EB3">
      <w:pPr>
        <w:spacing w:after="0"/>
        <w:ind w:left="149" w:hanging="10"/>
      </w:pPr>
      <w:r>
        <w:t>IB) a) odvoz cukrovky Od sklízeče s jedním strojem AgroVital nebo AgroVariant .... I I OO,- Kč/ha</w:t>
      </w:r>
    </w:p>
    <w:p w14:paraId="2FD899A0" w14:textId="77777777" w:rsidR="00522918" w:rsidRDefault="00161EB3">
      <w:pPr>
        <w:spacing w:after="0"/>
        <w:ind w:left="870" w:hanging="10"/>
      </w:pPr>
      <w:r>
        <w:t>(tj. za každý stroj na odvoz řepy na pozemku x</w:t>
      </w:r>
      <w:r>
        <w:t xml:space="preserve"> veškeré ha pozemku)</w:t>
      </w:r>
    </w:p>
    <w:p w14:paraId="238A5EED" w14:textId="77777777" w:rsidR="00522918" w:rsidRDefault="00161EB3">
      <w:pPr>
        <w:tabs>
          <w:tab w:val="center" w:pos="3858"/>
          <w:tab w:val="center" w:pos="9160"/>
        </w:tabs>
        <w:spacing w:after="0"/>
      </w:pPr>
      <w:r>
        <w:rPr>
          <w:sz w:val="28"/>
        </w:rPr>
        <w:tab/>
      </w:r>
      <w:r>
        <w:rPr>
          <w:sz w:val="28"/>
        </w:rPr>
        <w:t>b) vývoz cukrovky od nakladače nebo čističky na určené místo</w:t>
      </w:r>
      <w:r>
        <w:rPr>
          <w:sz w:val="28"/>
        </w:rPr>
        <w:tab/>
      </w:r>
      <w:r>
        <w:rPr>
          <w:sz w:val="28"/>
        </w:rPr>
        <w:t>1100,- Kč/hod</w:t>
      </w:r>
    </w:p>
    <w:p w14:paraId="0E686EBC" w14:textId="77777777" w:rsidR="00522918" w:rsidRDefault="00161EB3">
      <w:pPr>
        <w:spacing w:after="309"/>
        <w:ind w:left="860" w:hanging="10"/>
      </w:pPr>
      <w:r>
        <w:t>(tj. za každý stroj na vývoz řepy)</w:t>
      </w:r>
    </w:p>
    <w:p w14:paraId="576CE475" w14:textId="77777777" w:rsidR="00522918" w:rsidRDefault="00161EB3">
      <w:pPr>
        <w:tabs>
          <w:tab w:val="center" w:pos="7947"/>
        </w:tabs>
        <w:spacing w:after="220" w:line="230" w:lineRule="auto"/>
      </w:pPr>
      <w:r>
        <w:rPr>
          <w:sz w:val="30"/>
        </w:rPr>
        <w:t xml:space="preserve">I.C) Při zaplacení V termínu splatnosti (jen dle bodů </w:t>
      </w:r>
      <w:r>
        <w:rPr>
          <w:sz w:val="30"/>
        </w:rPr>
        <w:tab/>
        <w:t>nebo 41)/) sleva-dobropis .. 50,- Kč/ha</w:t>
      </w:r>
    </w:p>
    <w:p w14:paraId="07854542" w14:textId="77777777" w:rsidR="00522918" w:rsidRDefault="00161EB3">
      <w:pPr>
        <w:spacing w:after="232" w:line="227" w:lineRule="auto"/>
        <w:ind w:left="95" w:right="158" w:firstLine="4"/>
        <w:jc w:val="both"/>
      </w:pPr>
      <w:r>
        <w:rPr>
          <w:sz w:val="20"/>
        </w:rPr>
        <w:t>Naftu a do ní nutná aditiva hradí Objednatel včetně potřebného množství pro přejezdy k zajištění sklizně.</w:t>
      </w:r>
    </w:p>
    <w:p w14:paraId="1EBEA5E8" w14:textId="77777777" w:rsidR="00522918" w:rsidRDefault="00161EB3">
      <w:pPr>
        <w:numPr>
          <w:ilvl w:val="0"/>
          <w:numId w:val="6"/>
        </w:numPr>
        <w:spacing w:after="232" w:line="227" w:lineRule="auto"/>
        <w:ind w:right="158" w:firstLine="4"/>
        <w:jc w:val="both"/>
      </w:pPr>
      <w:r>
        <w:rPr>
          <w:sz w:val="20"/>
        </w:rPr>
        <w:t>Zhotovitel je oprávněn v závislosti na skutečných podmínkách v době sklizně, charakteru půdy, čistotě porostu, kamenitosti pozemku a pro případ požada</w:t>
      </w:r>
      <w:r>
        <w:rPr>
          <w:sz w:val="20"/>
        </w:rPr>
        <w:t>vku vývážení od stroje nad 150m (čl. IV bod la) účtovat přirážku v % z konečné ceny v rozsahu 0-20% (sklizeň jen souvratí a průseků- přirážka až 100%). Posouzení sklízených ploch o oprávněnosti účtování přirážky proběhne před započetím nebo při sklizni a m</w:t>
      </w:r>
      <w:r>
        <w:rPr>
          <w:sz w:val="20"/>
        </w:rPr>
        <w:t>usí být odsouhlaseno oběma stranami ve Výkazu o sklizni, na základě kterého proběhne i konečné vyúčtování. Zkrácení nepřetržité doby sklizně — příplatek 250 Kč/hod zkrácení.</w:t>
      </w:r>
    </w:p>
    <w:p w14:paraId="12EF8036" w14:textId="77777777" w:rsidR="00522918" w:rsidRDefault="00161EB3">
      <w:pPr>
        <w:numPr>
          <w:ilvl w:val="0"/>
          <w:numId w:val="6"/>
        </w:numPr>
        <w:spacing w:after="259" w:line="227" w:lineRule="auto"/>
        <w:ind w:right="158" w:firstLine="4"/>
        <w:jc w:val="both"/>
      </w:pPr>
      <w:r>
        <w:rPr>
          <w:sz w:val="20"/>
        </w:rPr>
        <w:t>Fakturace sklizených hektarů bude prováděna dle prokazatelně sklizených ha ve Výka</w:t>
      </w:r>
      <w:r>
        <w:rPr>
          <w:sz w:val="20"/>
        </w:rPr>
        <w:t>zu o sklizni za vypočtené ceny dle podmínek sklizně (bod 3 tohoto článku smlouvy). Daňový doklad - faktura bude uhrazena objednatelem jedním z následujících způsobů :</w:t>
      </w:r>
    </w:p>
    <w:p w14:paraId="091663AC" w14:textId="77777777" w:rsidR="00522918" w:rsidRDefault="00161EB3">
      <w:pPr>
        <w:spacing w:after="45" w:line="230" w:lineRule="auto"/>
        <w:ind w:left="1038" w:right="4845" w:hanging="10"/>
      </w:pPr>
      <w:r>
        <w:rPr>
          <w:sz w:val="30"/>
        </w:rPr>
        <w:t>a/ v hotovosti ihned po skončení sklizně b/ bankovním převodem</w:t>
      </w:r>
    </w:p>
    <w:p w14:paraId="3AFA7EF9" w14:textId="77777777" w:rsidR="00522918" w:rsidRDefault="00161EB3">
      <w:pPr>
        <w:spacing w:after="0"/>
        <w:ind w:right="221"/>
        <w:jc w:val="right"/>
      </w:pPr>
      <w:r>
        <w:rPr>
          <w:sz w:val="20"/>
        </w:rPr>
        <w:t xml:space="preserve">C/ za dodanou cukrovku do </w:t>
      </w:r>
      <w:r>
        <w:rPr>
          <w:sz w:val="20"/>
        </w:rPr>
        <w:t>cukrovaru za předpokladu dohody s cukrovarem dle platného</w:t>
      </w:r>
    </w:p>
    <w:p w14:paraId="36E5E6DB" w14:textId="77777777" w:rsidR="00522918" w:rsidRDefault="00161EB3">
      <w:pPr>
        <w:spacing w:after="232" w:line="227" w:lineRule="auto"/>
        <w:ind w:left="1013" w:right="158" w:firstLine="4"/>
        <w:jc w:val="both"/>
      </w:pPr>
      <w:r>
        <w:rPr>
          <w:sz w:val="20"/>
        </w:rPr>
        <w:t>zákona o ručení za DPH a za případný poplatek, který by požadoval příslušný cukrovar. Tento poplatek bude fakturován zhotovitelem objednateli při fakturaci sklizně jako přirážka nebo později po zjiš</w:t>
      </w:r>
      <w:r>
        <w:rPr>
          <w:sz w:val="20"/>
        </w:rPr>
        <w:t>tění poplatku.</w:t>
      </w:r>
    </w:p>
    <w:p w14:paraId="2CD63594" w14:textId="77777777" w:rsidR="00522918" w:rsidRDefault="00161EB3">
      <w:pPr>
        <w:numPr>
          <w:ilvl w:val="0"/>
          <w:numId w:val="6"/>
        </w:numPr>
        <w:spacing w:after="262" w:line="227" w:lineRule="auto"/>
        <w:ind w:right="158" w:firstLine="4"/>
        <w:jc w:val="both"/>
      </w:pPr>
      <w:r>
        <w:rPr>
          <w:sz w:val="20"/>
        </w:rPr>
        <w:t>Při volbě způsobu úhrady dle bodu 3c/ musí Objednatel vyplnit, podepsat a předat cukrovaru a Zhotoviteli příslušné Zmocnění a to do 5 pracovních dnů od jeho obdržení, nebude-li dohodnuto jinak. Formulář Zmocnění zašle Objednateli Zhotovitel.</w:t>
      </w:r>
      <w:r>
        <w:rPr>
          <w:sz w:val="20"/>
        </w:rPr>
        <w:t xml:space="preserve"> V případě, že aktualní zákon o ručení za DPH nebo jiný zákon tento zpúsob znevýhodní nebo cukrovar nepřevezme tento závazek, tento způsob úhrady nebude možný. Úhrada bude pak plněna jen dle způsobu 4a nebo 4b.</w:t>
      </w:r>
    </w:p>
    <w:p w14:paraId="30D23653" w14:textId="77777777" w:rsidR="00522918" w:rsidRDefault="00161EB3">
      <w:pPr>
        <w:numPr>
          <w:ilvl w:val="0"/>
          <w:numId w:val="6"/>
        </w:numPr>
        <w:spacing w:after="266" w:line="227" w:lineRule="auto"/>
        <w:ind w:right="158" w:firstLine="4"/>
        <w:jc w:val="both"/>
      </w:pPr>
      <w:r>
        <w:rPr>
          <w:sz w:val="20"/>
        </w:rPr>
        <w:t>Splatnost daňového dokladu-faktury je 14 dní.</w:t>
      </w:r>
      <w:r>
        <w:rPr>
          <w:sz w:val="20"/>
        </w:rPr>
        <w:t xml:space="preserve"> Byl dohodnut smluvní úrok z prodlení ve výši 0,03% z neuhrazené částky denně.</w:t>
      </w:r>
    </w:p>
    <w:p w14:paraId="0B7AD38A" w14:textId="77777777" w:rsidR="00522918" w:rsidRDefault="00161EB3">
      <w:pPr>
        <w:numPr>
          <w:ilvl w:val="0"/>
          <w:numId w:val="6"/>
        </w:numPr>
        <w:spacing w:after="821" w:line="227" w:lineRule="auto"/>
        <w:ind w:right="158" w:firstLine="4"/>
        <w:jc w:val="both"/>
      </w:pPr>
      <w:r>
        <w:rPr>
          <w:sz w:val="20"/>
        </w:rPr>
        <w:t>Veškerá fakturace musí být provedena maximálně do 10-ti dnů po uskutečnění zdanitelného plnění.</w:t>
      </w:r>
    </w:p>
    <w:p w14:paraId="02121041" w14:textId="77777777" w:rsidR="00522918" w:rsidRDefault="00161EB3">
      <w:pPr>
        <w:spacing w:after="3"/>
        <w:ind w:left="10" w:right="663" w:hanging="10"/>
        <w:jc w:val="center"/>
      </w:pPr>
      <w:r>
        <w:rPr>
          <w:sz w:val="26"/>
        </w:rPr>
        <w:t xml:space="preserve">V. </w:t>
      </w:r>
      <w:r>
        <w:rPr>
          <w:sz w:val="26"/>
          <w:u w:val="single" w:color="000000"/>
        </w:rPr>
        <w:t>Odstoupení od smlouvy :</w:t>
      </w:r>
    </w:p>
    <w:p w14:paraId="0A064D28" w14:textId="77777777" w:rsidR="00522918" w:rsidRDefault="00161EB3">
      <w:pPr>
        <w:spacing w:after="4" w:line="249" w:lineRule="auto"/>
        <w:ind w:left="38" w:right="3606" w:hanging="34"/>
        <w:jc w:val="both"/>
      </w:pPr>
      <w:r>
        <w:rPr>
          <w:sz w:val="20"/>
        </w:rPr>
        <w:t>1. Může dojít jednostranným úkonem bez sankcí jen písemně v těchto případech : - ze strany zhotovitele :</w:t>
      </w:r>
    </w:p>
    <w:p w14:paraId="2ECAAC36" w14:textId="77777777" w:rsidR="00522918" w:rsidRDefault="00161EB3">
      <w:pPr>
        <w:numPr>
          <w:ilvl w:val="0"/>
          <w:numId w:val="7"/>
        </w:numPr>
        <w:spacing w:after="4" w:line="249" w:lineRule="auto"/>
        <w:ind w:right="316" w:hanging="211"/>
        <w:jc w:val="both"/>
      </w:pPr>
      <w:r>
        <w:rPr>
          <w:sz w:val="20"/>
        </w:rPr>
        <w:t>Při nezpůsobilém pozemku ke sklizni zjištěném při prohlídce nebo při samotné sklizni</w:t>
      </w:r>
    </w:p>
    <w:p w14:paraId="303D5253" w14:textId="77777777" w:rsidR="00522918" w:rsidRDefault="00161EB3">
      <w:pPr>
        <w:numPr>
          <w:ilvl w:val="0"/>
          <w:numId w:val="7"/>
        </w:numPr>
        <w:spacing w:after="275" w:line="249" w:lineRule="auto"/>
        <w:ind w:right="316" w:hanging="211"/>
        <w:jc w:val="both"/>
      </w:pPr>
      <w:r>
        <w:rPr>
          <w:sz w:val="20"/>
        </w:rPr>
        <w:t>Při nesplnění kterékoliv části oddílu III. V tomto případě není do</w:t>
      </w:r>
      <w:r>
        <w:rPr>
          <w:sz w:val="20"/>
        </w:rPr>
        <w:t>tčen nárok zhotovitele na náhradu škody, která mu jednáním objednatele vznikla</w:t>
      </w:r>
    </w:p>
    <w:p w14:paraId="3B8C0605" w14:textId="77777777" w:rsidR="00522918" w:rsidRDefault="00161EB3">
      <w:pPr>
        <w:spacing w:after="0" w:line="265" w:lineRule="auto"/>
        <w:ind w:left="87" w:hanging="10"/>
      </w:pPr>
      <w:r>
        <w:rPr>
          <w:sz w:val="24"/>
        </w:rPr>
        <w:t>- ze strany objednatele :</w:t>
      </w:r>
    </w:p>
    <w:p w14:paraId="05CFB112" w14:textId="77777777" w:rsidR="00522918" w:rsidRDefault="00161EB3">
      <w:pPr>
        <w:numPr>
          <w:ilvl w:val="0"/>
          <w:numId w:val="8"/>
        </w:numPr>
        <w:spacing w:after="4" w:line="249" w:lineRule="auto"/>
        <w:ind w:right="316" w:hanging="202"/>
        <w:jc w:val="both"/>
      </w:pPr>
      <w:r>
        <w:rPr>
          <w:sz w:val="20"/>
        </w:rPr>
        <w:t xml:space="preserve">při živelné pohromě a zničení porostu </w:t>
      </w:r>
      <w:r>
        <w:rPr>
          <w:noProof/>
        </w:rPr>
        <w:drawing>
          <wp:inline distT="0" distB="0" distL="0" distR="0" wp14:anchorId="0CAC369B" wp14:editId="45B79886">
            <wp:extent cx="6098" cy="12192"/>
            <wp:effectExtent l="0" t="0" r="0" b="0"/>
            <wp:docPr id="8657" name="Picture 8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" name="Picture 86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A0A9" w14:textId="77777777" w:rsidR="00522918" w:rsidRDefault="00161EB3">
      <w:pPr>
        <w:numPr>
          <w:ilvl w:val="0"/>
          <w:numId w:val="8"/>
        </w:numPr>
        <w:spacing w:after="4" w:line="249" w:lineRule="auto"/>
        <w:ind w:right="316" w:hanging="202"/>
        <w:jc w:val="both"/>
      </w:pPr>
      <w:r>
        <w:rPr>
          <w:sz w:val="20"/>
        </w:rPr>
        <w:t>při snížení (o tuto část ha) nebo nepřidělení kvóty plochy cukrovky</w:t>
      </w:r>
    </w:p>
    <w:p w14:paraId="2AC831D0" w14:textId="77777777" w:rsidR="00522918" w:rsidRDefault="00161EB3">
      <w:pPr>
        <w:numPr>
          <w:ilvl w:val="0"/>
          <w:numId w:val="8"/>
        </w:numPr>
        <w:spacing w:after="208" w:line="249" w:lineRule="auto"/>
        <w:ind w:right="316" w:hanging="202"/>
        <w:jc w:val="both"/>
      </w:pPr>
      <w:r>
        <w:rPr>
          <w:sz w:val="20"/>
        </w:rPr>
        <w:t xml:space="preserve">při nesplnění harmonogramu sklizně dle čl. </w:t>
      </w:r>
      <w:r>
        <w:rPr>
          <w:sz w:val="20"/>
        </w:rPr>
        <w:t>II. bod 2</w:t>
      </w:r>
    </w:p>
    <w:p w14:paraId="5D2BB7CD" w14:textId="77777777" w:rsidR="00522918" w:rsidRDefault="00161EB3">
      <w:pPr>
        <w:spacing w:after="213" w:line="249" w:lineRule="auto"/>
        <w:ind w:left="158" w:right="316" w:firstLine="552"/>
        <w:jc w:val="both"/>
      </w:pPr>
      <w:r>
        <w:rPr>
          <w:sz w:val="20"/>
        </w:rPr>
        <w:t>Odstoupit lze i v jiných případech za podmínky, že vzniká oprávnění poškozené straně vyúčtovat straně druhé smluvní pokutu 1000 Kč za každý nesklizený hektar.</w:t>
      </w:r>
    </w:p>
    <w:p w14:paraId="713718FF" w14:textId="77777777" w:rsidR="00522918" w:rsidRDefault="00161EB3">
      <w:pPr>
        <w:numPr>
          <w:ilvl w:val="0"/>
          <w:numId w:val="9"/>
        </w:numPr>
        <w:spacing w:after="203" w:line="249" w:lineRule="auto"/>
        <w:ind w:right="316" w:firstLine="9"/>
        <w:jc w:val="both"/>
      </w:pPr>
      <w:r>
        <w:rPr>
          <w:sz w:val="20"/>
        </w:rPr>
        <w:t>Obě strany se dohodly, že odstoupením od smlouvy končí účinnost této smlouvy nikoliv její platnost.</w:t>
      </w:r>
    </w:p>
    <w:p w14:paraId="69C6F38F" w14:textId="77777777" w:rsidR="00522918" w:rsidRDefault="00161EB3">
      <w:pPr>
        <w:numPr>
          <w:ilvl w:val="0"/>
          <w:numId w:val="9"/>
        </w:numPr>
        <w:spacing w:after="218" w:line="249" w:lineRule="auto"/>
        <w:ind w:right="316" w:firstLine="9"/>
        <w:jc w:val="both"/>
      </w:pPr>
      <w:r>
        <w:rPr>
          <w:sz w:val="20"/>
        </w:rPr>
        <w:t>Obě strany se dohodly, že sklizeň na zaplavených, podmáčených, zamrzlých nebo jinak poškozených pozemcích není možná a nebude prováděna a obě strany mají pr</w:t>
      </w:r>
      <w:r>
        <w:rPr>
          <w:sz w:val="20"/>
        </w:rPr>
        <w:t>oto právo jednostranně od smlouvy bez sankcí odstoupit.</w:t>
      </w:r>
    </w:p>
    <w:p w14:paraId="107A97C8" w14:textId="77777777" w:rsidR="00522918" w:rsidRDefault="00161EB3">
      <w:pPr>
        <w:numPr>
          <w:ilvl w:val="0"/>
          <w:numId w:val="9"/>
        </w:numPr>
        <w:spacing w:after="250" w:line="249" w:lineRule="auto"/>
        <w:ind w:right="316" w:firstLine="9"/>
        <w:jc w:val="both"/>
      </w:pPr>
      <w:r>
        <w:rPr>
          <w:sz w:val="20"/>
        </w:rPr>
        <w:t>Obě smluvní strany se dohodly, že v případě nevyrovnaných závazků objednatele vůči zhotoviteli z minulé sklizně, má právo zhotovitel kdykoliv od této smlouvy jednostranně odstoupit a to bez sankcí a n</w:t>
      </w:r>
      <w:r>
        <w:rPr>
          <w:sz w:val="20"/>
        </w:rPr>
        <w:t>áhrad vůči objednateli. K odstoupení může dojít i v průběhu sklizně. Obě smluvní strany si však vzájemně vyúčtují již poskytnutá plnění dle této smlouvy.</w:t>
      </w:r>
    </w:p>
    <w:p w14:paraId="4A1D9D89" w14:textId="77777777" w:rsidR="00522918" w:rsidRDefault="00161EB3">
      <w:pPr>
        <w:numPr>
          <w:ilvl w:val="1"/>
          <w:numId w:val="9"/>
        </w:numPr>
        <w:spacing w:after="1765" w:line="265" w:lineRule="auto"/>
        <w:ind w:right="202" w:hanging="538"/>
        <w:jc w:val="center"/>
      </w:pPr>
      <w:r>
        <w:rPr>
          <w:sz w:val="26"/>
          <w:u w:val="single" w:color="000000"/>
        </w:rPr>
        <w:t>Jiná uiednání :</w:t>
      </w:r>
    </w:p>
    <w:p w14:paraId="6D316E5A" w14:textId="77777777" w:rsidR="00522918" w:rsidRDefault="00161EB3">
      <w:pPr>
        <w:numPr>
          <w:ilvl w:val="1"/>
          <w:numId w:val="9"/>
        </w:numPr>
        <w:spacing w:after="0" w:line="265" w:lineRule="auto"/>
        <w:ind w:right="202" w:hanging="538"/>
        <w:jc w:val="center"/>
      </w:pPr>
      <w:r>
        <w:rPr>
          <w:sz w:val="26"/>
          <w:u w:val="single" w:color="000000"/>
        </w:rPr>
        <w:t>Závěrečná ustanovení :</w:t>
      </w:r>
    </w:p>
    <w:p w14:paraId="1C636DE1" w14:textId="77777777" w:rsidR="00522918" w:rsidRDefault="00161EB3">
      <w:pPr>
        <w:numPr>
          <w:ilvl w:val="0"/>
          <w:numId w:val="10"/>
        </w:numPr>
        <w:spacing w:after="4" w:line="249" w:lineRule="auto"/>
        <w:ind w:right="316" w:firstLine="9"/>
        <w:jc w:val="both"/>
      </w:pPr>
      <w:r>
        <w:rPr>
          <w:sz w:val="20"/>
        </w:rPr>
        <w:t>Smlouva je platná po podpisu zhotovitele a objednatele. Smluvní</w:t>
      </w:r>
      <w:r>
        <w:rPr>
          <w:sz w:val="20"/>
        </w:rPr>
        <w:t xml:space="preserve"> pokuta je splatná do 10 dnů od předložení daňového dokladu-faktury.</w:t>
      </w:r>
    </w:p>
    <w:p w14:paraId="2D7B1BE5" w14:textId="77777777" w:rsidR="00522918" w:rsidRDefault="00161EB3">
      <w:pPr>
        <w:numPr>
          <w:ilvl w:val="0"/>
          <w:numId w:val="10"/>
        </w:numPr>
        <w:spacing w:after="4" w:line="249" w:lineRule="auto"/>
        <w:ind w:right="316" w:firstLine="9"/>
        <w:jc w:val="both"/>
      </w:pPr>
      <w:r>
        <w:rPr>
          <w:sz w:val="20"/>
        </w:rPr>
        <w:t>Veškeré ceny ve smlouvě jsou uvedené bez DPH.</w:t>
      </w:r>
    </w:p>
    <w:p w14:paraId="66E9DAC9" w14:textId="77777777" w:rsidR="00522918" w:rsidRDefault="00161EB3">
      <w:pPr>
        <w:numPr>
          <w:ilvl w:val="0"/>
          <w:numId w:val="10"/>
        </w:numPr>
        <w:spacing w:after="4" w:line="249" w:lineRule="auto"/>
        <w:ind w:right="316" w:firstLine="9"/>
        <w:jc w:val="both"/>
      </w:pPr>
      <w:r>
        <w:rPr>
          <w:sz w:val="20"/>
        </w:rPr>
        <w:t>Smlouvaje vyhotovena ve 2 vyhotoveních. Každá strana obdrží po I výtisku .</w:t>
      </w:r>
    </w:p>
    <w:p w14:paraId="347B2C82" w14:textId="77777777" w:rsidR="00522918" w:rsidRDefault="00161EB3">
      <w:pPr>
        <w:spacing w:after="0"/>
        <w:ind w:left="5402" w:right="-279"/>
      </w:pPr>
      <w:r>
        <w:rPr>
          <w:noProof/>
        </w:rPr>
        <mc:AlternateContent>
          <mc:Choice Requires="wpg">
            <w:drawing>
              <wp:inline distT="0" distB="0" distL="0" distR="0" wp14:anchorId="2F6319B5" wp14:editId="07DE041B">
                <wp:extent cx="3238320" cy="18288"/>
                <wp:effectExtent l="0" t="0" r="0" b="0"/>
                <wp:docPr id="16395" name="Group 16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320" cy="18288"/>
                          <a:chOff x="0" y="0"/>
                          <a:chExt cx="3238320" cy="18288"/>
                        </a:xfrm>
                      </wpg:grpSpPr>
                      <wps:wsp>
                        <wps:cNvPr id="16394" name="Shape 16394"/>
                        <wps:cNvSpPr/>
                        <wps:spPr>
                          <a:xfrm>
                            <a:off x="0" y="0"/>
                            <a:ext cx="323832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320" h="18288">
                                <a:moveTo>
                                  <a:pt x="0" y="9144"/>
                                </a:moveTo>
                                <a:lnTo>
                                  <a:pt x="3238320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95" style="width:254.986pt;height:1.44pt;mso-position-horizontal-relative:char;mso-position-vertical-relative:line" coordsize="32383,182">
                <v:shape id="Shape 16394" style="position:absolute;width:32383;height:182;left:0;top:0;" coordsize="3238320,18288" path="m0,9144l3238320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6748BF" w14:textId="77777777" w:rsidR="00522918" w:rsidRDefault="00522918">
      <w:pPr>
        <w:sectPr w:rsidR="00522918">
          <w:pgSz w:w="11563" w:h="16488"/>
          <w:pgMar w:top="340" w:right="485" w:bottom="664" w:left="855" w:header="720" w:footer="720" w:gutter="0"/>
          <w:cols w:space="720"/>
        </w:sectPr>
      </w:pPr>
    </w:p>
    <w:p w14:paraId="395EB934" w14:textId="77777777" w:rsidR="00522918" w:rsidRDefault="00161EB3">
      <w:pPr>
        <w:spacing w:after="1373" w:line="265" w:lineRule="auto"/>
        <w:ind w:left="-5" w:hanging="10"/>
      </w:pPr>
      <w:r>
        <w:rPr>
          <w:sz w:val="24"/>
        </w:rPr>
        <w:t>V Opavě dne 9. května 2018</w:t>
      </w:r>
    </w:p>
    <w:p w14:paraId="01F3D670" w14:textId="77777777" w:rsidR="00522918" w:rsidRDefault="00161EB3">
      <w:pPr>
        <w:spacing w:after="71"/>
        <w:ind w:left="490"/>
      </w:pPr>
      <w:r>
        <w:rPr>
          <w:noProof/>
        </w:rPr>
        <mc:AlternateContent>
          <mc:Choice Requires="wpg">
            <w:drawing>
              <wp:inline distT="0" distB="0" distL="0" distR="0" wp14:anchorId="6B5040FE" wp14:editId="00DA5187">
                <wp:extent cx="1542929" cy="12192"/>
                <wp:effectExtent l="0" t="0" r="0" b="0"/>
                <wp:docPr id="16397" name="Group 16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2929" cy="12192"/>
                          <a:chOff x="0" y="0"/>
                          <a:chExt cx="1542929" cy="12192"/>
                        </a:xfrm>
                      </wpg:grpSpPr>
                      <wps:wsp>
                        <wps:cNvPr id="16396" name="Shape 16396"/>
                        <wps:cNvSpPr/>
                        <wps:spPr>
                          <a:xfrm>
                            <a:off x="0" y="0"/>
                            <a:ext cx="154292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2929" h="12192">
                                <a:moveTo>
                                  <a:pt x="0" y="6097"/>
                                </a:moveTo>
                                <a:lnTo>
                                  <a:pt x="1542929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97" style="width:121.49pt;height:0.960022pt;mso-position-horizontal-relative:char;mso-position-vertical-relative:line" coordsize="15429,121">
                <v:shape id="Shape 16396" style="position:absolute;width:15429;height:121;left:0;top:0;" coordsize="1542929,12192" path="m0,6097l1542929,6097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276324D" w14:textId="77777777" w:rsidR="00522918" w:rsidRDefault="00161EB3">
      <w:pPr>
        <w:tabs>
          <w:tab w:val="center" w:pos="1827"/>
          <w:tab w:val="right" w:pos="7928"/>
        </w:tabs>
        <w:spacing w:after="0"/>
      </w:pPr>
      <w:r>
        <w:rPr>
          <w:sz w:val="20"/>
        </w:rPr>
        <w:tab/>
      </w:r>
      <w:r>
        <w:rPr>
          <w:sz w:val="20"/>
        </w:rPr>
        <w:t>Objednatel</w:t>
      </w:r>
      <w:r>
        <w:rPr>
          <w:sz w:val="20"/>
        </w:rPr>
        <w:tab/>
        <w:t>Zhot itel</w:t>
      </w:r>
    </w:p>
    <w:sectPr w:rsidR="00522918">
      <w:type w:val="continuous"/>
      <w:pgSz w:w="11563" w:h="16488"/>
      <w:pgMar w:top="340" w:right="2718" w:bottom="4232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1A1E"/>
    <w:multiLevelType w:val="hybridMultilevel"/>
    <w:tmpl w:val="46CC62FA"/>
    <w:lvl w:ilvl="0" w:tplc="99D65354">
      <w:start w:val="1"/>
      <w:numFmt w:val="upperRoman"/>
      <w:lvlText w:val="%1."/>
      <w:lvlJc w:val="left"/>
      <w:pPr>
        <w:ind w:left="1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42DA10">
      <w:start w:val="1"/>
      <w:numFmt w:val="lowerLetter"/>
      <w:lvlText w:val="%2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34EA70">
      <w:start w:val="1"/>
      <w:numFmt w:val="lowerRoman"/>
      <w:lvlText w:val="%3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56F176">
      <w:start w:val="1"/>
      <w:numFmt w:val="decimal"/>
      <w:lvlText w:val="%4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90D60C">
      <w:start w:val="1"/>
      <w:numFmt w:val="lowerLetter"/>
      <w:lvlText w:val="%5"/>
      <w:lvlJc w:val="left"/>
      <w:pPr>
        <w:ind w:left="7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3467EC">
      <w:start w:val="1"/>
      <w:numFmt w:val="lowerRoman"/>
      <w:lvlText w:val="%6"/>
      <w:lvlJc w:val="left"/>
      <w:pPr>
        <w:ind w:left="7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C261604">
      <w:start w:val="1"/>
      <w:numFmt w:val="decimal"/>
      <w:lvlText w:val="%7"/>
      <w:lvlJc w:val="left"/>
      <w:pPr>
        <w:ind w:left="8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D2AB24">
      <w:start w:val="1"/>
      <w:numFmt w:val="lowerLetter"/>
      <w:lvlText w:val="%8"/>
      <w:lvlJc w:val="left"/>
      <w:pPr>
        <w:ind w:left="9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3EEBA6">
      <w:start w:val="1"/>
      <w:numFmt w:val="lowerRoman"/>
      <w:lvlText w:val="%9"/>
      <w:lvlJc w:val="left"/>
      <w:pPr>
        <w:ind w:left="10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B7141"/>
    <w:multiLevelType w:val="hybridMultilevel"/>
    <w:tmpl w:val="2AB85542"/>
    <w:lvl w:ilvl="0" w:tplc="41247AD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E1DE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80D29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DAF7A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70EE7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DC3F7E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4F2FA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105E7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04BB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B8738D"/>
    <w:multiLevelType w:val="hybridMultilevel"/>
    <w:tmpl w:val="5E3EEE2E"/>
    <w:lvl w:ilvl="0" w:tplc="F6F0F88E">
      <w:start w:val="1"/>
      <w:numFmt w:val="lowerLetter"/>
      <w:lvlText w:val="%1.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BEE69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947C6C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B471D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1EF33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68ACD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662A2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103E1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B848E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AA4383"/>
    <w:multiLevelType w:val="hybridMultilevel"/>
    <w:tmpl w:val="70224BFA"/>
    <w:lvl w:ilvl="0" w:tplc="35C4FE96">
      <w:start w:val="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47C3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86860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E99E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8ACE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84AEB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E07E1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0482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C7B8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57782"/>
    <w:multiLevelType w:val="hybridMultilevel"/>
    <w:tmpl w:val="0A42E8D0"/>
    <w:lvl w:ilvl="0" w:tplc="392469F6">
      <w:start w:val="2"/>
      <w:numFmt w:val="lowerLetter"/>
      <w:lvlText w:val="%1)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81ECE">
      <w:start w:val="1"/>
      <w:numFmt w:val="lowerLetter"/>
      <w:lvlText w:val="%2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C0940">
      <w:start w:val="1"/>
      <w:numFmt w:val="lowerRoman"/>
      <w:lvlText w:val="%3"/>
      <w:lvlJc w:val="left"/>
      <w:pPr>
        <w:ind w:left="1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B664CA">
      <w:start w:val="1"/>
      <w:numFmt w:val="decimal"/>
      <w:lvlText w:val="%4"/>
      <w:lvlJc w:val="left"/>
      <w:pPr>
        <w:ind w:left="2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B883CC">
      <w:start w:val="1"/>
      <w:numFmt w:val="lowerLetter"/>
      <w:lvlText w:val="%5"/>
      <w:lvlJc w:val="left"/>
      <w:pPr>
        <w:ind w:left="3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2F5F6">
      <w:start w:val="1"/>
      <w:numFmt w:val="lowerRoman"/>
      <w:lvlText w:val="%6"/>
      <w:lvlJc w:val="left"/>
      <w:pPr>
        <w:ind w:left="4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ACB76">
      <w:start w:val="1"/>
      <w:numFmt w:val="decimal"/>
      <w:lvlText w:val="%7"/>
      <w:lvlJc w:val="left"/>
      <w:pPr>
        <w:ind w:left="4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640320">
      <w:start w:val="1"/>
      <w:numFmt w:val="lowerLetter"/>
      <w:lvlText w:val="%8"/>
      <w:lvlJc w:val="left"/>
      <w:pPr>
        <w:ind w:left="5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A2536">
      <w:start w:val="1"/>
      <w:numFmt w:val="lowerRoman"/>
      <w:lvlText w:val="%9"/>
      <w:lvlJc w:val="left"/>
      <w:pPr>
        <w:ind w:left="6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D530D2"/>
    <w:multiLevelType w:val="hybridMultilevel"/>
    <w:tmpl w:val="4AD06370"/>
    <w:lvl w:ilvl="0" w:tplc="1B9A53AC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B0BFEA">
      <w:start w:val="6"/>
      <w:numFmt w:val="upperRoman"/>
      <w:lvlText w:val="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2A2E4A">
      <w:start w:val="1"/>
      <w:numFmt w:val="lowerRoman"/>
      <w:lvlText w:val="%3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304984">
      <w:start w:val="1"/>
      <w:numFmt w:val="decimal"/>
      <w:lvlText w:val="%4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64C7D0">
      <w:start w:val="1"/>
      <w:numFmt w:val="lowerLetter"/>
      <w:lvlText w:val="%5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B65F0C">
      <w:start w:val="1"/>
      <w:numFmt w:val="lowerRoman"/>
      <w:lvlText w:val="%6"/>
      <w:lvlJc w:val="left"/>
      <w:pPr>
        <w:ind w:left="7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F85BEC">
      <w:start w:val="1"/>
      <w:numFmt w:val="decimal"/>
      <w:lvlText w:val="%7"/>
      <w:lvlJc w:val="left"/>
      <w:pPr>
        <w:ind w:left="7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5669EE">
      <w:start w:val="1"/>
      <w:numFmt w:val="lowerLetter"/>
      <w:lvlText w:val="%8"/>
      <w:lvlJc w:val="left"/>
      <w:pPr>
        <w:ind w:left="8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42F22C">
      <w:start w:val="1"/>
      <w:numFmt w:val="lowerRoman"/>
      <w:lvlText w:val="%9"/>
      <w:lvlJc w:val="left"/>
      <w:pPr>
        <w:ind w:left="9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6003B9"/>
    <w:multiLevelType w:val="hybridMultilevel"/>
    <w:tmpl w:val="F41A3B38"/>
    <w:lvl w:ilvl="0" w:tplc="1B96D1F8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85512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6B4A4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6024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033F8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D2AE24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C86F44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BC25DA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8EE1BE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74595F"/>
    <w:multiLevelType w:val="hybridMultilevel"/>
    <w:tmpl w:val="C782561C"/>
    <w:lvl w:ilvl="0" w:tplc="06949FEC">
      <w:start w:val="3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49936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E6D5F0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040FE6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72EBD0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C421C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72829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EF7C4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28670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9C514E"/>
    <w:multiLevelType w:val="hybridMultilevel"/>
    <w:tmpl w:val="BC1AC7D6"/>
    <w:lvl w:ilvl="0" w:tplc="EB0E036E">
      <w:start w:val="1"/>
      <w:numFmt w:val="lowerLetter"/>
      <w:lvlText w:val="%1)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8463E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E887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69DE6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E2FB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41266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6DE98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8683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506748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C86165"/>
    <w:multiLevelType w:val="hybridMultilevel"/>
    <w:tmpl w:val="6B88E25E"/>
    <w:lvl w:ilvl="0" w:tplc="D16E2432">
      <w:start w:val="1"/>
      <w:numFmt w:val="lowerLetter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6BF96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2FB8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086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0C24C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A04F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88B0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0E3D5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744EC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18"/>
    <w:rsid w:val="00161EB3"/>
    <w:rsid w:val="0052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7902"/>
  <w15:docId w15:val="{B21023B2-BD69-4359-A9AA-FCE6C502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freelancer</dc:creator>
  <cp:keywords/>
  <cp:lastModifiedBy>freelancer</cp:lastModifiedBy>
  <cp:revision>2</cp:revision>
  <dcterms:created xsi:type="dcterms:W3CDTF">2018-05-09T06:39:00Z</dcterms:created>
  <dcterms:modified xsi:type="dcterms:W3CDTF">2018-05-09T06:39:00Z</dcterms:modified>
</cp:coreProperties>
</file>