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0713" w:rsidRDefault="00AE1173">
      <w:pPr>
        <w:widowControl/>
        <w:pBdr>
          <w:top w:val="nil"/>
          <w:left w:val="nil"/>
          <w:bottom w:val="nil"/>
          <w:right w:val="nil"/>
          <w:between w:val="nil"/>
        </w:pBdr>
        <w:spacing w:line="276" w:lineRule="auto"/>
        <w:jc w:val="center"/>
        <w:rPr>
          <w:rFonts w:ascii="Calibri" w:eastAsia="Calibri" w:hAnsi="Calibri" w:cs="Calibri"/>
          <w:b/>
          <w:color w:val="000000"/>
          <w:sz w:val="32"/>
          <w:szCs w:val="32"/>
        </w:rPr>
      </w:pPr>
      <w:bookmarkStart w:id="0" w:name="_GoBack"/>
      <w:bookmarkEnd w:id="0"/>
      <w:r>
        <w:rPr>
          <w:rFonts w:ascii="Calibri" w:eastAsia="Calibri" w:hAnsi="Calibri" w:cs="Calibri"/>
          <w:b/>
          <w:color w:val="000000"/>
          <w:sz w:val="32"/>
          <w:szCs w:val="32"/>
        </w:rPr>
        <w:t xml:space="preserve">Smlouva č.  1/2018 </w:t>
      </w:r>
      <w:r>
        <w:rPr>
          <w:rFonts w:ascii="Arial" w:eastAsia="Arial" w:hAnsi="Arial" w:cs="Arial"/>
          <w:b/>
          <w:color w:val="000000"/>
          <w:sz w:val="28"/>
          <w:szCs w:val="28"/>
        </w:rPr>
        <w:t xml:space="preserve">o </w:t>
      </w:r>
      <w:r>
        <w:rPr>
          <w:rFonts w:ascii="Calibri" w:eastAsia="Calibri" w:hAnsi="Calibri" w:cs="Calibri"/>
          <w:b/>
          <w:color w:val="000000"/>
          <w:sz w:val="32"/>
          <w:szCs w:val="32"/>
        </w:rPr>
        <w:t xml:space="preserve">poskytování </w:t>
      </w:r>
    </w:p>
    <w:p w:rsidR="00B10713" w:rsidRDefault="00AE1173">
      <w:pPr>
        <w:widowControl/>
        <w:pBdr>
          <w:top w:val="nil"/>
          <w:left w:val="nil"/>
          <w:bottom w:val="nil"/>
          <w:right w:val="nil"/>
          <w:between w:val="nil"/>
        </w:pBdr>
        <w:spacing w:line="276" w:lineRule="auto"/>
        <w:jc w:val="center"/>
        <w:rPr>
          <w:rFonts w:ascii="Arial" w:eastAsia="Arial" w:hAnsi="Arial" w:cs="Arial"/>
          <w:color w:val="00000A"/>
          <w:sz w:val="22"/>
          <w:szCs w:val="22"/>
        </w:rPr>
      </w:pPr>
      <w:r>
        <w:rPr>
          <w:rFonts w:ascii="Calibri" w:eastAsia="Calibri" w:hAnsi="Calibri" w:cs="Calibri"/>
          <w:b/>
          <w:color w:val="000000"/>
          <w:sz w:val="32"/>
          <w:szCs w:val="32"/>
        </w:rPr>
        <w:t>serverhostingových služeb - systém TRITIUS</w:t>
      </w:r>
    </w:p>
    <w:p w:rsidR="00B10713" w:rsidRDefault="00B10713">
      <w:pPr>
        <w:widowControl/>
        <w:pBdr>
          <w:top w:val="nil"/>
          <w:left w:val="nil"/>
          <w:bottom w:val="nil"/>
          <w:right w:val="nil"/>
          <w:between w:val="nil"/>
        </w:pBdr>
        <w:tabs>
          <w:tab w:val="left" w:pos="5880"/>
        </w:tabs>
        <w:spacing w:line="276" w:lineRule="auto"/>
        <w:rPr>
          <w:rFonts w:ascii="Arial" w:eastAsia="Arial" w:hAnsi="Arial" w:cs="Arial"/>
          <w:color w:val="00000A"/>
          <w:sz w:val="22"/>
          <w:szCs w:val="22"/>
        </w:rPr>
      </w:pPr>
    </w:p>
    <w:p w:rsidR="00B10713" w:rsidRDefault="00B10713">
      <w:pPr>
        <w:widowControl/>
        <w:pBdr>
          <w:top w:val="nil"/>
          <w:left w:val="nil"/>
          <w:bottom w:val="nil"/>
          <w:right w:val="nil"/>
          <w:between w:val="nil"/>
        </w:pBdr>
        <w:tabs>
          <w:tab w:val="left" w:pos="5880"/>
        </w:tabs>
        <w:spacing w:line="276" w:lineRule="auto"/>
        <w:rPr>
          <w:rFonts w:ascii="Arial" w:eastAsia="Arial" w:hAnsi="Arial" w:cs="Arial"/>
          <w:color w:val="00000A"/>
          <w:sz w:val="22"/>
          <w:szCs w:val="22"/>
        </w:rPr>
      </w:pPr>
    </w:p>
    <w:p w:rsidR="00B10713" w:rsidRDefault="00AE1173">
      <w:pPr>
        <w:pBdr>
          <w:top w:val="nil"/>
          <w:left w:val="nil"/>
          <w:bottom w:val="nil"/>
          <w:right w:val="nil"/>
          <w:between w:val="nil"/>
        </w:pBdr>
        <w:spacing w:line="276" w:lineRule="auto"/>
        <w:ind w:left="1620" w:hanging="1620"/>
        <w:jc w:val="both"/>
        <w:rPr>
          <w:rFonts w:ascii="Calibri" w:eastAsia="Calibri" w:hAnsi="Calibri" w:cs="Calibri"/>
          <w:color w:val="000000"/>
          <w:sz w:val="28"/>
          <w:szCs w:val="28"/>
        </w:rPr>
      </w:pPr>
      <w:r>
        <w:rPr>
          <w:rFonts w:ascii="Calibri" w:eastAsia="Calibri" w:hAnsi="Calibri" w:cs="Calibri"/>
          <w:b/>
          <w:color w:val="000000"/>
          <w:sz w:val="22"/>
          <w:szCs w:val="22"/>
        </w:rPr>
        <w:t xml:space="preserve">Poskytovatel: </w:t>
      </w:r>
      <w:r>
        <w:rPr>
          <w:rFonts w:ascii="Calibri" w:eastAsia="Calibri" w:hAnsi="Calibri" w:cs="Calibri"/>
          <w:b/>
          <w:color w:val="000000"/>
          <w:sz w:val="22"/>
          <w:szCs w:val="22"/>
        </w:rPr>
        <w:tab/>
      </w:r>
    </w:p>
    <w:p w:rsidR="00B10713" w:rsidRDefault="00AE1173">
      <w:pPr>
        <w:widowControl/>
        <w:spacing w:line="276" w:lineRule="auto"/>
        <w:ind w:left="357"/>
        <w:rPr>
          <w:rFonts w:ascii="Calibri" w:eastAsia="Calibri" w:hAnsi="Calibri" w:cs="Calibri"/>
          <w:sz w:val="22"/>
          <w:szCs w:val="22"/>
        </w:rPr>
      </w:pPr>
      <w:r>
        <w:rPr>
          <w:rFonts w:ascii="Calibri" w:eastAsia="Calibri" w:hAnsi="Calibri" w:cs="Calibri"/>
          <w:sz w:val="28"/>
          <w:szCs w:val="28"/>
        </w:rPr>
        <w:t>Tritius Solutions a.s.</w:t>
      </w:r>
    </w:p>
    <w:p w:rsidR="00B10713" w:rsidRDefault="00AE1173">
      <w:pPr>
        <w:widowControl/>
        <w:spacing w:line="276" w:lineRule="auto"/>
        <w:ind w:left="357"/>
        <w:rPr>
          <w:rFonts w:ascii="Calibri" w:eastAsia="Calibri" w:hAnsi="Calibri" w:cs="Calibri"/>
          <w:sz w:val="22"/>
          <w:szCs w:val="22"/>
        </w:rPr>
      </w:pPr>
      <w:r>
        <w:rPr>
          <w:rFonts w:ascii="Calibri" w:eastAsia="Calibri" w:hAnsi="Calibri" w:cs="Calibri"/>
          <w:sz w:val="22"/>
          <w:szCs w:val="22"/>
        </w:rPr>
        <w:t>se sídlem: Brno, Vodní 258/13, Staré Brno, 602 00 Brno</w:t>
      </w:r>
    </w:p>
    <w:p w:rsidR="00B10713" w:rsidRDefault="00AE1173">
      <w:pPr>
        <w:widowControl/>
        <w:spacing w:line="276" w:lineRule="auto"/>
        <w:ind w:left="357"/>
        <w:rPr>
          <w:rFonts w:ascii="Calibri" w:eastAsia="Calibri" w:hAnsi="Calibri" w:cs="Calibri"/>
          <w:sz w:val="22"/>
          <w:szCs w:val="22"/>
        </w:rPr>
      </w:pPr>
      <w:r>
        <w:rPr>
          <w:rFonts w:ascii="Calibri" w:eastAsia="Calibri" w:hAnsi="Calibri" w:cs="Calibri"/>
          <w:sz w:val="22"/>
          <w:szCs w:val="22"/>
        </w:rPr>
        <w:t xml:space="preserve">IČ: 05700582, DIČ:   CZ05700582,  ID datové schránky: </w:t>
      </w:r>
      <w:r>
        <w:rPr>
          <w:rFonts w:ascii="Calibri" w:eastAsia="Calibri" w:hAnsi="Calibri" w:cs="Calibri"/>
          <w:color w:val="1E2D3C"/>
          <w:sz w:val="22"/>
          <w:szCs w:val="22"/>
          <w:shd w:val="clear" w:color="auto" w:fill="FAFAFA"/>
        </w:rPr>
        <w:t>dvj9x5c</w:t>
      </w:r>
      <w:r>
        <w:rPr>
          <w:rFonts w:ascii="Calibri" w:eastAsia="Calibri" w:hAnsi="Calibri" w:cs="Calibri"/>
          <w:sz w:val="22"/>
          <w:szCs w:val="22"/>
        </w:rPr>
        <w:t xml:space="preserve"> </w:t>
      </w:r>
    </w:p>
    <w:p w:rsidR="00B10713" w:rsidRDefault="00AE1173">
      <w:pPr>
        <w:widowControl/>
        <w:spacing w:line="276" w:lineRule="auto"/>
        <w:ind w:left="357"/>
        <w:rPr>
          <w:rFonts w:ascii="Calibri" w:eastAsia="Calibri" w:hAnsi="Calibri" w:cs="Calibri"/>
          <w:sz w:val="23"/>
          <w:szCs w:val="23"/>
        </w:rPr>
      </w:pPr>
      <w:r>
        <w:rPr>
          <w:rFonts w:ascii="Calibri" w:eastAsia="Calibri" w:hAnsi="Calibri" w:cs="Calibri"/>
          <w:sz w:val="22"/>
          <w:szCs w:val="22"/>
        </w:rPr>
        <w:t>bankovní spojení : č.ú. 115-3913000287/0100 Komerční banka, a.s.</w:t>
      </w:r>
    </w:p>
    <w:p w:rsidR="00B10713" w:rsidRDefault="00AE1173">
      <w:pPr>
        <w:widowControl/>
        <w:spacing w:line="276" w:lineRule="auto"/>
        <w:ind w:left="357"/>
        <w:rPr>
          <w:rFonts w:ascii="Calibri" w:eastAsia="Calibri" w:hAnsi="Calibri" w:cs="Calibri"/>
          <w:sz w:val="22"/>
          <w:szCs w:val="22"/>
        </w:rPr>
      </w:pPr>
      <w:r>
        <w:rPr>
          <w:rFonts w:ascii="Calibri" w:eastAsia="Calibri" w:hAnsi="Calibri" w:cs="Calibri"/>
          <w:sz w:val="22"/>
          <w:szCs w:val="22"/>
        </w:rPr>
        <w:t>zapsaná v obchodním rejstříku vedeném u krajského soudu v Brně, v oddílu B, vložka 7644</w:t>
      </w:r>
    </w:p>
    <w:p w:rsidR="00B10713" w:rsidRDefault="00AE1173">
      <w:pPr>
        <w:spacing w:line="276" w:lineRule="auto"/>
        <w:ind w:left="357"/>
        <w:jc w:val="both"/>
        <w:rPr>
          <w:rFonts w:ascii="Arial" w:eastAsia="Arial" w:hAnsi="Arial" w:cs="Arial"/>
          <w:color w:val="00000A"/>
          <w:sz w:val="22"/>
          <w:szCs w:val="22"/>
        </w:rPr>
      </w:pPr>
      <w:r>
        <w:rPr>
          <w:rFonts w:ascii="Calibri" w:eastAsia="Calibri" w:hAnsi="Calibri" w:cs="Calibri"/>
          <w:sz w:val="22"/>
          <w:szCs w:val="22"/>
        </w:rPr>
        <w:t>jednající: Ing. Jiří Šilha, předseda představenstva</w:t>
      </w:r>
    </w:p>
    <w:p w:rsidR="00B10713" w:rsidRDefault="00B10713">
      <w:pPr>
        <w:pBdr>
          <w:top w:val="nil"/>
          <w:left w:val="nil"/>
          <w:bottom w:val="nil"/>
          <w:right w:val="nil"/>
          <w:between w:val="nil"/>
        </w:pBdr>
        <w:spacing w:line="276" w:lineRule="auto"/>
        <w:jc w:val="both"/>
        <w:rPr>
          <w:rFonts w:ascii="Arial" w:eastAsia="Arial" w:hAnsi="Arial" w:cs="Arial"/>
          <w:color w:val="00000A"/>
          <w:sz w:val="22"/>
          <w:szCs w:val="22"/>
        </w:rPr>
      </w:pPr>
    </w:p>
    <w:p w:rsidR="00B10713" w:rsidRDefault="00AE1173">
      <w:pPr>
        <w:pBdr>
          <w:top w:val="nil"/>
          <w:left w:val="nil"/>
          <w:bottom w:val="nil"/>
          <w:right w:val="nil"/>
          <w:between w:val="nil"/>
        </w:pBdr>
        <w:spacing w:line="276" w:lineRule="auto"/>
        <w:ind w:left="1620" w:hanging="1620"/>
        <w:jc w:val="both"/>
        <w:rPr>
          <w:rFonts w:ascii="Calibri" w:eastAsia="Calibri" w:hAnsi="Calibri" w:cs="Calibri"/>
          <w:color w:val="000000"/>
          <w:sz w:val="28"/>
          <w:szCs w:val="28"/>
        </w:rPr>
      </w:pPr>
      <w:r>
        <w:rPr>
          <w:rFonts w:ascii="Calibri" w:eastAsia="Calibri" w:hAnsi="Calibri" w:cs="Calibri"/>
          <w:b/>
          <w:color w:val="000000"/>
          <w:sz w:val="22"/>
          <w:szCs w:val="22"/>
        </w:rPr>
        <w:t>Objednatel:</w:t>
      </w:r>
      <w:r>
        <w:rPr>
          <w:rFonts w:ascii="Calibri" w:eastAsia="Calibri" w:hAnsi="Calibri" w:cs="Calibri"/>
          <w:b/>
          <w:color w:val="000000"/>
          <w:sz w:val="22"/>
          <w:szCs w:val="22"/>
        </w:rPr>
        <w:tab/>
      </w:r>
    </w:p>
    <w:p w:rsidR="00B10713" w:rsidRDefault="005D567D">
      <w:pPr>
        <w:widowControl/>
        <w:pBdr>
          <w:top w:val="nil"/>
          <w:left w:val="nil"/>
          <w:bottom w:val="nil"/>
          <w:right w:val="nil"/>
          <w:between w:val="nil"/>
        </w:pBdr>
        <w:spacing w:line="276" w:lineRule="auto"/>
        <w:ind w:left="357" w:hanging="357"/>
        <w:rPr>
          <w:rFonts w:ascii="Calibri" w:eastAsia="Calibri" w:hAnsi="Calibri" w:cs="Calibri"/>
          <w:color w:val="000000"/>
          <w:sz w:val="28"/>
          <w:szCs w:val="28"/>
        </w:rPr>
      </w:pPr>
      <w:r>
        <w:rPr>
          <w:rFonts w:ascii="Calibri" w:eastAsia="Calibri" w:hAnsi="Calibri" w:cs="Calibri"/>
          <w:color w:val="000000"/>
          <w:sz w:val="28"/>
          <w:szCs w:val="28"/>
        </w:rPr>
        <w:t xml:space="preserve">     Městská knihovna Jihlava, příspěvková organizace</w:t>
      </w:r>
    </w:p>
    <w:p w:rsidR="005D567D" w:rsidRDefault="00AE1173">
      <w:pPr>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 xml:space="preserve">se sídlem:  </w:t>
      </w:r>
      <w:r w:rsidR="005D567D">
        <w:rPr>
          <w:rFonts w:ascii="Calibri" w:eastAsia="Calibri" w:hAnsi="Calibri" w:cs="Calibri"/>
          <w:color w:val="000000"/>
          <w:sz w:val="22"/>
          <w:szCs w:val="22"/>
        </w:rPr>
        <w:t>Jihlava, Hluboká 1</w:t>
      </w:r>
      <w:r w:rsidR="009F26D1">
        <w:rPr>
          <w:rFonts w:ascii="Calibri" w:eastAsia="Calibri" w:hAnsi="Calibri" w:cs="Calibri"/>
          <w:color w:val="000000"/>
          <w:sz w:val="22"/>
          <w:szCs w:val="22"/>
        </w:rPr>
        <w:t>09</w:t>
      </w:r>
      <w:r w:rsidR="005D567D">
        <w:rPr>
          <w:rFonts w:ascii="Calibri" w:eastAsia="Calibri" w:hAnsi="Calibri" w:cs="Calibri"/>
          <w:color w:val="000000"/>
          <w:sz w:val="22"/>
          <w:szCs w:val="22"/>
        </w:rPr>
        <w:t>/1, 586 01 Jihlava</w:t>
      </w:r>
    </w:p>
    <w:p w:rsidR="00B10713" w:rsidRDefault="00AE1173">
      <w:pPr>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IČ:</w:t>
      </w:r>
      <w:r w:rsidR="005D567D">
        <w:rPr>
          <w:rFonts w:ascii="Calibri" w:eastAsia="Calibri" w:hAnsi="Calibri" w:cs="Calibri"/>
          <w:color w:val="000000"/>
          <w:sz w:val="22"/>
          <w:szCs w:val="22"/>
        </w:rPr>
        <w:t xml:space="preserve"> 00090719, DIČ: není plátce DPH, ID datové schránky: pz3w3r</w:t>
      </w:r>
      <w:r>
        <w:rPr>
          <w:rFonts w:ascii="Calibri" w:eastAsia="Calibri" w:hAnsi="Calibri" w:cs="Calibri"/>
          <w:color w:val="000000"/>
          <w:sz w:val="22"/>
          <w:szCs w:val="22"/>
        </w:rPr>
        <w:t xml:space="preserve"> </w:t>
      </w:r>
    </w:p>
    <w:p w:rsidR="00B10713" w:rsidRDefault="00043FAF">
      <w:pPr>
        <w:widowControl/>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b</w:t>
      </w:r>
      <w:r w:rsidR="00AE1173">
        <w:rPr>
          <w:rFonts w:ascii="Calibri" w:eastAsia="Calibri" w:hAnsi="Calibri" w:cs="Calibri"/>
          <w:color w:val="000000"/>
          <w:sz w:val="22"/>
          <w:szCs w:val="22"/>
        </w:rPr>
        <w:t xml:space="preserve">ankovní spojení: </w:t>
      </w:r>
      <w:r w:rsidR="005D567D">
        <w:rPr>
          <w:rFonts w:ascii="Calibri" w:eastAsia="Calibri" w:hAnsi="Calibri" w:cs="Calibri"/>
          <w:color w:val="000000"/>
          <w:sz w:val="22"/>
          <w:szCs w:val="22"/>
        </w:rPr>
        <w:t>č.ú. 1466105319/0800  Česká spořitelna</w:t>
      </w:r>
      <w:r w:rsidR="00CB764C">
        <w:rPr>
          <w:rFonts w:ascii="Calibri" w:eastAsia="Calibri" w:hAnsi="Calibri" w:cs="Calibri"/>
          <w:color w:val="000000"/>
          <w:sz w:val="22"/>
          <w:szCs w:val="22"/>
        </w:rPr>
        <w:t>, a.s.</w:t>
      </w:r>
      <w:r w:rsidR="005D567D">
        <w:rPr>
          <w:rFonts w:ascii="Calibri" w:eastAsia="Calibri" w:hAnsi="Calibri" w:cs="Calibri"/>
          <w:color w:val="000000"/>
          <w:sz w:val="22"/>
          <w:szCs w:val="22"/>
        </w:rPr>
        <w:t xml:space="preserve"> </w:t>
      </w:r>
      <w:r w:rsidR="00AE1173">
        <w:rPr>
          <w:rFonts w:ascii="Calibri" w:eastAsia="Calibri" w:hAnsi="Calibri" w:cs="Calibri"/>
          <w:color w:val="000000"/>
          <w:sz w:val="22"/>
          <w:szCs w:val="22"/>
        </w:rPr>
        <w:t xml:space="preserve"> </w:t>
      </w:r>
    </w:p>
    <w:p w:rsidR="00B10713" w:rsidRDefault="00AE1173">
      <w:pPr>
        <w:widowControl/>
        <w:pBdr>
          <w:top w:val="nil"/>
          <w:left w:val="nil"/>
          <w:bottom w:val="nil"/>
          <w:right w:val="nil"/>
          <w:between w:val="nil"/>
        </w:pBdr>
        <w:spacing w:line="276" w:lineRule="auto"/>
        <w:ind w:left="357" w:hanging="357"/>
        <w:rPr>
          <w:rFonts w:ascii="Arial" w:eastAsia="Arial" w:hAnsi="Arial" w:cs="Arial"/>
          <w:color w:val="00000A"/>
          <w:sz w:val="22"/>
          <w:szCs w:val="22"/>
        </w:rPr>
      </w:pPr>
      <w:r>
        <w:rPr>
          <w:rFonts w:ascii="Calibri" w:eastAsia="Calibri" w:hAnsi="Calibri" w:cs="Calibri"/>
          <w:color w:val="000000"/>
          <w:sz w:val="22"/>
          <w:szCs w:val="22"/>
        </w:rPr>
        <w:t xml:space="preserve">jednající: </w:t>
      </w:r>
      <w:r w:rsidR="005D567D">
        <w:rPr>
          <w:rFonts w:ascii="Calibri" w:eastAsia="Calibri" w:hAnsi="Calibri" w:cs="Calibri"/>
          <w:color w:val="000000"/>
          <w:sz w:val="22"/>
          <w:szCs w:val="22"/>
        </w:rPr>
        <w:t>PhDr. Jarmila Daňková, ředitelka</w:t>
      </w:r>
      <w:r>
        <w:rPr>
          <w:rFonts w:ascii="Calibri" w:eastAsia="Calibri" w:hAnsi="Calibri" w:cs="Calibri"/>
          <w:color w:val="000000"/>
          <w:sz w:val="22"/>
          <w:szCs w:val="22"/>
        </w:rPr>
        <w:t xml:space="preserve"> </w:t>
      </w:r>
    </w:p>
    <w:p w:rsidR="00B10713" w:rsidRDefault="00B10713">
      <w:pPr>
        <w:widowControl/>
        <w:pBdr>
          <w:top w:val="nil"/>
          <w:left w:val="nil"/>
          <w:bottom w:val="nil"/>
          <w:right w:val="nil"/>
          <w:between w:val="nil"/>
        </w:pBdr>
        <w:spacing w:line="276" w:lineRule="auto"/>
        <w:jc w:val="both"/>
        <w:rPr>
          <w:rFonts w:ascii="Arial" w:eastAsia="Arial" w:hAnsi="Arial" w:cs="Arial"/>
          <w:color w:val="00000A"/>
          <w:sz w:val="22"/>
          <w:szCs w:val="22"/>
        </w:rPr>
      </w:pPr>
    </w:p>
    <w:p w:rsidR="00B10713" w:rsidRDefault="00AE1173">
      <w:pPr>
        <w:widowControl/>
        <w:numPr>
          <w:ilvl w:val="0"/>
          <w:numId w:val="3"/>
        </w:numPr>
        <w:pBdr>
          <w:top w:val="nil"/>
          <w:left w:val="nil"/>
          <w:bottom w:val="nil"/>
          <w:right w:val="nil"/>
          <w:between w:val="nil"/>
        </w:pBdr>
        <w:tabs>
          <w:tab w:val="left" w:pos="426"/>
          <w:tab w:val="left" w:pos="852"/>
        </w:tabs>
        <w:spacing w:line="276" w:lineRule="auto"/>
        <w:ind w:left="426" w:hanging="426"/>
        <w:jc w:val="center"/>
        <w:rPr>
          <w:rFonts w:ascii="Arial" w:eastAsia="Arial" w:hAnsi="Arial" w:cs="Arial"/>
          <w:color w:val="00000A"/>
          <w:sz w:val="22"/>
          <w:szCs w:val="22"/>
        </w:rPr>
      </w:pPr>
      <w:r>
        <w:rPr>
          <w:rFonts w:ascii="Calibri" w:eastAsia="Calibri" w:hAnsi="Calibri" w:cs="Calibri"/>
          <w:b/>
          <w:color w:val="000000"/>
          <w:sz w:val="24"/>
          <w:szCs w:val="24"/>
        </w:rPr>
        <w:t>Úvodní ustanovení</w:t>
      </w:r>
    </w:p>
    <w:p w:rsidR="00B10713" w:rsidRDefault="00B10713">
      <w:pPr>
        <w:widowControl/>
        <w:pBdr>
          <w:top w:val="nil"/>
          <w:left w:val="nil"/>
          <w:bottom w:val="nil"/>
          <w:right w:val="nil"/>
          <w:between w:val="nil"/>
        </w:pBdr>
        <w:spacing w:line="276" w:lineRule="auto"/>
        <w:jc w:val="both"/>
        <w:rPr>
          <w:rFonts w:ascii="Arial" w:eastAsia="Arial" w:hAnsi="Arial" w:cs="Arial"/>
          <w:color w:val="00000A"/>
          <w:sz w:val="22"/>
          <w:szCs w:val="22"/>
        </w:rPr>
      </w:pPr>
    </w:p>
    <w:p w:rsidR="00B10713" w:rsidRDefault="00AE1173">
      <w:pPr>
        <w:widowControl/>
        <w:numPr>
          <w:ilvl w:val="2"/>
          <w:numId w:val="3"/>
        </w:numPr>
        <w:pBdr>
          <w:top w:val="nil"/>
          <w:left w:val="nil"/>
          <w:bottom w:val="nil"/>
          <w:right w:val="nil"/>
          <w:between w:val="nil"/>
        </w:pBdr>
        <w:tabs>
          <w:tab w:val="left" w:pos="1069"/>
          <w:tab w:val="left" w:pos="1325"/>
        </w:tabs>
        <w:spacing w:line="276" w:lineRule="auto"/>
        <w:ind w:left="738" w:hanging="725"/>
        <w:jc w:val="both"/>
      </w:pPr>
      <w:r>
        <w:rPr>
          <w:rFonts w:ascii="Calibri" w:eastAsia="Calibri" w:hAnsi="Calibri" w:cs="Calibri"/>
          <w:color w:val="000000"/>
          <w:sz w:val="22"/>
          <w:szCs w:val="22"/>
        </w:rPr>
        <w:t>Poskytovatel je poskytovatelem serverhostingové služby (dále jen „Hosting systému“)</w:t>
      </w:r>
      <w:r>
        <w:rPr>
          <w:rFonts w:ascii="Calibri" w:eastAsia="Calibri" w:hAnsi="Calibri" w:cs="Calibri"/>
          <w:color w:val="000000"/>
          <w:sz w:val="22"/>
          <w:szCs w:val="22"/>
        </w:rPr>
        <w:br/>
        <w:t>pro databázovou webovou aplikaci Tritius pro evidenci dokumentů, čtenářů a výpůjček (dále jen „Software“) určenou zejména pro knihovny a jiné organizace, která je specifikována</w:t>
      </w:r>
      <w:r>
        <w:rPr>
          <w:rFonts w:ascii="Calibri" w:eastAsia="Calibri" w:hAnsi="Calibri" w:cs="Calibri"/>
          <w:color w:val="000000"/>
          <w:sz w:val="22"/>
          <w:szCs w:val="22"/>
        </w:rPr>
        <w:br/>
        <w:t>v příloze č. 1. této Smlouvy.</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 xml:space="preserve">Právní vztahy založené touto Smlouvou se řídí jejími ustanoveními, a ve zbývajících záležitostech příslušnými právními předpisy právního řádu České republiky, zejména zákonem č. 89/2012 Sb., občanským zákoníkem, autorským zákonem a zákonem o ochraně osobních údajů </w:t>
      </w:r>
      <w:r>
        <w:rPr>
          <w:rFonts w:ascii="Calibri" w:eastAsia="Calibri" w:hAnsi="Calibri" w:cs="Calibri"/>
          <w:sz w:val="22"/>
          <w:szCs w:val="22"/>
        </w:rPr>
        <w:t>a nařízení evropského parlamentu č. 2006/679 o ochraně osobních údajů fyzických osob (GDPR).</w:t>
      </w:r>
    </w:p>
    <w:p w:rsidR="00B10713" w:rsidRDefault="00B10713">
      <w:pPr>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B10713" w:rsidRDefault="00AE1173">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Předmět smlouvy</w:t>
      </w:r>
    </w:p>
    <w:p w:rsidR="00B10713" w:rsidRDefault="00B10713">
      <w:pPr>
        <w:widowControl/>
        <w:pBdr>
          <w:top w:val="nil"/>
          <w:left w:val="nil"/>
          <w:bottom w:val="nil"/>
          <w:right w:val="nil"/>
          <w:between w:val="nil"/>
        </w:pBdr>
        <w:spacing w:line="276" w:lineRule="auto"/>
        <w:rPr>
          <w:rFonts w:ascii="Arial" w:eastAsia="Arial" w:hAnsi="Arial" w:cs="Arial"/>
          <w:color w:val="00000A"/>
          <w:sz w:val="22"/>
          <w:szCs w:val="22"/>
        </w:rPr>
      </w:pPr>
    </w:p>
    <w:p w:rsidR="00B10713" w:rsidRDefault="00AE1173">
      <w:pPr>
        <w:numPr>
          <w:ilvl w:val="1"/>
          <w:numId w:val="3"/>
        </w:numPr>
        <w:pBdr>
          <w:top w:val="nil"/>
          <w:left w:val="nil"/>
          <w:bottom w:val="nil"/>
          <w:right w:val="nil"/>
          <w:between w:val="nil"/>
        </w:pBdr>
        <w:tabs>
          <w:tab w:val="left" w:pos="927"/>
          <w:tab w:val="left" w:pos="1134"/>
        </w:tabs>
        <w:spacing w:line="276" w:lineRule="auto"/>
        <w:ind w:left="567" w:hanging="567"/>
        <w:jc w:val="both"/>
      </w:pPr>
      <w:r>
        <w:rPr>
          <w:rFonts w:ascii="Calibri" w:eastAsia="Calibri" w:hAnsi="Calibri" w:cs="Calibri"/>
          <w:b/>
          <w:color w:val="000000"/>
          <w:sz w:val="22"/>
          <w:szCs w:val="22"/>
          <w:u w:val="single"/>
        </w:rPr>
        <w:t>Povinnosti Poskytovatele</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Poskytovatel se zavazuje provozovat a zpřístupnit Software Tritius a poskytovat hostingové služby dle specifikace uvedené v příloze č. 1. – Specifikace hostingu systému TRITIUS.</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Poskytovatel je oprávněn pověřit provedením části prací jinou osobu; v takovém případě však má Poskytovatel odpovědnost, jako by tyto činnosti prováděl sám.</w:t>
      </w:r>
    </w:p>
    <w:p w:rsidR="00B10713" w:rsidRDefault="00B10713">
      <w:pPr>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B10713" w:rsidRDefault="00AE1173">
      <w:pPr>
        <w:numPr>
          <w:ilvl w:val="1"/>
          <w:numId w:val="3"/>
        </w:numPr>
        <w:pBdr>
          <w:top w:val="nil"/>
          <w:left w:val="nil"/>
          <w:bottom w:val="nil"/>
          <w:right w:val="nil"/>
          <w:between w:val="nil"/>
        </w:pBdr>
        <w:tabs>
          <w:tab w:val="left" w:pos="927"/>
          <w:tab w:val="left" w:pos="1134"/>
        </w:tabs>
        <w:spacing w:line="276" w:lineRule="auto"/>
        <w:ind w:left="567" w:hanging="567"/>
        <w:jc w:val="both"/>
      </w:pPr>
      <w:r>
        <w:rPr>
          <w:rFonts w:ascii="Calibri" w:eastAsia="Calibri" w:hAnsi="Calibri" w:cs="Calibri"/>
          <w:b/>
          <w:color w:val="000000"/>
          <w:sz w:val="22"/>
          <w:szCs w:val="22"/>
          <w:u w:val="single"/>
        </w:rPr>
        <w:t>Povinnosti Objednatele</w:t>
      </w:r>
      <w:bookmarkStart w:id="1" w:name="gjdgxs" w:colFirst="0" w:colLast="0"/>
      <w:bookmarkEnd w:id="1"/>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pPr>
      <w:r>
        <w:rPr>
          <w:rFonts w:ascii="Calibri" w:eastAsia="Calibri" w:hAnsi="Calibri" w:cs="Calibri"/>
          <w:color w:val="000000"/>
          <w:sz w:val="22"/>
          <w:szCs w:val="22"/>
        </w:rPr>
        <w:t xml:space="preserve">Objednatel se zavazuje vlastnit trvalou licenci systému Tritius v aktuální verzi a hradit cenu Hostingu systému ve výši a za podmínek uvedených dále v bodě F této Smlouvy. </w:t>
      </w:r>
      <w:bookmarkStart w:id="2" w:name="30j0zll" w:colFirst="0" w:colLast="0"/>
      <w:bookmarkEnd w:id="2"/>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pPr>
      <w:r>
        <w:rPr>
          <w:rFonts w:ascii="Calibri" w:eastAsia="Calibri" w:hAnsi="Calibri" w:cs="Calibri"/>
          <w:color w:val="000000"/>
          <w:sz w:val="22"/>
          <w:szCs w:val="22"/>
        </w:rPr>
        <w:lastRenderedPageBreak/>
        <w:t>Objednatel se zavazuje poskytnout Poskytovateli požadovanou součinnost. Poskytovatel není v prodlení s předáním Hostingu Systému v případech, kdy došlo k překročení sjednaného termínu v důsledku neposkytnutí součinnosti ze strany Objednatele.</w:t>
      </w:r>
    </w:p>
    <w:p w:rsidR="00B10713" w:rsidRDefault="00B10713">
      <w:pPr>
        <w:widowControl/>
        <w:pBdr>
          <w:top w:val="nil"/>
          <w:left w:val="nil"/>
          <w:bottom w:val="nil"/>
          <w:right w:val="nil"/>
          <w:between w:val="nil"/>
        </w:pBdr>
        <w:tabs>
          <w:tab w:val="left" w:pos="1069"/>
          <w:tab w:val="left" w:pos="1418"/>
        </w:tabs>
        <w:spacing w:line="276" w:lineRule="auto"/>
        <w:ind w:left="709" w:hanging="709"/>
        <w:rPr>
          <w:rFonts w:ascii="Calibri" w:eastAsia="Calibri" w:hAnsi="Calibri" w:cs="Calibri"/>
          <w:color w:val="000000"/>
          <w:sz w:val="22"/>
          <w:szCs w:val="22"/>
        </w:rPr>
      </w:pPr>
    </w:p>
    <w:p w:rsidR="00B10713" w:rsidRDefault="00B10713">
      <w:pPr>
        <w:widowControl/>
        <w:pBdr>
          <w:top w:val="nil"/>
          <w:left w:val="nil"/>
          <w:bottom w:val="nil"/>
          <w:right w:val="nil"/>
          <w:between w:val="nil"/>
        </w:pBdr>
        <w:tabs>
          <w:tab w:val="left" w:pos="1069"/>
          <w:tab w:val="left" w:pos="1418"/>
        </w:tabs>
        <w:spacing w:line="276" w:lineRule="auto"/>
        <w:ind w:left="709" w:hanging="709"/>
        <w:rPr>
          <w:rFonts w:ascii="Calibri" w:eastAsia="Calibri" w:hAnsi="Calibri" w:cs="Calibri"/>
          <w:color w:val="000000"/>
          <w:sz w:val="22"/>
          <w:szCs w:val="22"/>
        </w:rPr>
      </w:pPr>
    </w:p>
    <w:p w:rsidR="00B10713" w:rsidRDefault="00AE1173">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Zpřístupnění Softwaru na Hostingu</w:t>
      </w:r>
    </w:p>
    <w:p w:rsidR="00B10713" w:rsidRDefault="00B10713">
      <w:pPr>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B10713" w:rsidRDefault="00AE1173">
      <w:pPr>
        <w:numPr>
          <w:ilvl w:val="1"/>
          <w:numId w:val="3"/>
        </w:numPr>
        <w:pBdr>
          <w:top w:val="nil"/>
          <w:left w:val="nil"/>
          <w:bottom w:val="nil"/>
          <w:right w:val="nil"/>
          <w:between w:val="nil"/>
        </w:pBdr>
        <w:tabs>
          <w:tab w:val="left" w:pos="927"/>
          <w:tab w:val="left" w:pos="1134"/>
        </w:tabs>
        <w:spacing w:line="276" w:lineRule="auto"/>
        <w:ind w:left="567" w:hanging="567"/>
        <w:jc w:val="both"/>
      </w:pPr>
      <w:r>
        <w:rPr>
          <w:rFonts w:ascii="Calibri" w:eastAsia="Calibri" w:hAnsi="Calibri" w:cs="Calibri"/>
          <w:b/>
          <w:color w:val="000000"/>
          <w:sz w:val="22"/>
          <w:szCs w:val="22"/>
          <w:u w:val="single"/>
        </w:rPr>
        <w:t>Způsob zpřístupnění Softwaru</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Poskytovatel je povinen zpřístupnit Software Tritius formou jeho zpřístupnění přes webové rozhraní  a poskytnout za tímto účelem veškeré přístupové údaje. Údaje se zavazuje poskytnout Poskytovatel e-mailem.</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Poskytovatel se zavazuje provádět zprovoznění Systému s přihlédnutím k provozním potřebám Objednatele tak, aby byla jeho činnost omezena pouze v nezbytné míře; Objednatel bere na vědomí, že po tuto dobu může docházet k určitým omezením, které však nebudou zásadně bránit jeho běžné  činnosti.</w:t>
      </w:r>
    </w:p>
    <w:p w:rsidR="00B10713" w:rsidRDefault="00B10713">
      <w:pPr>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B10713" w:rsidRDefault="00AE1173">
      <w:pPr>
        <w:numPr>
          <w:ilvl w:val="1"/>
          <w:numId w:val="3"/>
        </w:numPr>
        <w:pBdr>
          <w:top w:val="nil"/>
          <w:left w:val="nil"/>
          <w:bottom w:val="nil"/>
          <w:right w:val="nil"/>
          <w:between w:val="nil"/>
        </w:pBdr>
        <w:tabs>
          <w:tab w:val="left" w:pos="927"/>
          <w:tab w:val="left" w:pos="1134"/>
        </w:tabs>
        <w:spacing w:line="276" w:lineRule="auto"/>
        <w:ind w:left="567" w:hanging="567"/>
        <w:jc w:val="both"/>
      </w:pPr>
      <w:r>
        <w:rPr>
          <w:rFonts w:ascii="Calibri" w:eastAsia="Calibri" w:hAnsi="Calibri" w:cs="Calibri"/>
          <w:b/>
          <w:color w:val="000000"/>
          <w:sz w:val="22"/>
          <w:szCs w:val="22"/>
          <w:u w:val="single"/>
        </w:rPr>
        <w:t>Poskytování přístupu k Softwaru</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Software bude poskytován formou serverhostingu systému přes webové rozhraní protokolem HTTPS. Software bude provozován na serveru umístěném v hostingovém centru Poskytovatele či jeho smluvního partnera.</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Software bude zpřístupněn po celou dobu trvání této Smlouvy. Poskytovatel je oprávněn znepřístupnit Software v případě prodlení více než 21 dní Objednatele s úhradou finančních závazků vůči Poskytovateli nebo v případě hrubého porušení smluvních podmínek vyplývajících z této Smlouvy a jejích příloh Objednatelem.</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Objednatel je povinen uchovávat v tajnosti své přístupové údaje k Softwaru a chránit je před zneužitím ze strany třetích osob.</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Objednatel není oprávněn Software šířit, kopírovat nebo jiným způsobem umožnit jeho užívání jinými osobami, nebude-li smluvními stranami předem písemně sjednáno jinak. Výjimkou jsou veřejně dostupné části Služby Systému: Webový katalog a některé komunikační moduly: OAI Provider, NCIP Server a Z39.50 Server pokud jsou součástí Soft</w:t>
      </w:r>
      <w:r>
        <w:rPr>
          <w:rFonts w:ascii="Calibri" w:eastAsia="Calibri" w:hAnsi="Calibri" w:cs="Calibri"/>
          <w:sz w:val="22"/>
          <w:szCs w:val="22"/>
        </w:rPr>
        <w:t>w</w:t>
      </w:r>
      <w:r>
        <w:rPr>
          <w:rFonts w:ascii="Calibri" w:eastAsia="Calibri" w:hAnsi="Calibri" w:cs="Calibri"/>
          <w:color w:val="000000"/>
          <w:sz w:val="22"/>
          <w:szCs w:val="22"/>
        </w:rPr>
        <w:t>are.</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Data Objednatele budou umístěna v SQL databázích systému Tritius. Objednatel se zavazuje pravidelně, minimálně jednou měsíčně provádět zálohu dat na své technické zařízení za podmínek stanovených ve VOP. Poskytovatel nenese žádnou odpovědnost za ztrátu či změnu dat Objednatele na zálohách na technickém zařízení Objednatele.</w:t>
      </w:r>
    </w:p>
    <w:p w:rsidR="00B10713" w:rsidRDefault="00B10713">
      <w:pPr>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B10713" w:rsidRDefault="00AE1173">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 xml:space="preserve">Servis a údržba </w:t>
      </w:r>
    </w:p>
    <w:p w:rsidR="00B10713" w:rsidRDefault="00B10713">
      <w:pPr>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pPr>
      <w:r>
        <w:rPr>
          <w:rFonts w:ascii="Calibri" w:eastAsia="Calibri" w:hAnsi="Calibri" w:cs="Calibri"/>
          <w:color w:val="000000"/>
          <w:sz w:val="22"/>
          <w:szCs w:val="22"/>
        </w:rPr>
        <w:t>V ceně Hostingu Systému je pouze základní monitoring funkčnosti systému. Běžný mimozáruční servis v ceně Hostingu Systému není a hradí se zvlášť na základě platného ceníku servisu, popřípadě dle servisní smlouvy uzavřené s Poskytovatelem nebo servisními body.</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Podmínky Hostingu systému  jsou uvedeny ve VOP.</w:t>
      </w:r>
    </w:p>
    <w:p w:rsidR="00B10713" w:rsidRDefault="00B10713">
      <w:pPr>
        <w:widowControl/>
        <w:pBdr>
          <w:top w:val="nil"/>
          <w:left w:val="nil"/>
          <w:bottom w:val="nil"/>
          <w:right w:val="nil"/>
          <w:between w:val="nil"/>
        </w:pBdr>
        <w:spacing w:line="276" w:lineRule="auto"/>
        <w:jc w:val="both"/>
        <w:rPr>
          <w:rFonts w:ascii="Arial" w:eastAsia="Arial" w:hAnsi="Arial" w:cs="Arial"/>
          <w:color w:val="00000A"/>
          <w:sz w:val="22"/>
          <w:szCs w:val="22"/>
        </w:rPr>
      </w:pPr>
    </w:p>
    <w:p w:rsidR="00B10713" w:rsidRDefault="00B10713">
      <w:pPr>
        <w:widowControl/>
        <w:pBdr>
          <w:top w:val="nil"/>
          <w:left w:val="nil"/>
          <w:bottom w:val="nil"/>
          <w:right w:val="nil"/>
          <w:between w:val="nil"/>
        </w:pBdr>
        <w:spacing w:line="276" w:lineRule="auto"/>
        <w:jc w:val="both"/>
        <w:rPr>
          <w:rFonts w:ascii="Arial" w:eastAsia="Arial" w:hAnsi="Arial" w:cs="Arial"/>
          <w:color w:val="00000A"/>
          <w:sz w:val="22"/>
          <w:szCs w:val="22"/>
        </w:rPr>
      </w:pPr>
    </w:p>
    <w:p w:rsidR="00B10713" w:rsidRDefault="00AE1173">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Celková cena a platební podmínky</w:t>
      </w:r>
    </w:p>
    <w:p w:rsidR="00B10713" w:rsidRDefault="00B10713">
      <w:pPr>
        <w:widowControl/>
        <w:pBdr>
          <w:top w:val="nil"/>
          <w:left w:val="nil"/>
          <w:bottom w:val="nil"/>
          <w:right w:val="nil"/>
          <w:between w:val="nil"/>
        </w:pBdr>
        <w:spacing w:line="276" w:lineRule="auto"/>
        <w:ind w:left="426"/>
        <w:rPr>
          <w:rFonts w:ascii="Arial" w:eastAsia="Arial" w:hAnsi="Arial" w:cs="Arial"/>
          <w:color w:val="00000A"/>
          <w:sz w:val="22"/>
          <w:szCs w:val="22"/>
        </w:rPr>
      </w:pPr>
    </w:p>
    <w:p w:rsidR="00B10713" w:rsidRDefault="00AE1173">
      <w:pPr>
        <w:numPr>
          <w:ilvl w:val="1"/>
          <w:numId w:val="3"/>
        </w:numPr>
        <w:pBdr>
          <w:top w:val="nil"/>
          <w:left w:val="nil"/>
          <w:bottom w:val="nil"/>
          <w:right w:val="nil"/>
          <w:between w:val="nil"/>
        </w:pBdr>
        <w:tabs>
          <w:tab w:val="left" w:pos="927"/>
          <w:tab w:val="left" w:pos="1134"/>
        </w:tabs>
        <w:spacing w:line="276" w:lineRule="auto"/>
        <w:ind w:left="567" w:hanging="567"/>
        <w:jc w:val="both"/>
      </w:pPr>
      <w:r>
        <w:rPr>
          <w:rFonts w:ascii="Calibri" w:eastAsia="Calibri" w:hAnsi="Calibri" w:cs="Calibri"/>
          <w:b/>
          <w:color w:val="000000"/>
          <w:sz w:val="22"/>
          <w:szCs w:val="22"/>
          <w:u w:val="single"/>
        </w:rPr>
        <w:t>Cenové podmínky</w:t>
      </w:r>
    </w:p>
    <w:p w:rsidR="00B10713" w:rsidRDefault="00AE1173">
      <w:pPr>
        <w:widowControl/>
        <w:numPr>
          <w:ilvl w:val="2"/>
          <w:numId w:val="3"/>
        </w:numPr>
        <w:pBdr>
          <w:top w:val="nil"/>
          <w:left w:val="nil"/>
          <w:bottom w:val="nil"/>
          <w:right w:val="nil"/>
          <w:between w:val="nil"/>
        </w:pBdr>
        <w:tabs>
          <w:tab w:val="left" w:pos="1073"/>
          <w:tab w:val="left" w:pos="1426"/>
        </w:tabs>
        <w:spacing w:line="276" w:lineRule="auto"/>
        <w:ind w:left="713" w:hanging="713"/>
        <w:jc w:val="both"/>
      </w:pPr>
      <w:r>
        <w:rPr>
          <w:rFonts w:ascii="Calibri" w:eastAsia="Calibri" w:hAnsi="Calibri" w:cs="Calibri"/>
          <w:color w:val="000000"/>
          <w:sz w:val="22"/>
          <w:szCs w:val="22"/>
        </w:rPr>
        <w:t xml:space="preserve">Cena </w:t>
      </w:r>
      <w:r>
        <w:rPr>
          <w:rFonts w:ascii="Calibri" w:eastAsia="Calibri" w:hAnsi="Calibri" w:cs="Calibri"/>
          <w:sz w:val="22"/>
          <w:szCs w:val="22"/>
        </w:rPr>
        <w:t xml:space="preserve">Hostingu </w:t>
      </w:r>
      <w:r>
        <w:rPr>
          <w:rFonts w:ascii="Calibri" w:eastAsia="Calibri" w:hAnsi="Calibri" w:cs="Calibri"/>
          <w:color w:val="000000"/>
          <w:sz w:val="22"/>
          <w:szCs w:val="22"/>
        </w:rPr>
        <w:t>Systému a ostatních sjednaných činností je upravena v příloze č. 1. Výše ceny Hostingu Systému vychází z ceníku Hostingu Systému, který je zveřejňován na webových stránkách Poskytovatele dostupných pouze pro uživatele systému Tritius.</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Cena je uvedena v Kč jako cena plnění bez DPH, výše DPH bude účtována dle zákona.</w:t>
      </w:r>
      <w:r>
        <w:rPr>
          <w:rFonts w:ascii="Calibri" w:eastAsia="Calibri" w:hAnsi="Calibri" w:cs="Calibri"/>
          <w:color w:val="000000"/>
          <w:sz w:val="22"/>
          <w:szCs w:val="22"/>
        </w:rPr>
        <w:br/>
      </w:r>
    </w:p>
    <w:p w:rsidR="00B10713" w:rsidRDefault="00AE1173">
      <w:pPr>
        <w:numPr>
          <w:ilvl w:val="2"/>
          <w:numId w:val="3"/>
        </w:numPr>
        <w:pBdr>
          <w:top w:val="nil"/>
          <w:left w:val="nil"/>
          <w:bottom w:val="nil"/>
          <w:right w:val="nil"/>
          <w:between w:val="nil"/>
        </w:pBdr>
        <w:tabs>
          <w:tab w:val="left" w:pos="1080"/>
          <w:tab w:val="left" w:pos="1425"/>
        </w:tabs>
        <w:spacing w:line="276" w:lineRule="auto"/>
        <w:ind w:left="738" w:hanging="700"/>
        <w:jc w:val="both"/>
        <w:rPr>
          <w:u w:val="single"/>
        </w:rPr>
      </w:pPr>
      <w:r>
        <w:rPr>
          <w:rFonts w:ascii="Calibri" w:eastAsia="Calibri" w:hAnsi="Calibri" w:cs="Calibri"/>
          <w:color w:val="000000"/>
          <w:sz w:val="22"/>
          <w:szCs w:val="22"/>
        </w:rPr>
        <w:t>Cena Hostingu Systému je garantována prvních 12 měsíců od uzavření smlouvy (tj. Období garantované ceny hostingu). Poskytovatel je oprávněn změnit cenu Hostingu Systému po uplynutí tohoto období. Poskytovatel je povinen informaci o ní sdělit písemně Objednateli na jeho e-mailovou adresu uvedenou v bodě V. přílohy č. 1 této Smlouvy. Objednatel je povinen se s novými cenovými podmínkami seznámit. Přijímá-li Objednatel nadále služby Hostingu Systému či jiné plnění poskytované ze strany Poskytovatele, stávají se pro něj nové cenové podmínky  závaznými okamžikem a s účinností ode dne, kdy službu nebo plnění přijal. Objednatel má možnost tuto změnu cenových podmínek odmítnout, a to formou výpovědi s výpovědní dobou 2 měsíců, která začíná běžet okamžikem doručení výpovědi. Pokud druhá strana neučiní výpověď ve lhůtě 15 dnů ode dne oznámení o změně těchto cenových podmínek, pak se má za to, že tato druhá smluvní strana se změnou cenových podmínek souhlasí.</w:t>
      </w:r>
      <w:r>
        <w:rPr>
          <w:rFonts w:ascii="Calibri" w:eastAsia="Calibri" w:hAnsi="Calibri" w:cs="Calibri"/>
          <w:color w:val="000000"/>
          <w:sz w:val="22"/>
          <w:szCs w:val="22"/>
        </w:rPr>
        <w:br/>
      </w:r>
    </w:p>
    <w:p w:rsidR="00B10713" w:rsidRDefault="00AE1173">
      <w:pPr>
        <w:numPr>
          <w:ilvl w:val="1"/>
          <w:numId w:val="3"/>
        </w:numPr>
        <w:pBdr>
          <w:top w:val="nil"/>
          <w:left w:val="nil"/>
          <w:bottom w:val="nil"/>
          <w:right w:val="nil"/>
          <w:between w:val="nil"/>
        </w:pBdr>
        <w:tabs>
          <w:tab w:val="left" w:pos="927"/>
          <w:tab w:val="left" w:pos="1134"/>
        </w:tabs>
        <w:spacing w:line="276" w:lineRule="auto"/>
        <w:ind w:left="567" w:hanging="567"/>
        <w:jc w:val="both"/>
      </w:pPr>
      <w:r>
        <w:rPr>
          <w:rFonts w:ascii="Calibri" w:eastAsia="Calibri" w:hAnsi="Calibri" w:cs="Calibri"/>
          <w:b/>
          <w:color w:val="000000"/>
          <w:sz w:val="22"/>
          <w:szCs w:val="22"/>
          <w:u w:val="single"/>
        </w:rPr>
        <w:t>Platební podmínky</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Objednatel uhradí plnění na základě faktur vystavených Poskytovatelem čtvrtletně vždy</w:t>
      </w:r>
      <w:r>
        <w:rPr>
          <w:rFonts w:ascii="Calibri" w:eastAsia="Calibri" w:hAnsi="Calibri" w:cs="Calibri"/>
          <w:color w:val="000000"/>
          <w:sz w:val="22"/>
          <w:szCs w:val="22"/>
        </w:rPr>
        <w:br/>
        <w:t>v prvním měsíci čtvrtletí bankovním převodem na jeho účet uvedený v záhlaví této Smlouvy. Splatnost faktury bude 21 dní od jejího doručení Objednateli.</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Faktura musí splňovat náležitosti daňového dokladu.</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V případě, že faktura nebude obsahovat zákonem předepsané nebo výše uvedené náležitosti, je Objednatel oprávněn ji do data splatnosti vrátit s tím, že Poskytovatel je poté povinen vystavit novou fakturu s novým termínem splatnosti. V takovém případě není Objednatel v prodlení s úhradou faktury.</w:t>
      </w:r>
    </w:p>
    <w:p w:rsidR="00B10713" w:rsidRDefault="00B10713">
      <w:pPr>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B10713" w:rsidRDefault="00AE1173">
      <w:pPr>
        <w:numPr>
          <w:ilvl w:val="1"/>
          <w:numId w:val="3"/>
        </w:numPr>
        <w:pBdr>
          <w:top w:val="nil"/>
          <w:left w:val="nil"/>
          <w:bottom w:val="nil"/>
          <w:right w:val="nil"/>
          <w:between w:val="nil"/>
        </w:pBdr>
        <w:tabs>
          <w:tab w:val="left" w:pos="927"/>
          <w:tab w:val="left" w:pos="1134"/>
        </w:tabs>
        <w:spacing w:line="276" w:lineRule="auto"/>
        <w:ind w:left="567" w:hanging="567"/>
        <w:jc w:val="both"/>
      </w:pPr>
      <w:r>
        <w:rPr>
          <w:rFonts w:ascii="Calibri" w:eastAsia="Calibri" w:hAnsi="Calibri" w:cs="Calibri"/>
          <w:b/>
          <w:color w:val="000000"/>
          <w:sz w:val="22"/>
          <w:szCs w:val="22"/>
          <w:u w:val="single"/>
        </w:rPr>
        <w:t>Ostatní</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Okamžikem zaplacení je okamžik připsání příslušné částky na účet Poskytovatele uvedený</w:t>
      </w:r>
      <w:r>
        <w:rPr>
          <w:rFonts w:ascii="Calibri" w:eastAsia="Calibri" w:hAnsi="Calibri" w:cs="Calibri"/>
          <w:color w:val="000000"/>
          <w:sz w:val="22"/>
          <w:szCs w:val="22"/>
        </w:rPr>
        <w:br/>
        <w:t>v této Smlouvě.</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V případě prodlení Objednatele s úhradou jakýchkoliv plateb (peněžitých plnění) dle této Smlouvy je Objednatel povinen zaplatit Poskytovateli úrok z prodlení ve výši 0,3 % ze skutečně dlužné částky za každý den prodlení, nejméně však ve výši stanovené právními předpisy.</w:t>
      </w:r>
    </w:p>
    <w:p w:rsidR="00B10713" w:rsidRDefault="00B10713">
      <w:pPr>
        <w:widowControl/>
        <w:pBdr>
          <w:top w:val="nil"/>
          <w:left w:val="nil"/>
          <w:bottom w:val="nil"/>
          <w:right w:val="nil"/>
          <w:between w:val="nil"/>
        </w:pBdr>
        <w:tabs>
          <w:tab w:val="left" w:pos="1069"/>
          <w:tab w:val="left" w:pos="1418"/>
        </w:tabs>
        <w:spacing w:line="276" w:lineRule="auto"/>
        <w:ind w:left="709" w:hanging="709"/>
        <w:jc w:val="both"/>
        <w:rPr>
          <w:rFonts w:ascii="Arial" w:eastAsia="Arial" w:hAnsi="Arial" w:cs="Arial"/>
          <w:color w:val="00000A"/>
          <w:sz w:val="22"/>
          <w:szCs w:val="22"/>
        </w:rPr>
      </w:pPr>
    </w:p>
    <w:p w:rsidR="00B10713" w:rsidRDefault="00AE1173">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Ukončení a zánik Smlouvy</w:t>
      </w:r>
    </w:p>
    <w:p w:rsidR="00B10713" w:rsidRDefault="00B10713">
      <w:pPr>
        <w:widowControl/>
        <w:pBdr>
          <w:top w:val="nil"/>
          <w:left w:val="nil"/>
          <w:bottom w:val="nil"/>
          <w:right w:val="nil"/>
          <w:between w:val="nil"/>
        </w:pBdr>
        <w:spacing w:line="276" w:lineRule="auto"/>
        <w:ind w:left="360"/>
        <w:rPr>
          <w:rFonts w:ascii="Arial" w:eastAsia="Arial" w:hAnsi="Arial" w:cs="Arial"/>
          <w:color w:val="00000A"/>
          <w:sz w:val="22"/>
          <w:szCs w:val="22"/>
        </w:rPr>
      </w:pP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Smlouvu lze ukončit:</w:t>
      </w:r>
    </w:p>
    <w:p w:rsidR="00B10713" w:rsidRDefault="00AE1173">
      <w:pPr>
        <w:keepNext/>
        <w:numPr>
          <w:ilvl w:val="3"/>
          <w:numId w:val="4"/>
        </w:numPr>
        <w:pBdr>
          <w:top w:val="nil"/>
          <w:left w:val="nil"/>
          <w:bottom w:val="nil"/>
          <w:right w:val="nil"/>
          <w:between w:val="nil"/>
        </w:pBdr>
        <w:tabs>
          <w:tab w:val="left" w:pos="1477"/>
          <w:tab w:val="left" w:pos="1874"/>
        </w:tabs>
        <w:spacing w:line="276" w:lineRule="auto"/>
        <w:ind w:left="937" w:hanging="397"/>
        <w:jc w:val="both"/>
        <w:rPr>
          <w:sz w:val="22"/>
          <w:szCs w:val="22"/>
        </w:rPr>
      </w:pPr>
      <w:r>
        <w:rPr>
          <w:rFonts w:ascii="Calibri" w:eastAsia="Calibri" w:hAnsi="Calibri" w:cs="Calibri"/>
          <w:color w:val="000000"/>
          <w:sz w:val="22"/>
          <w:szCs w:val="22"/>
        </w:rPr>
        <w:lastRenderedPageBreak/>
        <w:t>písemnou dohodou smluvních stran;</w:t>
      </w:r>
    </w:p>
    <w:p w:rsidR="00B10713" w:rsidRDefault="00AE1173">
      <w:pPr>
        <w:keepNext/>
        <w:numPr>
          <w:ilvl w:val="3"/>
          <w:numId w:val="4"/>
        </w:numPr>
        <w:pBdr>
          <w:top w:val="nil"/>
          <w:left w:val="nil"/>
          <w:bottom w:val="nil"/>
          <w:right w:val="nil"/>
          <w:between w:val="nil"/>
        </w:pBdr>
        <w:tabs>
          <w:tab w:val="left" w:pos="1477"/>
          <w:tab w:val="left" w:pos="1874"/>
        </w:tabs>
        <w:spacing w:line="276" w:lineRule="auto"/>
        <w:ind w:left="937" w:hanging="397"/>
        <w:jc w:val="both"/>
        <w:rPr>
          <w:sz w:val="22"/>
          <w:szCs w:val="22"/>
        </w:rPr>
      </w:pPr>
      <w:r>
        <w:rPr>
          <w:rFonts w:ascii="Calibri" w:eastAsia="Calibri" w:hAnsi="Calibri" w:cs="Calibri"/>
          <w:color w:val="000000"/>
          <w:sz w:val="22"/>
          <w:szCs w:val="22"/>
        </w:rPr>
        <w:t>neakceptací aktualizované Specifikace Hostingu Systému Tritius (přílohy č. 1) či VOP (přílohy č. 2);</w:t>
      </w:r>
      <w:bookmarkStart w:id="3" w:name="1fob9te" w:colFirst="0" w:colLast="0"/>
      <w:bookmarkEnd w:id="3"/>
    </w:p>
    <w:p w:rsidR="00B10713" w:rsidRDefault="00AE1173">
      <w:pPr>
        <w:keepNext/>
        <w:numPr>
          <w:ilvl w:val="3"/>
          <w:numId w:val="4"/>
        </w:numPr>
        <w:pBdr>
          <w:top w:val="nil"/>
          <w:left w:val="nil"/>
          <w:bottom w:val="nil"/>
          <w:right w:val="nil"/>
          <w:between w:val="nil"/>
        </w:pBdr>
        <w:tabs>
          <w:tab w:val="left" w:pos="1477"/>
          <w:tab w:val="left" w:pos="1874"/>
        </w:tabs>
        <w:spacing w:line="276" w:lineRule="auto"/>
        <w:ind w:left="937" w:hanging="397"/>
        <w:jc w:val="both"/>
        <w:rPr>
          <w:sz w:val="22"/>
          <w:szCs w:val="22"/>
        </w:rPr>
      </w:pPr>
      <w:r>
        <w:rPr>
          <w:rFonts w:ascii="Calibri" w:eastAsia="Calibri" w:hAnsi="Calibri" w:cs="Calibri"/>
          <w:color w:val="000000"/>
          <w:sz w:val="22"/>
          <w:szCs w:val="22"/>
        </w:rPr>
        <w:t>odstoupením od Smlouvy, a to v případech podstatného porušení povinností nebo dalších podmínek sjednaných  v této Smlouvě  a jejich přílohách.</w:t>
      </w:r>
    </w:p>
    <w:p w:rsidR="00B10713" w:rsidRDefault="00AE1173">
      <w:pPr>
        <w:numPr>
          <w:ilvl w:val="3"/>
          <w:numId w:val="4"/>
        </w:numPr>
        <w:pBdr>
          <w:top w:val="nil"/>
          <w:left w:val="nil"/>
          <w:bottom w:val="nil"/>
          <w:right w:val="nil"/>
          <w:between w:val="nil"/>
        </w:pBdr>
        <w:tabs>
          <w:tab w:val="left" w:pos="1477"/>
          <w:tab w:val="left" w:pos="1874"/>
        </w:tabs>
        <w:spacing w:line="276" w:lineRule="auto"/>
        <w:ind w:left="937" w:hanging="397"/>
        <w:jc w:val="both"/>
        <w:rPr>
          <w:sz w:val="22"/>
          <w:szCs w:val="22"/>
        </w:rPr>
      </w:pPr>
      <w:r>
        <w:rPr>
          <w:rFonts w:ascii="Calibri" w:eastAsia="Calibri" w:hAnsi="Calibri" w:cs="Calibri"/>
          <w:color w:val="000000"/>
          <w:sz w:val="22"/>
          <w:szCs w:val="22"/>
        </w:rPr>
        <w:t>písemnou výpovědí kterékoliv smluvní strany s výpovědní lhůtou 3 měsíce, která začne plynout prvního dne následujícího měsíce po dni doručení písemné výpovědi.</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Každá ze stran může odstoupit od této Smlouvy pro podstatné porušení povinnosti, zejména:</w:t>
      </w:r>
    </w:p>
    <w:p w:rsidR="00B10713" w:rsidRDefault="00AE1173">
      <w:pPr>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r>
        <w:rPr>
          <w:rFonts w:ascii="Calibri" w:eastAsia="Calibri" w:hAnsi="Calibri" w:cs="Calibri"/>
          <w:color w:val="000000"/>
          <w:sz w:val="22"/>
          <w:szCs w:val="22"/>
        </w:rPr>
        <w:t xml:space="preserve">pro prodlení Objednatele s placením ceny nebo její části delším než 30 dnů; </w:t>
      </w:r>
    </w:p>
    <w:p w:rsidR="00B10713" w:rsidRDefault="00AE1173">
      <w:pPr>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r>
        <w:rPr>
          <w:rFonts w:ascii="Calibri" w:eastAsia="Calibri" w:hAnsi="Calibri" w:cs="Calibri"/>
          <w:color w:val="000000"/>
          <w:sz w:val="22"/>
          <w:szCs w:val="22"/>
        </w:rPr>
        <w:t>pro prodlení Poskytovatele s předáním přístupu k Systému delším než 60 dnů;</w:t>
      </w:r>
      <w:bookmarkStart w:id="4" w:name="3znysh7" w:colFirst="0" w:colLast="0"/>
      <w:bookmarkEnd w:id="4"/>
    </w:p>
    <w:p w:rsidR="00B10713" w:rsidRDefault="00AE1173">
      <w:pPr>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r>
        <w:rPr>
          <w:rFonts w:ascii="Calibri" w:eastAsia="Calibri" w:hAnsi="Calibri" w:cs="Calibri"/>
          <w:color w:val="000000"/>
          <w:sz w:val="22"/>
          <w:szCs w:val="22"/>
        </w:rPr>
        <w:t>pro neposkytnutí nutné součinnosti ze strany Objednatele, pokud toto znemožňuje splnění povinností Poskytovatele dle této Smlouvy a pokud na to Objednatele písemně upozornil a poskytl mu přiměřenou lhůtu pro nápravu závadného stavu.</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Odstoupí-li Objednatel od této Smlouvy z důvodu jejího podstatného porušení, má Poskytovatel nárok na úhradu části ceny odpovídající rozsahu částečného provedení činností dle této Smlouvy a dále má nárok na úhradu závazně objednaného hardwaru a softwaru, a to dle cen uvedených v této Smlouvě.</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Vypoví-li Objednatel tuto Smlouvu během období garantované ceny Hostingu Systému (dle bodu E.1.3.), Poskytovatel má právo na úhradu ceny za službu za celé zbývající garantované období. Neuhrazenou částku je Objednatel povinen zaplatit najednou do 30 dnů od odstoupení od Smlouvy. To platí i v případě ukončení této smlouvy dohodou, není-li dohodnuto jinak.</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Majetkové vypořádání jsou povinny smluvní strany splnit do 30 dnů ode dne ukončení této Smlouvy. Smluvní strany se mohou ohledně majetkového vypořádání dohodnout jinak.</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 xml:space="preserve">Možnost a formu předání hostovaného systému či jenom dat vložených Objednatelem zpět Objednateli upravují VOP. </w:t>
      </w:r>
    </w:p>
    <w:p w:rsidR="00B10713" w:rsidRDefault="00B10713">
      <w:pPr>
        <w:widowControl/>
        <w:pBdr>
          <w:top w:val="nil"/>
          <w:left w:val="nil"/>
          <w:bottom w:val="nil"/>
          <w:right w:val="nil"/>
          <w:between w:val="nil"/>
        </w:pBdr>
        <w:tabs>
          <w:tab w:val="left" w:pos="1069"/>
          <w:tab w:val="left" w:pos="1418"/>
        </w:tabs>
        <w:spacing w:line="276" w:lineRule="auto"/>
        <w:ind w:left="709" w:hanging="709"/>
        <w:jc w:val="both"/>
        <w:rPr>
          <w:rFonts w:ascii="Arial" w:eastAsia="Arial" w:hAnsi="Arial" w:cs="Arial"/>
          <w:color w:val="00000A"/>
          <w:sz w:val="22"/>
          <w:szCs w:val="22"/>
        </w:rPr>
      </w:pPr>
    </w:p>
    <w:p w:rsidR="00B10713" w:rsidRDefault="00AE1173">
      <w:pPr>
        <w:widowControl/>
        <w:numPr>
          <w:ilvl w:val="0"/>
          <w:numId w:val="3"/>
        </w:numPr>
        <w:pBdr>
          <w:top w:val="nil"/>
          <w:left w:val="nil"/>
          <w:bottom w:val="nil"/>
          <w:right w:val="nil"/>
          <w:between w:val="nil"/>
        </w:pBdr>
        <w:tabs>
          <w:tab w:val="left" w:pos="360"/>
          <w:tab w:val="left" w:pos="720"/>
        </w:tabs>
        <w:spacing w:line="276" w:lineRule="auto"/>
        <w:ind w:left="50"/>
        <w:jc w:val="center"/>
        <w:rPr>
          <w:rFonts w:ascii="Arial" w:eastAsia="Arial" w:hAnsi="Arial" w:cs="Arial"/>
          <w:color w:val="00000A"/>
          <w:sz w:val="22"/>
          <w:szCs w:val="22"/>
        </w:rPr>
      </w:pPr>
      <w:r>
        <w:rPr>
          <w:rFonts w:ascii="Calibri" w:eastAsia="Calibri" w:hAnsi="Calibri" w:cs="Calibri"/>
          <w:b/>
          <w:color w:val="000000"/>
          <w:sz w:val="24"/>
          <w:szCs w:val="24"/>
        </w:rPr>
        <w:t>Zabezpečení ochrany osobních údajů</w:t>
      </w:r>
    </w:p>
    <w:p w:rsidR="00B10713" w:rsidRDefault="00B10713">
      <w:pPr>
        <w:widowControl/>
        <w:pBdr>
          <w:top w:val="nil"/>
          <w:left w:val="nil"/>
          <w:bottom w:val="nil"/>
          <w:right w:val="nil"/>
          <w:between w:val="nil"/>
        </w:pBdr>
        <w:tabs>
          <w:tab w:val="left" w:pos="360"/>
          <w:tab w:val="left" w:pos="720"/>
        </w:tabs>
        <w:spacing w:line="276" w:lineRule="auto"/>
        <w:ind w:left="50" w:hanging="360"/>
        <w:jc w:val="center"/>
        <w:rPr>
          <w:rFonts w:ascii="Arial" w:eastAsia="Arial" w:hAnsi="Arial" w:cs="Arial"/>
          <w:color w:val="00000A"/>
          <w:sz w:val="22"/>
          <w:szCs w:val="22"/>
        </w:rPr>
      </w:pPr>
    </w:p>
    <w:p w:rsidR="00B10713" w:rsidRDefault="00AE1173">
      <w:pPr>
        <w:widowControl/>
        <w:numPr>
          <w:ilvl w:val="1"/>
          <w:numId w:val="3"/>
        </w:numPr>
        <w:pBdr>
          <w:top w:val="nil"/>
          <w:left w:val="nil"/>
          <w:bottom w:val="nil"/>
          <w:right w:val="nil"/>
          <w:between w:val="nil"/>
        </w:pBdr>
        <w:tabs>
          <w:tab w:val="left" w:pos="360"/>
          <w:tab w:val="left" w:pos="720"/>
        </w:tabs>
        <w:spacing w:line="276" w:lineRule="auto"/>
        <w:ind w:left="738" w:hanging="725"/>
      </w:pPr>
      <w:r>
        <w:rPr>
          <w:rFonts w:ascii="Calibri" w:eastAsia="Calibri" w:hAnsi="Calibri" w:cs="Calibri"/>
          <w:color w:val="000000"/>
          <w:sz w:val="22"/>
          <w:szCs w:val="22"/>
        </w:rPr>
        <w:t xml:space="preserve">Poskytovatel Hostingu Systému je zpracovatelem osobních údajů, Uživatel je správce osobních údajů ve smyslu zákona 101/2000 Sb. O Ochraně osobních údajů </w:t>
      </w:r>
      <w:r>
        <w:rPr>
          <w:rFonts w:ascii="Calibri" w:eastAsia="Calibri" w:hAnsi="Calibri" w:cs="Calibri"/>
          <w:sz w:val="22"/>
          <w:szCs w:val="22"/>
        </w:rPr>
        <w:t>a nařízení evropského parlamentu č. 2006/679 o ochraně osobních údajů fyzických osob (GDPR).</w:t>
      </w:r>
    </w:p>
    <w:p w:rsidR="00B10713" w:rsidRDefault="00AE1173">
      <w:pPr>
        <w:widowControl/>
        <w:numPr>
          <w:ilvl w:val="1"/>
          <w:numId w:val="3"/>
        </w:numPr>
        <w:pBdr>
          <w:top w:val="nil"/>
          <w:left w:val="nil"/>
          <w:bottom w:val="nil"/>
          <w:right w:val="nil"/>
          <w:between w:val="nil"/>
        </w:pBdr>
        <w:tabs>
          <w:tab w:val="left" w:pos="360"/>
          <w:tab w:val="left" w:pos="720"/>
        </w:tabs>
        <w:spacing w:line="276" w:lineRule="auto"/>
        <w:ind w:left="763" w:hanging="763"/>
      </w:pPr>
      <w:r>
        <w:rPr>
          <w:rFonts w:ascii="Calibri" w:eastAsia="Calibri" w:hAnsi="Calibri" w:cs="Calibri"/>
          <w:color w:val="000000"/>
          <w:sz w:val="22"/>
          <w:szCs w:val="22"/>
        </w:rPr>
        <w:t xml:space="preserve">Správce osobních údajů zpracovává  osobní údaje o čtenářích - jméno, příjmení, datum narození, bydliště uvedená na přihlášce čtenáře za účelem vedení knihovnické agendy, aby bylo umožněno poskytování knihovnických a informačních služeb a byla zabezpečena ochrana knihovního fondu. Osobní údaje knihovna používá pouze pro jmenované účely po dobu trvání čtenářského vztahu, chrání je před zneužitím a neposkytuje je třetím osobám. </w:t>
      </w:r>
    </w:p>
    <w:p w:rsidR="00B10713" w:rsidRDefault="00AE1173">
      <w:pPr>
        <w:widowControl/>
        <w:numPr>
          <w:ilvl w:val="1"/>
          <w:numId w:val="3"/>
        </w:numPr>
        <w:pBdr>
          <w:top w:val="nil"/>
          <w:left w:val="nil"/>
          <w:bottom w:val="nil"/>
          <w:right w:val="nil"/>
          <w:between w:val="nil"/>
        </w:pBdr>
        <w:tabs>
          <w:tab w:val="left" w:pos="360"/>
          <w:tab w:val="left" w:pos="720"/>
        </w:tabs>
        <w:spacing w:line="276" w:lineRule="auto"/>
        <w:ind w:left="705" w:hanging="705"/>
      </w:pPr>
      <w:r>
        <w:rPr>
          <w:rFonts w:ascii="Calibri" w:eastAsia="Calibri" w:hAnsi="Calibri" w:cs="Calibri"/>
          <w:color w:val="000000"/>
          <w:sz w:val="22"/>
          <w:szCs w:val="22"/>
        </w:rPr>
        <w:t>Poskytovatel  se zavazuje, jako zpracovatel, osobní údaje (dále jen „osobní údaje“) zpracovávat tímto způsobem (spravuje systém, provádí úpravy softwaru, programové změny apod.). Zpracování se nesmí účastnit žádná třetí osoba.</w:t>
      </w:r>
    </w:p>
    <w:p w:rsidR="00B10713" w:rsidRDefault="00AE1173">
      <w:pPr>
        <w:widowControl/>
        <w:numPr>
          <w:ilvl w:val="1"/>
          <w:numId w:val="3"/>
        </w:numPr>
        <w:pBdr>
          <w:top w:val="nil"/>
          <w:left w:val="nil"/>
          <w:bottom w:val="nil"/>
          <w:right w:val="nil"/>
          <w:between w:val="nil"/>
        </w:pBdr>
        <w:tabs>
          <w:tab w:val="left" w:pos="360"/>
          <w:tab w:val="left" w:pos="720"/>
        </w:tabs>
        <w:spacing w:line="276" w:lineRule="auto"/>
        <w:ind w:left="705" w:hanging="705"/>
      </w:pPr>
      <w:r>
        <w:rPr>
          <w:rFonts w:ascii="Calibri" w:eastAsia="Calibri" w:hAnsi="Calibri" w:cs="Calibri"/>
          <w:color w:val="000000"/>
          <w:sz w:val="22"/>
          <w:szCs w:val="22"/>
        </w:rPr>
        <w:t xml:space="preserve">Poskytovatel tímto deklaruje záruky zpracovatele o technickém a organizačním zabezpečení ochrany osobních údajů a mlčenlivost. </w:t>
      </w:r>
      <w:r>
        <w:rPr>
          <w:rFonts w:ascii="Calibri" w:eastAsia="Calibri" w:hAnsi="Calibri" w:cs="Calibri"/>
          <w:color w:val="000000"/>
          <w:sz w:val="22"/>
          <w:szCs w:val="22"/>
        </w:rPr>
        <w:br/>
      </w:r>
    </w:p>
    <w:p w:rsidR="00B10713" w:rsidRDefault="00AE1173">
      <w:pPr>
        <w:widowControl/>
        <w:numPr>
          <w:ilvl w:val="0"/>
          <w:numId w:val="3"/>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Závěrečná ustanovení</w:t>
      </w:r>
    </w:p>
    <w:p w:rsidR="00B10713" w:rsidRDefault="00B10713">
      <w:pPr>
        <w:widowControl/>
        <w:pBdr>
          <w:top w:val="nil"/>
          <w:left w:val="nil"/>
          <w:bottom w:val="nil"/>
          <w:right w:val="nil"/>
          <w:between w:val="nil"/>
        </w:pBdr>
        <w:spacing w:line="276" w:lineRule="auto"/>
        <w:ind w:left="360"/>
        <w:rPr>
          <w:rFonts w:ascii="Arial" w:eastAsia="Arial" w:hAnsi="Arial" w:cs="Arial"/>
          <w:color w:val="00000A"/>
          <w:sz w:val="22"/>
          <w:szCs w:val="22"/>
        </w:rPr>
      </w:pP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Smluvní vztah vzniklý z této Smlouvy se řídí českým právem. Pokud nebylo v této Smlouvě uvedeno jinak, platí v ostatním ustanovení zákona č. 89/2012 Sb., občanského zákoníku,</w:t>
      </w:r>
      <w:r>
        <w:rPr>
          <w:rFonts w:ascii="Calibri" w:eastAsia="Calibri" w:hAnsi="Calibri" w:cs="Calibri"/>
          <w:color w:val="000000"/>
          <w:sz w:val="22"/>
          <w:szCs w:val="22"/>
        </w:rPr>
        <w:br/>
        <w:t>a zákona č. 121/2000 Sb., o právu autorském.</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Tato Smlouva je uzavřena okamžikem jejího podpisu a to na dobu neurčitou.</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Tato Smlouva je vyhotovena ve dvou stejnopisech, z nichž obdrží každá smluvní strana po jednom. Tato Smlouva nabývá platnosti a účinnosti dnem podpisu obou smluvních stran. Tato Smlouva může být měněna a doplňována pouze po dohodě smluvních stran formou číslovaných písemných dodatků, pokud není stanoveno jinak např. změna VOP.</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Samostatnou součástí této Smlouvy je</w:t>
      </w:r>
    </w:p>
    <w:p w:rsidR="00B10713" w:rsidRDefault="00AE1173">
      <w:pPr>
        <w:numPr>
          <w:ilvl w:val="0"/>
          <w:numId w:val="2"/>
        </w:numPr>
        <w:pBdr>
          <w:top w:val="nil"/>
          <w:left w:val="nil"/>
          <w:bottom w:val="nil"/>
          <w:right w:val="nil"/>
          <w:between w:val="nil"/>
        </w:pBdr>
        <w:tabs>
          <w:tab w:val="left" w:pos="2214"/>
          <w:tab w:val="left" w:pos="2268"/>
        </w:tabs>
        <w:spacing w:line="276" w:lineRule="auto"/>
        <w:jc w:val="both"/>
        <w:rPr>
          <w:color w:val="000000"/>
          <w:sz w:val="22"/>
          <w:szCs w:val="22"/>
        </w:rPr>
      </w:pPr>
      <w:r>
        <w:rPr>
          <w:rFonts w:ascii="Calibri" w:eastAsia="Calibri" w:hAnsi="Calibri" w:cs="Calibri"/>
          <w:color w:val="000000"/>
          <w:sz w:val="22"/>
          <w:szCs w:val="22"/>
        </w:rPr>
        <w:t>příloha č. 1 – Specifikace Hostingu Systému Tritius;</w:t>
      </w:r>
    </w:p>
    <w:p w:rsidR="00B10713" w:rsidRDefault="00AE1173">
      <w:pPr>
        <w:numPr>
          <w:ilvl w:val="0"/>
          <w:numId w:val="2"/>
        </w:numPr>
        <w:pBdr>
          <w:top w:val="nil"/>
          <w:left w:val="nil"/>
          <w:bottom w:val="nil"/>
          <w:right w:val="nil"/>
          <w:between w:val="nil"/>
        </w:pBdr>
        <w:tabs>
          <w:tab w:val="left" w:pos="2214"/>
          <w:tab w:val="left" w:pos="2268"/>
        </w:tabs>
        <w:spacing w:line="276" w:lineRule="auto"/>
        <w:jc w:val="both"/>
        <w:rPr>
          <w:color w:val="000000"/>
          <w:sz w:val="22"/>
          <w:szCs w:val="22"/>
        </w:rPr>
      </w:pPr>
      <w:r>
        <w:rPr>
          <w:rFonts w:ascii="Calibri" w:eastAsia="Calibri" w:hAnsi="Calibri" w:cs="Calibri"/>
          <w:color w:val="000000"/>
          <w:sz w:val="22"/>
          <w:szCs w:val="22"/>
        </w:rPr>
        <w:t>příloha č. 2 – Všeobecné obchodní podmínky;</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V případě, že by některé ustanovení této Smlouvy bylo nebo se v budoucnu stalo z jakýchkoliv důvodů neplatné, nezpůsobuje neplatnost ostatních částí této Smlouvy. Smluvní strany se zavazují bezodkladně nahradit po vzájemné dohodě toto ustanovení jiným, odpovídajícím svým obsahem účelu neplatného ustanovení.</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 xml:space="preserve">Smluvní strany se dohodly, že tato smlouva, její případné dodatky či další dokumenty vyplývající dle zákona č.340/2015 Sb. o registru smluv bude uveřejněna v registru smluv, a to v celém jejím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w:t>
      </w:r>
      <w:r>
        <w:rPr>
          <w:rFonts w:ascii="Calibri" w:eastAsia="Calibri" w:hAnsi="Calibri" w:cs="Calibri"/>
          <w:sz w:val="22"/>
          <w:szCs w:val="22"/>
        </w:rPr>
        <w:t>Objednatel</w:t>
      </w:r>
      <w:r>
        <w:rPr>
          <w:rFonts w:ascii="Calibri" w:eastAsia="Calibri" w:hAnsi="Calibri" w:cs="Calibri"/>
          <w:color w:val="000000"/>
          <w:sz w:val="22"/>
          <w:szCs w:val="22"/>
        </w:rPr>
        <w:t xml:space="preserve">. </w:t>
      </w:r>
      <w:r>
        <w:rPr>
          <w:rFonts w:ascii="Calibri" w:eastAsia="Calibri" w:hAnsi="Calibri" w:cs="Calibri"/>
          <w:sz w:val="22"/>
          <w:szCs w:val="22"/>
        </w:rPr>
        <w:t xml:space="preserve">Objednatel </w:t>
      </w:r>
      <w:r>
        <w:rPr>
          <w:rFonts w:ascii="Calibri" w:eastAsia="Calibri" w:hAnsi="Calibri" w:cs="Calibri"/>
          <w:color w:val="000000"/>
          <w:sz w:val="22"/>
          <w:szCs w:val="22"/>
        </w:rPr>
        <w:t xml:space="preserve">uveřejňující smlouvu se zavazuje splnit podmínky pro to, aby správce registru smluv zaslal potvrzení o uveřejnění smlouvy také druhé smluvní straně. </w:t>
      </w:r>
    </w:p>
    <w:p w:rsidR="00B10713" w:rsidRDefault="00AE1173">
      <w:pPr>
        <w:widowControl/>
        <w:numPr>
          <w:ilvl w:val="2"/>
          <w:numId w:val="3"/>
        </w:numPr>
        <w:pBdr>
          <w:top w:val="nil"/>
          <w:left w:val="nil"/>
          <w:bottom w:val="nil"/>
          <w:right w:val="nil"/>
          <w:between w:val="nil"/>
        </w:pBdr>
        <w:tabs>
          <w:tab w:val="left" w:pos="1069"/>
          <w:tab w:val="left" w:pos="1418"/>
        </w:tabs>
        <w:spacing w:line="276" w:lineRule="auto"/>
        <w:ind w:left="709" w:hanging="709"/>
        <w:jc w:val="both"/>
      </w:pPr>
      <w:r>
        <w:rPr>
          <w:rFonts w:ascii="Calibri" w:eastAsia="Calibri" w:hAnsi="Calibri" w:cs="Calibri"/>
          <w:color w:val="000000"/>
          <w:sz w:val="22"/>
          <w:szCs w:val="22"/>
        </w:rPr>
        <w:t>Smluvní strany prohlašují, že této Smlouvě porozuměly a na důkaz svého souhlasu s jejími ustanoveními připojují níže své podpisy.</w:t>
      </w:r>
    </w:p>
    <w:p w:rsidR="00B10713" w:rsidRDefault="00B10713">
      <w:pPr>
        <w:widowControl/>
        <w:pBdr>
          <w:top w:val="nil"/>
          <w:left w:val="nil"/>
          <w:bottom w:val="nil"/>
          <w:right w:val="nil"/>
          <w:between w:val="nil"/>
        </w:pBdr>
        <w:spacing w:line="276" w:lineRule="auto"/>
        <w:jc w:val="both"/>
        <w:rPr>
          <w:rFonts w:ascii="Arial" w:eastAsia="Arial" w:hAnsi="Arial" w:cs="Arial"/>
          <w:color w:val="00000A"/>
          <w:sz w:val="22"/>
          <w:szCs w:val="22"/>
        </w:rPr>
      </w:pPr>
    </w:p>
    <w:p w:rsidR="00B10713" w:rsidRDefault="00B10713">
      <w:pPr>
        <w:widowControl/>
        <w:pBdr>
          <w:top w:val="nil"/>
          <w:left w:val="nil"/>
          <w:bottom w:val="nil"/>
          <w:right w:val="nil"/>
          <w:between w:val="nil"/>
        </w:pBdr>
        <w:spacing w:line="276" w:lineRule="auto"/>
        <w:ind w:left="283"/>
        <w:jc w:val="both"/>
        <w:rPr>
          <w:rFonts w:ascii="Arial" w:eastAsia="Arial" w:hAnsi="Arial" w:cs="Arial"/>
          <w:color w:val="00000A"/>
          <w:sz w:val="22"/>
          <w:szCs w:val="22"/>
        </w:rPr>
      </w:pPr>
    </w:p>
    <w:p w:rsidR="00B10713" w:rsidRDefault="00AE1173">
      <w:pPr>
        <w:widowControl/>
        <w:pBdr>
          <w:top w:val="nil"/>
          <w:left w:val="nil"/>
          <w:bottom w:val="nil"/>
          <w:right w:val="nil"/>
          <w:between w:val="nil"/>
        </w:pBdr>
        <w:spacing w:line="276" w:lineRule="auto"/>
        <w:ind w:left="283"/>
        <w:jc w:val="both"/>
        <w:rPr>
          <w:rFonts w:ascii="Arial" w:eastAsia="Arial" w:hAnsi="Arial" w:cs="Arial"/>
          <w:color w:val="00000A"/>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 xml:space="preserve">V Táboře  dne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V </w:t>
      </w:r>
      <w:r w:rsidR="005D567D">
        <w:rPr>
          <w:rFonts w:ascii="Calibri" w:eastAsia="Calibri" w:hAnsi="Calibri" w:cs="Calibri"/>
          <w:color w:val="000000"/>
          <w:sz w:val="22"/>
          <w:szCs w:val="22"/>
        </w:rPr>
        <w:t>Jihlavě</w:t>
      </w:r>
      <w:r w:rsidR="00043FAF">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dne : </w:t>
      </w:r>
    </w:p>
    <w:p w:rsidR="00B10713" w:rsidRDefault="00B10713">
      <w:pPr>
        <w:widowControl/>
        <w:pBdr>
          <w:top w:val="nil"/>
          <w:left w:val="nil"/>
          <w:bottom w:val="nil"/>
          <w:right w:val="nil"/>
          <w:between w:val="nil"/>
        </w:pBdr>
        <w:spacing w:line="276" w:lineRule="auto"/>
        <w:jc w:val="both"/>
        <w:rPr>
          <w:rFonts w:ascii="Arial" w:eastAsia="Arial" w:hAnsi="Arial" w:cs="Arial"/>
          <w:color w:val="00000A"/>
          <w:sz w:val="22"/>
          <w:szCs w:val="22"/>
        </w:rPr>
      </w:pPr>
    </w:p>
    <w:p w:rsidR="00B10713" w:rsidRDefault="00AE1173">
      <w:pPr>
        <w:widowControl/>
        <w:pBdr>
          <w:top w:val="nil"/>
          <w:left w:val="nil"/>
          <w:bottom w:val="nil"/>
          <w:right w:val="nil"/>
          <w:between w:val="nil"/>
        </w:pBdr>
        <w:spacing w:line="276" w:lineRule="auto"/>
        <w:ind w:firstLine="283"/>
        <w:jc w:val="both"/>
        <w:rPr>
          <w:rFonts w:ascii="Arial" w:eastAsia="Arial" w:hAnsi="Arial" w:cs="Arial"/>
          <w:color w:val="00000A"/>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 xml:space="preserve">Za Poskytovatele: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Za Objednatele:</w:t>
      </w:r>
    </w:p>
    <w:p w:rsidR="00B10713" w:rsidRDefault="00B10713">
      <w:pPr>
        <w:widowControl/>
        <w:pBdr>
          <w:top w:val="nil"/>
          <w:left w:val="nil"/>
          <w:bottom w:val="nil"/>
          <w:right w:val="nil"/>
          <w:between w:val="nil"/>
        </w:pBdr>
        <w:spacing w:line="276" w:lineRule="auto"/>
        <w:ind w:firstLine="283"/>
        <w:jc w:val="both"/>
        <w:rPr>
          <w:rFonts w:ascii="Arial" w:eastAsia="Arial" w:hAnsi="Arial" w:cs="Arial"/>
          <w:color w:val="00000A"/>
          <w:sz w:val="22"/>
          <w:szCs w:val="22"/>
        </w:rPr>
      </w:pPr>
    </w:p>
    <w:p w:rsidR="00B10713" w:rsidRDefault="00B10713">
      <w:pPr>
        <w:widowControl/>
        <w:pBdr>
          <w:top w:val="nil"/>
          <w:left w:val="nil"/>
          <w:bottom w:val="nil"/>
          <w:right w:val="nil"/>
          <w:between w:val="nil"/>
        </w:pBdr>
        <w:spacing w:line="276" w:lineRule="auto"/>
        <w:ind w:firstLine="283"/>
        <w:jc w:val="both"/>
        <w:rPr>
          <w:rFonts w:ascii="Arial" w:eastAsia="Arial" w:hAnsi="Arial" w:cs="Arial"/>
          <w:color w:val="00000A"/>
          <w:sz w:val="22"/>
          <w:szCs w:val="22"/>
        </w:rPr>
      </w:pPr>
    </w:p>
    <w:p w:rsidR="00B10713" w:rsidRDefault="00B10713">
      <w:pPr>
        <w:widowControl/>
        <w:pBdr>
          <w:top w:val="nil"/>
          <w:left w:val="nil"/>
          <w:bottom w:val="nil"/>
          <w:right w:val="nil"/>
          <w:between w:val="nil"/>
        </w:pBdr>
        <w:spacing w:line="276" w:lineRule="auto"/>
        <w:jc w:val="both"/>
        <w:rPr>
          <w:rFonts w:ascii="Arial" w:eastAsia="Arial" w:hAnsi="Arial" w:cs="Arial"/>
          <w:color w:val="00000A"/>
          <w:sz w:val="22"/>
          <w:szCs w:val="22"/>
        </w:rPr>
      </w:pPr>
    </w:p>
    <w:p w:rsidR="00B10713" w:rsidRDefault="00AE1173">
      <w:pPr>
        <w:widowControl/>
        <w:pBdr>
          <w:top w:val="nil"/>
          <w:left w:val="nil"/>
          <w:bottom w:val="nil"/>
          <w:right w:val="nil"/>
          <w:between w:val="nil"/>
        </w:pBdr>
        <w:spacing w:line="276" w:lineRule="auto"/>
        <w:ind w:left="283"/>
        <w:jc w:val="both"/>
        <w:rPr>
          <w:rFonts w:ascii="Calibri" w:eastAsia="Calibri" w:hAnsi="Calibri" w:cs="Calibri"/>
          <w:color w:val="000000"/>
        </w:rPr>
      </w:pPr>
      <w:r>
        <w:rPr>
          <w:rFonts w:ascii="Calibri" w:eastAsia="Calibri" w:hAnsi="Calibri" w:cs="Calibri"/>
          <w:color w:val="000000"/>
          <w:sz w:val="22"/>
          <w:szCs w:val="22"/>
        </w:rPr>
        <w:tab/>
      </w:r>
      <w:r>
        <w:rPr>
          <w:rFonts w:ascii="Calibri" w:eastAsia="Calibri" w:hAnsi="Calibri" w:cs="Calibri"/>
          <w:color w:val="000000"/>
          <w:sz w:val="22"/>
          <w:szCs w:val="22"/>
        </w:rPr>
        <w:tab/>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sectPr w:rsidR="00B10713">
      <w:footerReference w:type="default" r:id="rId8"/>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59" w:rsidRDefault="00535359">
      <w:r>
        <w:separator/>
      </w:r>
    </w:p>
  </w:endnote>
  <w:endnote w:type="continuationSeparator" w:id="0">
    <w:p w:rsidR="00535359" w:rsidRDefault="0053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13" w:rsidRDefault="00AE1173">
    <w:pPr>
      <w:widowControl/>
      <w:pBdr>
        <w:top w:val="nil"/>
        <w:left w:val="nil"/>
        <w:bottom w:val="nil"/>
        <w:right w:val="nil"/>
        <w:between w:val="nil"/>
      </w:pBdr>
      <w:spacing w:after="908" w:line="276" w:lineRule="auto"/>
      <w:jc w:val="center"/>
      <w:rPr>
        <w:rFonts w:ascii="Arial" w:eastAsia="Arial" w:hAnsi="Arial" w:cs="Arial"/>
        <w:color w:val="00000A"/>
        <w:sz w:val="22"/>
        <w:szCs w:val="22"/>
      </w:rPr>
    </w:pPr>
    <w:r>
      <w:rPr>
        <w:rFonts w:ascii="Calibri" w:eastAsia="Calibri" w:hAnsi="Calibri" w:cs="Calibri"/>
        <w:color w:val="000000"/>
      </w:rPr>
      <w:t xml:space="preserve">Stránka </w:t>
    </w:r>
    <w:r>
      <w:rPr>
        <w:rFonts w:ascii="Arial" w:eastAsia="Arial" w:hAnsi="Arial" w:cs="Arial"/>
        <w:color w:val="00000A"/>
      </w:rPr>
      <w:fldChar w:fldCharType="begin"/>
    </w:r>
    <w:r>
      <w:rPr>
        <w:rFonts w:ascii="Arial" w:eastAsia="Arial" w:hAnsi="Arial" w:cs="Arial"/>
        <w:color w:val="00000A"/>
      </w:rPr>
      <w:instrText>PAGE</w:instrText>
    </w:r>
    <w:r>
      <w:rPr>
        <w:rFonts w:ascii="Arial" w:eastAsia="Arial" w:hAnsi="Arial" w:cs="Arial"/>
        <w:color w:val="00000A"/>
      </w:rPr>
      <w:fldChar w:fldCharType="separate"/>
    </w:r>
    <w:r w:rsidR="00DF6B59">
      <w:rPr>
        <w:rFonts w:ascii="Arial" w:eastAsia="Arial" w:hAnsi="Arial" w:cs="Arial"/>
        <w:noProof/>
        <w:color w:val="00000A"/>
      </w:rPr>
      <w:t>2</w:t>
    </w:r>
    <w:r>
      <w:rPr>
        <w:rFonts w:ascii="Arial" w:eastAsia="Arial" w:hAnsi="Arial" w:cs="Arial"/>
        <w:color w:val="00000A"/>
      </w:rPr>
      <w:fldChar w:fldCharType="end"/>
    </w:r>
    <w:r>
      <w:rPr>
        <w:rFonts w:ascii="Calibri" w:eastAsia="Calibri" w:hAnsi="Calibri" w:cs="Calibri"/>
        <w:color w:val="000000"/>
      </w:rPr>
      <w:t xml:space="preserve"> z </w:t>
    </w:r>
    <w:r>
      <w:rPr>
        <w:rFonts w:ascii="Arial" w:eastAsia="Arial" w:hAnsi="Arial" w:cs="Arial"/>
        <w:color w:val="00000A"/>
      </w:rPr>
      <w:fldChar w:fldCharType="begin"/>
    </w:r>
    <w:r>
      <w:rPr>
        <w:rFonts w:ascii="Arial" w:eastAsia="Arial" w:hAnsi="Arial" w:cs="Arial"/>
        <w:color w:val="00000A"/>
      </w:rPr>
      <w:instrText>NUMPAGES</w:instrText>
    </w:r>
    <w:r>
      <w:rPr>
        <w:rFonts w:ascii="Arial" w:eastAsia="Arial" w:hAnsi="Arial" w:cs="Arial"/>
        <w:color w:val="00000A"/>
      </w:rPr>
      <w:fldChar w:fldCharType="separate"/>
    </w:r>
    <w:r w:rsidR="00DF6B59">
      <w:rPr>
        <w:rFonts w:ascii="Arial" w:eastAsia="Arial" w:hAnsi="Arial" w:cs="Arial"/>
        <w:noProof/>
        <w:color w:val="00000A"/>
      </w:rPr>
      <w:t>5</w:t>
    </w:r>
    <w:r>
      <w:rPr>
        <w:rFonts w:ascii="Arial" w:eastAsia="Arial" w:hAnsi="Arial" w:cs="Arial"/>
        <w:color w:val="00000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59" w:rsidRDefault="00535359">
      <w:r>
        <w:separator/>
      </w:r>
    </w:p>
  </w:footnote>
  <w:footnote w:type="continuationSeparator" w:id="0">
    <w:p w:rsidR="00535359" w:rsidRDefault="00535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0236"/>
    <w:multiLevelType w:val="multilevel"/>
    <w:tmpl w:val="0680C01C"/>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
      <w:lvlJc w:val="left"/>
      <w:pPr>
        <w:ind w:left="1440" w:hanging="360"/>
      </w:pPr>
      <w:rPr>
        <w:vertAlign w:val="baseline"/>
      </w:rPr>
    </w:lvl>
    <w:lvl w:ilvl="3">
      <w:start w:val="1"/>
      <w:numFmt w:val="lowerLetter"/>
      <w:lvlText w:val=" %2.%3.%4)"/>
      <w:lvlJc w:val="left"/>
      <w:pPr>
        <w:ind w:left="1800" w:hanging="360"/>
      </w:pPr>
      <w:rPr>
        <w:rFonts w:ascii="Calibri" w:eastAsia="Calibri" w:hAnsi="Calibri" w:cs="Calibri"/>
        <w:color w:val="000000"/>
        <w:vertAlign w:val="baseline"/>
      </w:rPr>
    </w:lvl>
    <w:lvl w:ilvl="4">
      <w:start w:val="1"/>
      <w:numFmt w:val="decimal"/>
      <w:lvlText w:val="%5 "/>
      <w:lvlJc w:val="left"/>
      <w:pPr>
        <w:ind w:left="2160" w:hanging="360"/>
      </w:pPr>
      <w:rPr>
        <w:vertAlign w:val="baseline"/>
      </w:rPr>
    </w:lvl>
    <w:lvl w:ilvl="5">
      <w:start w:val="1"/>
      <w:numFmt w:val="decimal"/>
      <w:lvlText w:val=" %5.%6. "/>
      <w:lvlJc w:val="left"/>
      <w:pPr>
        <w:ind w:left="2520" w:hanging="360"/>
      </w:pPr>
      <w:rPr>
        <w:vertAlign w:val="baseline"/>
      </w:rPr>
    </w:lvl>
    <w:lvl w:ilvl="6">
      <w:start w:val="1"/>
      <w:numFmt w:val="decimal"/>
      <w:lvlText w:val=" %5.%6.%7. "/>
      <w:lvlJc w:val="left"/>
      <w:pPr>
        <w:ind w:left="2880" w:hanging="360"/>
      </w:pPr>
      <w:rPr>
        <w:vertAlign w:val="baseline"/>
      </w:rPr>
    </w:lvl>
    <w:lvl w:ilvl="7">
      <w:start w:val="1"/>
      <w:numFmt w:val="decimal"/>
      <w:lvlText w:val=" %4.%5.%6.%7.%8 "/>
      <w:lvlJc w:val="left"/>
      <w:pPr>
        <w:ind w:left="3240" w:hanging="360"/>
      </w:pPr>
      <w:rPr>
        <w:vertAlign w:val="baseline"/>
      </w:rPr>
    </w:lvl>
    <w:lvl w:ilvl="8">
      <w:start w:val="1"/>
      <w:numFmt w:val="decimal"/>
      <w:lvlText w:val=" %4.%5.%6.%7.%8.%9 "/>
      <w:lvlJc w:val="left"/>
      <w:pPr>
        <w:ind w:left="3600" w:hanging="360"/>
      </w:pPr>
      <w:rPr>
        <w:vertAlign w:val="baseline"/>
      </w:rPr>
    </w:lvl>
  </w:abstractNum>
  <w:abstractNum w:abstractNumId="1">
    <w:nsid w:val="4CA17129"/>
    <w:multiLevelType w:val="multilevel"/>
    <w:tmpl w:val="10D29246"/>
    <w:lvl w:ilvl="0">
      <w:start w:val="1"/>
      <w:numFmt w:val="bullet"/>
      <w:lvlText w:val="●"/>
      <w:lvlJc w:val="left"/>
      <w:pPr>
        <w:ind w:left="1429" w:hanging="360"/>
      </w:pPr>
      <w:rPr>
        <w:rFonts w:ascii="Arial" w:eastAsia="Arial" w:hAnsi="Arial" w:cs="Arial"/>
        <w:strike w:val="0"/>
        <w:vertAlign w:val="baseline"/>
      </w:rPr>
    </w:lvl>
    <w:lvl w:ilvl="1">
      <w:start w:val="1"/>
      <w:numFmt w:val="bullet"/>
      <w:lvlText w:val="◦"/>
      <w:lvlJc w:val="left"/>
      <w:pPr>
        <w:ind w:left="1789" w:hanging="360"/>
      </w:pPr>
      <w:rPr>
        <w:rFonts w:ascii="Arial" w:eastAsia="Arial" w:hAnsi="Arial" w:cs="Arial"/>
        <w:vertAlign w:val="baseline"/>
      </w:rPr>
    </w:lvl>
    <w:lvl w:ilvl="2">
      <w:start w:val="1"/>
      <w:numFmt w:val="bullet"/>
      <w:lvlText w:val="▪"/>
      <w:lvlJc w:val="left"/>
      <w:pPr>
        <w:ind w:left="2149" w:hanging="360"/>
      </w:pPr>
      <w:rPr>
        <w:rFonts w:ascii="Arial" w:eastAsia="Arial" w:hAnsi="Arial" w:cs="Arial"/>
        <w:vertAlign w:val="baseline"/>
      </w:rPr>
    </w:lvl>
    <w:lvl w:ilvl="3">
      <w:start w:val="1"/>
      <w:numFmt w:val="bullet"/>
      <w:lvlText w:val="●"/>
      <w:lvlJc w:val="left"/>
      <w:pPr>
        <w:ind w:left="2509" w:hanging="360"/>
      </w:pPr>
      <w:rPr>
        <w:rFonts w:ascii="Arial" w:eastAsia="Arial" w:hAnsi="Arial" w:cs="Arial"/>
        <w:strike w:val="0"/>
        <w:vertAlign w:val="baseline"/>
      </w:rPr>
    </w:lvl>
    <w:lvl w:ilvl="4">
      <w:start w:val="1"/>
      <w:numFmt w:val="bullet"/>
      <w:lvlText w:val="◦"/>
      <w:lvlJc w:val="left"/>
      <w:pPr>
        <w:ind w:left="2869" w:hanging="360"/>
      </w:pPr>
      <w:rPr>
        <w:rFonts w:ascii="Arial" w:eastAsia="Arial" w:hAnsi="Arial" w:cs="Arial"/>
        <w:vertAlign w:val="baseline"/>
      </w:rPr>
    </w:lvl>
    <w:lvl w:ilvl="5">
      <w:start w:val="1"/>
      <w:numFmt w:val="bullet"/>
      <w:lvlText w:val="▪"/>
      <w:lvlJc w:val="left"/>
      <w:pPr>
        <w:ind w:left="3229" w:hanging="360"/>
      </w:pPr>
      <w:rPr>
        <w:rFonts w:ascii="Arial" w:eastAsia="Arial" w:hAnsi="Arial" w:cs="Arial"/>
        <w:vertAlign w:val="baseline"/>
      </w:rPr>
    </w:lvl>
    <w:lvl w:ilvl="6">
      <w:start w:val="1"/>
      <w:numFmt w:val="bullet"/>
      <w:lvlText w:val="●"/>
      <w:lvlJc w:val="left"/>
      <w:pPr>
        <w:ind w:left="3589" w:hanging="360"/>
      </w:pPr>
      <w:rPr>
        <w:rFonts w:ascii="Arial" w:eastAsia="Arial" w:hAnsi="Arial" w:cs="Arial"/>
        <w:strike w:val="0"/>
        <w:vertAlign w:val="baseline"/>
      </w:rPr>
    </w:lvl>
    <w:lvl w:ilvl="7">
      <w:start w:val="1"/>
      <w:numFmt w:val="bullet"/>
      <w:lvlText w:val="◦"/>
      <w:lvlJc w:val="left"/>
      <w:pPr>
        <w:ind w:left="3949" w:hanging="360"/>
      </w:pPr>
      <w:rPr>
        <w:rFonts w:ascii="Arial" w:eastAsia="Arial" w:hAnsi="Arial" w:cs="Arial"/>
        <w:vertAlign w:val="baseline"/>
      </w:rPr>
    </w:lvl>
    <w:lvl w:ilvl="8">
      <w:start w:val="1"/>
      <w:numFmt w:val="bullet"/>
      <w:lvlText w:val="▪"/>
      <w:lvlJc w:val="left"/>
      <w:pPr>
        <w:ind w:left="4309" w:hanging="360"/>
      </w:pPr>
      <w:rPr>
        <w:rFonts w:ascii="Arial" w:eastAsia="Arial" w:hAnsi="Arial" w:cs="Arial"/>
        <w:vertAlign w:val="baseline"/>
      </w:rPr>
    </w:lvl>
  </w:abstractNum>
  <w:abstractNum w:abstractNumId="2">
    <w:nsid w:val="55415C08"/>
    <w:multiLevelType w:val="multilevel"/>
    <w:tmpl w:val="EE389AE4"/>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
      <w:lvlJc w:val="left"/>
      <w:pPr>
        <w:ind w:left="1440" w:hanging="360"/>
      </w:pPr>
      <w:rPr>
        <w:vertAlign w:val="baseline"/>
      </w:rPr>
    </w:lvl>
    <w:lvl w:ilvl="3">
      <w:start w:val="1"/>
      <w:numFmt w:val="lowerLetter"/>
      <w:lvlText w:val=" %2.%3.%4)"/>
      <w:lvlJc w:val="left"/>
      <w:pPr>
        <w:ind w:left="1800" w:hanging="360"/>
      </w:pPr>
      <w:rPr>
        <w:strike w:val="0"/>
        <w:vertAlign w:val="baseline"/>
      </w:rPr>
    </w:lvl>
    <w:lvl w:ilvl="4">
      <w:start w:val="1"/>
      <w:numFmt w:val="decimal"/>
      <w:lvlText w:val="%5 "/>
      <w:lvlJc w:val="left"/>
      <w:pPr>
        <w:ind w:left="2160" w:hanging="360"/>
      </w:pPr>
      <w:rPr>
        <w:vertAlign w:val="baseline"/>
      </w:rPr>
    </w:lvl>
    <w:lvl w:ilvl="5">
      <w:start w:val="1"/>
      <w:numFmt w:val="decimal"/>
      <w:lvlText w:val=" %5.%6. "/>
      <w:lvlJc w:val="left"/>
      <w:pPr>
        <w:ind w:left="2520" w:hanging="360"/>
      </w:pPr>
      <w:rPr>
        <w:vertAlign w:val="baseline"/>
      </w:rPr>
    </w:lvl>
    <w:lvl w:ilvl="6">
      <w:start w:val="1"/>
      <w:numFmt w:val="decimal"/>
      <w:lvlText w:val=" %5.%6.%7. "/>
      <w:lvlJc w:val="left"/>
      <w:pPr>
        <w:ind w:left="2880" w:hanging="360"/>
      </w:pPr>
      <w:rPr>
        <w:vertAlign w:val="baseline"/>
      </w:rPr>
    </w:lvl>
    <w:lvl w:ilvl="7">
      <w:start w:val="1"/>
      <w:numFmt w:val="decimal"/>
      <w:lvlText w:val=" %4.%5.%6.%7.%8 "/>
      <w:lvlJc w:val="left"/>
      <w:pPr>
        <w:ind w:left="3240" w:hanging="360"/>
      </w:pPr>
      <w:rPr>
        <w:vertAlign w:val="baseline"/>
      </w:rPr>
    </w:lvl>
    <w:lvl w:ilvl="8">
      <w:start w:val="1"/>
      <w:numFmt w:val="decimal"/>
      <w:lvlText w:val=" %4.%5.%6.%7.%8.%9 "/>
      <w:lvlJc w:val="left"/>
      <w:pPr>
        <w:ind w:left="3600" w:hanging="360"/>
      </w:pPr>
      <w:rPr>
        <w:vertAlign w:val="baseline"/>
      </w:rPr>
    </w:lvl>
  </w:abstractNum>
  <w:abstractNum w:abstractNumId="3">
    <w:nsid w:val="755C263A"/>
    <w:multiLevelType w:val="multilevel"/>
    <w:tmpl w:val="7AA20510"/>
    <w:lvl w:ilvl="0">
      <w:start w:val="1"/>
      <w:numFmt w:val="upperLetter"/>
      <w:lvlText w:val="%1."/>
      <w:lvlJc w:val="left"/>
      <w:pPr>
        <w:ind w:left="720" w:hanging="360"/>
      </w:pPr>
      <w:rPr>
        <w:vertAlign w:val="baseline"/>
      </w:rPr>
    </w:lvl>
    <w:lvl w:ilvl="1">
      <w:start w:val="1"/>
      <w:numFmt w:val="decimal"/>
      <w:lvlText w:val="%1.%2."/>
      <w:lvlJc w:val="left"/>
      <w:pPr>
        <w:ind w:left="1080" w:hanging="360"/>
      </w:pPr>
      <w:rPr>
        <w:rFonts w:ascii="Calibri" w:eastAsia="Calibri" w:hAnsi="Calibri" w:cs="Calibri"/>
        <w:b/>
        <w:strike w:val="0"/>
        <w:color w:val="000000"/>
        <w:sz w:val="22"/>
        <w:szCs w:val="22"/>
        <w:vertAlign w:val="baseline"/>
      </w:rPr>
    </w:lvl>
    <w:lvl w:ilvl="2">
      <w:start w:val="1"/>
      <w:numFmt w:val="decimal"/>
      <w:lvlText w:val="%1.%2.%3."/>
      <w:lvlJc w:val="left"/>
      <w:pPr>
        <w:ind w:left="1440" w:hanging="360"/>
      </w:pPr>
      <w:rPr>
        <w:rFonts w:ascii="Calibri" w:eastAsia="Calibri" w:hAnsi="Calibri" w:cs="Calibri"/>
        <w:b/>
        <w:strike w:val="0"/>
        <w:color w:val="000000"/>
        <w:sz w:val="22"/>
        <w:szCs w:val="22"/>
        <w:vertAlign w:val="baseline"/>
      </w:rPr>
    </w:lvl>
    <w:lvl w:ilvl="3">
      <w:start w:val="1"/>
      <w:numFmt w:val="bullet"/>
      <w:lvlText w:val="●"/>
      <w:lvlJc w:val="left"/>
      <w:pPr>
        <w:ind w:left="1800" w:hanging="360"/>
      </w:pPr>
      <w:rPr>
        <w:rFonts w:ascii="Arial" w:eastAsia="Arial" w:hAnsi="Arial" w:cs="Arial"/>
        <w:vertAlign w:val="baseline"/>
      </w:rPr>
    </w:lvl>
    <w:lvl w:ilvl="4">
      <w:start w:val="1"/>
      <w:numFmt w:val="decimal"/>
      <w:lvlText w:val="%1.%2.%3.●.%5."/>
      <w:lvlJc w:val="left"/>
      <w:pPr>
        <w:ind w:left="2160" w:hanging="360"/>
      </w:pPr>
      <w:rPr>
        <w:vertAlign w:val="baseline"/>
      </w:rPr>
    </w:lvl>
    <w:lvl w:ilvl="5">
      <w:start w:val="1"/>
      <w:numFmt w:val="decimal"/>
      <w:lvlText w:val="%1.%2.%3.●.%5.%6."/>
      <w:lvlJc w:val="left"/>
      <w:pPr>
        <w:ind w:left="2520" w:hanging="360"/>
      </w:pPr>
      <w:rPr>
        <w:vertAlign w:val="baseline"/>
      </w:rPr>
    </w:lvl>
    <w:lvl w:ilvl="6">
      <w:start w:val="1"/>
      <w:numFmt w:val="decimal"/>
      <w:lvlText w:val="%1.%2.%3.●.%5.%6.%7."/>
      <w:lvlJc w:val="left"/>
      <w:pPr>
        <w:ind w:left="2880" w:hanging="360"/>
      </w:pPr>
      <w:rPr>
        <w:vertAlign w:val="baseline"/>
      </w:rPr>
    </w:lvl>
    <w:lvl w:ilvl="7">
      <w:start w:val="1"/>
      <w:numFmt w:val="decimal"/>
      <w:lvlText w:val="%1.%2.%3.●.%5.%6.%7.%8."/>
      <w:lvlJc w:val="left"/>
      <w:pPr>
        <w:ind w:left="3240" w:hanging="360"/>
      </w:pPr>
      <w:rPr>
        <w:vertAlign w:val="baseline"/>
      </w:rPr>
    </w:lvl>
    <w:lvl w:ilvl="8">
      <w:start w:val="1"/>
      <w:numFmt w:val="decimal"/>
      <w:lvlText w:val="%1.%2.%3.●.%5.%6.%7.%8.%9."/>
      <w:lvlJc w:val="left"/>
      <w:pPr>
        <w:ind w:left="3600" w:hanging="36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10713"/>
    <w:rsid w:val="00043FAF"/>
    <w:rsid w:val="00535359"/>
    <w:rsid w:val="005D567D"/>
    <w:rsid w:val="006B0E1C"/>
    <w:rsid w:val="009F26D1"/>
    <w:rsid w:val="00AE1173"/>
    <w:rsid w:val="00B10713"/>
    <w:rsid w:val="00CB764C"/>
    <w:rsid w:val="00DF6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10128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MěK Jihlava-PhDr. Jarmila Daňková</dc:creator>
  <cp:lastModifiedBy>MěK Jihlava-Útvar ekonomicko-správní</cp:lastModifiedBy>
  <cp:revision>2</cp:revision>
  <dcterms:created xsi:type="dcterms:W3CDTF">2018-05-04T06:07:00Z</dcterms:created>
  <dcterms:modified xsi:type="dcterms:W3CDTF">2018-05-04T06:07:00Z</dcterms:modified>
</cp:coreProperties>
</file>