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DD9FB3B" w14:textId="77777777" w:rsidR="00D146CE" w:rsidRDefault="00D146CE">
      <w:bookmarkStart w:id="0" w:name="bookmark-name-."/>
      <w:bookmarkStart w:id="1" w:name="_GoBack"/>
      <w:bookmarkEnd w:id="0"/>
      <w:bookmarkEnd w:id="1"/>
    </w:p>
    <w:p w14:paraId="3DD9FB3C" w14:textId="77777777" w:rsidR="00D146CE" w:rsidRDefault="00F132D5">
      <w:pPr>
        <w:pStyle w:val="Head"/>
      </w:pPr>
      <w:r>
        <w:t>Příloha č. 1</w:t>
      </w:r>
    </w:p>
    <w:p w14:paraId="3DD9FB3D" w14:textId="6C79983C" w:rsidR="00D146CE" w:rsidRPr="00FA4C4A" w:rsidRDefault="00F132D5">
      <w:pPr>
        <w:pStyle w:val="Body1"/>
        <w:rPr>
          <w:bCs/>
          <w:szCs w:val="24"/>
        </w:rPr>
      </w:pPr>
      <w:r>
        <w:rPr>
          <w:bCs/>
        </w:rPr>
        <w:t xml:space="preserve">BLIŽŠÍ </w:t>
      </w:r>
      <w:r w:rsidRPr="00FA4C4A">
        <w:rPr>
          <w:bCs/>
          <w:szCs w:val="24"/>
        </w:rPr>
        <w:t>SPECIFIKACE DÍLA JE NÁSLEDUJÍCÍ:</w:t>
      </w:r>
    </w:p>
    <w:p w14:paraId="304D4005" w14:textId="556A2AEA" w:rsidR="00340220" w:rsidRPr="007379CB" w:rsidRDefault="007268FA" w:rsidP="00340220">
      <w:pPr>
        <w:pStyle w:val="Nadpis2"/>
        <w:rPr>
          <w:highlight w:val="yellow"/>
          <w:lang w:val="cs-CZ"/>
        </w:rPr>
      </w:pPr>
      <w:r w:rsidRPr="00FA4C4A">
        <w:rPr>
          <w:szCs w:val="24"/>
        </w:rPr>
        <w:t xml:space="preserve">DETAILNÍ POPIS </w:t>
      </w:r>
      <w:r w:rsidR="00340220" w:rsidRPr="007379CB">
        <w:rPr>
          <w:lang w:val="cs-CZ"/>
        </w:rPr>
        <w:t>Produkt</w:t>
      </w:r>
      <w:r>
        <w:rPr>
          <w:lang w:val="cs-CZ"/>
        </w:rPr>
        <w:t>u</w:t>
      </w:r>
    </w:p>
    <w:p w14:paraId="1E9DD217" w14:textId="6420D843" w:rsidR="00340220" w:rsidRPr="007379CB" w:rsidRDefault="00340220" w:rsidP="00C47924">
      <w:pPr>
        <w:jc w:val="both"/>
        <w:rPr>
          <w:sz w:val="24"/>
        </w:rPr>
      </w:pPr>
      <w:r w:rsidRPr="007379CB">
        <w:rPr>
          <w:sz w:val="24"/>
        </w:rPr>
        <w:t xml:space="preserve">Prvotní implementace NAŘÍZENÍ EVROPSKÉHO PARLAMENTU A RADY (EU) 2016/679 ze dne 27. dubna 2016 o ochraně fyzických osob v souvislosti se zpracováním osobních údajů a o volném pohybu těchto údajů a o zrušení směrnice 95/46/ES (obecné nařízení o ochraně osobních údajů), </w:t>
      </w:r>
      <w:r w:rsidR="00C47924">
        <w:rPr>
          <w:sz w:val="24"/>
        </w:rPr>
        <w:t xml:space="preserve">pro Pečovatelskou službu Prahy 6 </w:t>
      </w:r>
      <w:r w:rsidR="00207CAB">
        <w:t xml:space="preserve">poskytující služby sociální péče </w:t>
      </w:r>
      <w:r w:rsidR="00C47924">
        <w:rPr>
          <w:sz w:val="24"/>
        </w:rPr>
        <w:t>dle z</w:t>
      </w:r>
      <w:r w:rsidR="00C47924" w:rsidRPr="00C47924">
        <w:rPr>
          <w:sz w:val="24"/>
        </w:rPr>
        <w:t>ákon</w:t>
      </w:r>
      <w:r w:rsidR="00C47924">
        <w:rPr>
          <w:sz w:val="24"/>
        </w:rPr>
        <w:t>a</w:t>
      </w:r>
      <w:r w:rsidR="00C47924" w:rsidRPr="00C47924">
        <w:rPr>
          <w:sz w:val="24"/>
        </w:rPr>
        <w:t xml:space="preserve"> č. 108/2006 Sb</w:t>
      </w:r>
      <w:r w:rsidR="005D44F2">
        <w:rPr>
          <w:sz w:val="24"/>
        </w:rPr>
        <w:t>.</w:t>
      </w:r>
      <w:r w:rsidR="00C47924">
        <w:rPr>
          <w:sz w:val="24"/>
        </w:rPr>
        <w:t xml:space="preserve">, </w:t>
      </w:r>
      <w:r w:rsidR="00C47924" w:rsidRPr="00C47924">
        <w:rPr>
          <w:sz w:val="24"/>
        </w:rPr>
        <w:t>o sociálních službách</w:t>
      </w:r>
      <w:r w:rsidR="00DD5BA8">
        <w:rPr>
          <w:sz w:val="24"/>
        </w:rPr>
        <w:t>,</w:t>
      </w:r>
      <w:r w:rsidR="00144D47">
        <w:rPr>
          <w:sz w:val="24"/>
        </w:rPr>
        <w:t xml:space="preserve"> </w:t>
      </w:r>
      <w:r w:rsidRPr="007379CB">
        <w:rPr>
          <w:sz w:val="24"/>
        </w:rPr>
        <w:t>v rozsahu zde uvedeném:</w:t>
      </w:r>
    </w:p>
    <w:p w14:paraId="279180C4" w14:textId="77777777" w:rsidR="00340220" w:rsidRPr="007379CB" w:rsidRDefault="00340220" w:rsidP="00340220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Posouzení vlivu na ochranu osobních údajů podle GDPR (DPIA) pro oblast klientských dat (James).</w:t>
      </w:r>
    </w:p>
    <w:p w14:paraId="1405B2D3" w14:textId="77777777" w:rsidR="00340220" w:rsidRPr="007379CB" w:rsidRDefault="00340220" w:rsidP="00340220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Zpracování zásad ochrany dat pro oblast klientských dat (James).</w:t>
      </w:r>
    </w:p>
    <w:p w14:paraId="39AA1767" w14:textId="77777777" w:rsidR="00340220" w:rsidRPr="007379CB" w:rsidRDefault="00340220" w:rsidP="00340220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Zpracování zásad ochrany dat pro oblast zaměstnaneckých dat (personální a mzdová agenda).</w:t>
      </w:r>
    </w:p>
    <w:p w14:paraId="4D50A096" w14:textId="77777777" w:rsidR="00340220" w:rsidRPr="007379CB" w:rsidRDefault="00340220" w:rsidP="00340220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Příprava šablon žádosti:</w:t>
      </w:r>
    </w:p>
    <w:p w14:paraId="292D6FFD" w14:textId="77777777" w:rsidR="00340220" w:rsidRPr="007379CB" w:rsidRDefault="00340220" w:rsidP="00340220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potvrzení, zda osobní údaje, které se ho týkají, jsou či nejsou zpracovávány</w:t>
      </w:r>
    </w:p>
    <w:p w14:paraId="4F2DFA0D" w14:textId="77777777" w:rsidR="00340220" w:rsidRPr="007379CB" w:rsidRDefault="00340220" w:rsidP="00340220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žádost o přístup k těmto osobním údajům, dle čl. 15 nařízení</w:t>
      </w:r>
    </w:p>
    <w:p w14:paraId="31DEA6F4" w14:textId="77777777" w:rsidR="00340220" w:rsidRPr="007379CB" w:rsidRDefault="00340220" w:rsidP="00340220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žádost o opravu, dle čl. 16 nařízení</w:t>
      </w:r>
    </w:p>
    <w:p w14:paraId="45B7BD80" w14:textId="77777777" w:rsidR="00340220" w:rsidRPr="007379CB" w:rsidRDefault="00340220" w:rsidP="00340220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žádost o výmaz, dle čl. 17 nařízení</w:t>
      </w:r>
    </w:p>
    <w:p w14:paraId="34EDAFB1" w14:textId="77777777" w:rsidR="00340220" w:rsidRPr="007379CB" w:rsidRDefault="00340220" w:rsidP="00340220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žádost o omezení zpracování, dle čl. 18 nařízení</w:t>
      </w:r>
    </w:p>
    <w:p w14:paraId="1D79EB20" w14:textId="77777777" w:rsidR="00340220" w:rsidRPr="007379CB" w:rsidRDefault="00340220" w:rsidP="00340220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žádost o umožnění přenosu informací, dle čl. 20 nařízení</w:t>
      </w:r>
    </w:p>
    <w:p w14:paraId="693DEB96" w14:textId="77777777" w:rsidR="00340220" w:rsidRPr="007379CB" w:rsidRDefault="00340220" w:rsidP="00340220">
      <w:pPr>
        <w:pStyle w:val="Odstavecseseznamem"/>
        <w:numPr>
          <w:ilvl w:val="1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oznámení o opravě nebo výmazu osobních údajů nebo omezení zpracování příjemcům, jimž byly osobní údaje zpřístupněny</w:t>
      </w:r>
    </w:p>
    <w:p w14:paraId="0783C5D8" w14:textId="77777777" w:rsidR="00340220" w:rsidRPr="007379CB" w:rsidRDefault="00340220" w:rsidP="00340220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>Revize znění smlouvy o poskytování služby a její uvedení do souladu s nařízením</w:t>
      </w:r>
    </w:p>
    <w:p w14:paraId="6549959B" w14:textId="77777777" w:rsidR="00340220" w:rsidRPr="00B17337" w:rsidRDefault="00340220" w:rsidP="00340220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sz w:val="24"/>
        </w:rPr>
      </w:pPr>
      <w:r w:rsidRPr="007379CB">
        <w:rPr>
          <w:sz w:val="24"/>
        </w:rPr>
        <w:t xml:space="preserve">Revize znění </w:t>
      </w:r>
      <w:r w:rsidRPr="00B17337">
        <w:rPr>
          <w:sz w:val="24"/>
        </w:rPr>
        <w:t>pracovní smlouvy a její uvedení do souladu s nařízením</w:t>
      </w:r>
    </w:p>
    <w:p w14:paraId="2666D492" w14:textId="7F02D355" w:rsidR="00F132D5" w:rsidRPr="00B17337" w:rsidRDefault="00340220" w:rsidP="002073FA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rFonts w:eastAsia="Arial,Malgun Gothic"/>
          <w:sz w:val="24"/>
        </w:rPr>
      </w:pPr>
      <w:r w:rsidRPr="00B17337">
        <w:rPr>
          <w:sz w:val="24"/>
        </w:rPr>
        <w:t>Business / IT analýza SW evidence klientů (James) a formulování změnových požadavků k</w:t>
      </w:r>
      <w:r w:rsidR="00144D47" w:rsidRPr="00B17337">
        <w:rPr>
          <w:sz w:val="24"/>
        </w:rPr>
        <w:t> </w:t>
      </w:r>
      <w:r w:rsidRPr="00B17337">
        <w:rPr>
          <w:sz w:val="24"/>
        </w:rPr>
        <w:t>dodavateli</w:t>
      </w:r>
    </w:p>
    <w:p w14:paraId="3B4F1893" w14:textId="2B63B14D" w:rsidR="00144D47" w:rsidRPr="00B17337" w:rsidRDefault="00CE3266" w:rsidP="002073FA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rFonts w:eastAsia="Arial,Malgun Gothic"/>
          <w:sz w:val="24"/>
        </w:rPr>
      </w:pPr>
      <w:r w:rsidRPr="00B17337">
        <w:rPr>
          <w:rFonts w:eastAsia="Arial,Malgun Gothic"/>
          <w:sz w:val="24"/>
        </w:rPr>
        <w:t>Revize a přepracování skartačního řádu</w:t>
      </w:r>
    </w:p>
    <w:p w14:paraId="2A9599BC" w14:textId="48379511" w:rsidR="00B17337" w:rsidRPr="00B17337" w:rsidRDefault="00B17337" w:rsidP="002073FA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rFonts w:eastAsia="Arial,Malgun Gothic"/>
          <w:sz w:val="24"/>
        </w:rPr>
      </w:pPr>
      <w:r w:rsidRPr="00B17337">
        <w:rPr>
          <w:rFonts w:eastAsia="Arial,Malgun Gothic"/>
          <w:sz w:val="24"/>
        </w:rPr>
        <w:t>Seznam kontaktních osob</w:t>
      </w:r>
    </w:p>
    <w:p w14:paraId="18076D73" w14:textId="77777777" w:rsidR="00F132D5" w:rsidRPr="00B17337" w:rsidRDefault="002073FA" w:rsidP="002073FA">
      <w:pPr>
        <w:pStyle w:val="Odstavecseseznamem"/>
        <w:numPr>
          <w:ilvl w:val="0"/>
          <w:numId w:val="10"/>
        </w:numPr>
        <w:spacing w:before="20" w:after="20"/>
        <w:contextualSpacing/>
        <w:jc w:val="both"/>
        <w:rPr>
          <w:rFonts w:eastAsia="Arial,Malgun Gothic"/>
          <w:sz w:val="24"/>
        </w:rPr>
      </w:pPr>
      <w:r w:rsidRPr="00B17337">
        <w:rPr>
          <w:rFonts w:eastAsia="Arial,Malgun Gothic"/>
          <w:sz w:val="24"/>
          <w:szCs w:val="24"/>
        </w:rPr>
        <w:t>Cena implementace zahrnuje všechny Licence na dodaná autorská díla.</w:t>
      </w:r>
    </w:p>
    <w:p w14:paraId="6C010327" w14:textId="5B26CEE5" w:rsidR="002073FA" w:rsidRPr="00F132D5" w:rsidRDefault="002073FA" w:rsidP="00F132D5">
      <w:pPr>
        <w:pStyle w:val="Odstavecseseznamem"/>
        <w:numPr>
          <w:ilvl w:val="0"/>
          <w:numId w:val="10"/>
        </w:numPr>
        <w:spacing w:before="20" w:after="20"/>
        <w:contextualSpacing/>
        <w:rPr>
          <w:rFonts w:eastAsia="Arial,Malgun Gothic"/>
          <w:sz w:val="24"/>
        </w:rPr>
      </w:pPr>
      <w:r w:rsidRPr="00B17337">
        <w:rPr>
          <w:rFonts w:eastAsia="Arial,Malgun Gothic"/>
          <w:sz w:val="24"/>
          <w:szCs w:val="24"/>
        </w:rPr>
        <w:t>Cena implement</w:t>
      </w:r>
      <w:r w:rsidRPr="00F132D5">
        <w:rPr>
          <w:rFonts w:eastAsia="Arial,Malgun Gothic"/>
          <w:sz w:val="24"/>
          <w:szCs w:val="24"/>
        </w:rPr>
        <w:t>ace zahrnuje úvodní Školení pro zaměstnance</w:t>
      </w:r>
      <w:r w:rsidR="00F132D5">
        <w:rPr>
          <w:rFonts w:eastAsia="Arial,Malgun Gothic"/>
          <w:sz w:val="24"/>
          <w:szCs w:val="24"/>
        </w:rPr>
        <w:t xml:space="preserve"> </w:t>
      </w:r>
      <w:r w:rsidRPr="00F132D5">
        <w:rPr>
          <w:rFonts w:eastAsia="Arial,Malgun Gothic"/>
          <w:sz w:val="24"/>
          <w:szCs w:val="24"/>
        </w:rPr>
        <w:t>Objednatele.</w:t>
      </w:r>
    </w:p>
    <w:p w14:paraId="598A8658" w14:textId="0E276646" w:rsidR="00340220" w:rsidRPr="007379CB" w:rsidRDefault="007268FA" w:rsidP="00340220">
      <w:pPr>
        <w:pStyle w:val="Nadpis2"/>
        <w:rPr>
          <w:rFonts w:eastAsia="Arial,Malgun Gothic"/>
          <w:lang w:val="cs-CZ"/>
        </w:rPr>
      </w:pPr>
      <w:r w:rsidRPr="00FA4C4A">
        <w:rPr>
          <w:szCs w:val="24"/>
        </w:rPr>
        <w:t xml:space="preserve">DETAILNÍ POPIS </w:t>
      </w:r>
      <w:r w:rsidR="00340220" w:rsidRPr="007379CB">
        <w:rPr>
          <w:rFonts w:eastAsia="Arial,Malgun Gothic"/>
          <w:lang w:val="cs-CZ"/>
        </w:rPr>
        <w:t>Služb</w:t>
      </w:r>
      <w:r>
        <w:rPr>
          <w:rFonts w:eastAsia="Arial,Malgun Gothic"/>
          <w:lang w:val="cs-CZ"/>
        </w:rPr>
        <w:t>y</w:t>
      </w:r>
    </w:p>
    <w:p w14:paraId="3250B63C" w14:textId="77777777" w:rsidR="00340220" w:rsidRPr="007379CB" w:rsidRDefault="00340220" w:rsidP="00340220">
      <w:pPr>
        <w:tabs>
          <w:tab w:val="left" w:pos="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eastAsia="Arial,Malgun Gothic"/>
          <w:sz w:val="24"/>
        </w:rPr>
      </w:pPr>
      <w:r w:rsidRPr="007379CB">
        <w:rPr>
          <w:rFonts w:eastAsia="Arial,Malgun Gothic"/>
          <w:sz w:val="24"/>
        </w:rPr>
        <w:t>Je poskytována v základní variantě, po první dva měsíce (květen + červen) v tarifu 3 dle ceníku, dále pak dle tarifu 1 dle ceníku, pokud nebude objednatelem objednán jiný tarif.</w:t>
      </w:r>
    </w:p>
    <w:p w14:paraId="5D6BF496" w14:textId="77777777" w:rsidR="00340220" w:rsidRPr="007379CB" w:rsidRDefault="00340220" w:rsidP="00340220">
      <w:pPr>
        <w:tabs>
          <w:tab w:val="left" w:pos="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eastAsia="Arial,Malgun Gothic"/>
          <w:sz w:val="24"/>
        </w:rPr>
      </w:pPr>
      <w:r w:rsidRPr="007379CB">
        <w:rPr>
          <w:rFonts w:eastAsia="Arial,Malgun Gothic"/>
          <w:sz w:val="24"/>
        </w:rPr>
        <w:t xml:space="preserve">Pro vyhovění regulatornímu požadavku oddílu 4, NAŘÍZENÍ EVROPSKÉHO PARLAMENTU A RADY (EU) 2016/679 ze dne 27. dubna 2016 o ochraně fyzických osob v souvislosti se zpracováním osobních údajů a o volném pohybu těchto údajů a o zrušení směrnice 95/46/ES (obecné nařízení o ochraně osobních </w:t>
      </w:r>
      <w:r w:rsidRPr="007379CB">
        <w:rPr>
          <w:rFonts w:eastAsia="Arial,Malgun Gothic"/>
          <w:sz w:val="24"/>
        </w:rPr>
        <w:lastRenderedPageBreak/>
        <w:t>údajů) bude objednatelem jmenován Pověřenec pro ochranu osobních údajů dle smlouvy.</w:t>
      </w:r>
    </w:p>
    <w:p w14:paraId="119301B3" w14:textId="77777777" w:rsidR="00340220" w:rsidRPr="007379CB" w:rsidRDefault="00340220" w:rsidP="00340220">
      <w:pPr>
        <w:tabs>
          <w:tab w:val="left" w:pos="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eastAsia="Arial,Malgun Gothic"/>
          <w:sz w:val="24"/>
        </w:rPr>
      </w:pPr>
      <w:r w:rsidRPr="007379CB">
        <w:rPr>
          <w:rFonts w:eastAsia="Arial,Malgun Gothic"/>
          <w:sz w:val="24"/>
        </w:rPr>
        <w:t>Jmenovaný pověřenec bude svědomitě plnit úkoly dle článku 39, NAŘÍZENÍ EVROPSKÉHO PARLAMENTU A RADY (EU) 2016/679 ze dne 27. dubna 2016 o ochraně fyzických osob v souvislosti se zpracováním osobních údajů a o volném pohybu těchto údajů a o zrušení směrnice 95/46/ES (obecné nařízení o ochraně osobních údajů) v rozsahu, který mu plyne z NAŘÍZENÍ EVROPSKÉHO PARLAMENTU A RADY (EU) 2016/679 ze dne 27. dubna 2016 o ochraně fyzických osob v souvislosti se zpracováním osobních údajů a o volném pohybu těchto údajů a o zrušení směrnice 95/46/ES (obecné nařízení o ochraně osobních údajů) a souvisejících předpisů a dále dle požadavku objednatele.</w:t>
      </w:r>
    </w:p>
    <w:p w14:paraId="4FB4F662" w14:textId="0B9F4147" w:rsidR="00340220" w:rsidRDefault="00340220" w:rsidP="00340220">
      <w:pPr>
        <w:tabs>
          <w:tab w:val="left" w:pos="6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eastAsia="Arial,Malgun Gothic"/>
          <w:sz w:val="24"/>
        </w:rPr>
      </w:pPr>
      <w:r w:rsidRPr="007379CB">
        <w:rPr>
          <w:rFonts w:eastAsia="Arial,Malgun Gothic"/>
          <w:sz w:val="24"/>
        </w:rPr>
        <w:t>Pro zjednodušení komunikace s klienty bude zprovozněn internetový komunikační portál na adrese https://www.pou-dpo.cz</w:t>
      </w:r>
      <w:r w:rsidRPr="006C4C8D">
        <w:rPr>
          <w:rFonts w:eastAsia="Arial,Malgun Gothic"/>
          <w:sz w:val="24"/>
        </w:rPr>
        <w:t>/</w:t>
      </w:r>
      <w:r>
        <w:rPr>
          <w:rFonts w:eastAsia="Arial,Malgun Gothic"/>
          <w:sz w:val="24"/>
        </w:rPr>
        <w:t>,</w:t>
      </w:r>
      <w:r w:rsidRPr="007379CB">
        <w:rPr>
          <w:rFonts w:eastAsia="Arial,Malgun Gothic"/>
          <w:sz w:val="24"/>
        </w:rPr>
        <w:t xml:space="preserve"> kde bude pro klienty připravena úřední deska, často pokládané otázky a odpovědi, kontaktní údaje a kontaktní formulář.</w:t>
      </w:r>
    </w:p>
    <w:p w14:paraId="7A72D3E0" w14:textId="35F04F66" w:rsidR="0091553A" w:rsidRDefault="0091553A" w:rsidP="0091553A">
      <w:pPr>
        <w:jc w:val="both"/>
        <w:rPr>
          <w:sz w:val="24"/>
          <w:szCs w:val="24"/>
        </w:rPr>
      </w:pPr>
      <w:r w:rsidRPr="00263B9C">
        <w:rPr>
          <w:sz w:val="24"/>
          <w:szCs w:val="24"/>
        </w:rPr>
        <w:t>V rámci dodávky Služby bude Poskytovatel poskytovat Objednateli primárně specifické činnosti, konzultace a případné další nehmotné produkty dle specifikace služby, a to až do výše celkové kapacity tarifu objednaného pro daný měsíc.</w:t>
      </w:r>
    </w:p>
    <w:p w14:paraId="5F22BD17" w14:textId="40D3F919" w:rsidR="00E30926" w:rsidRPr="00263B9C" w:rsidRDefault="00E30926" w:rsidP="00E30926">
      <w:pPr>
        <w:jc w:val="both"/>
        <w:rPr>
          <w:sz w:val="24"/>
          <w:szCs w:val="24"/>
        </w:rPr>
      </w:pPr>
      <w:r w:rsidRPr="00263B9C">
        <w:rPr>
          <w:sz w:val="24"/>
          <w:szCs w:val="24"/>
        </w:rPr>
        <w:t>V rámci dodávky Služby</w:t>
      </w:r>
      <w:r w:rsidRPr="002D72BD">
        <w:rPr>
          <w:sz w:val="24"/>
          <w:szCs w:val="24"/>
        </w:rPr>
        <w:t xml:space="preserve"> bude poskytnuto jedno roční přeškolení personálu, vždy v termínu nejdéle do konce 13-tého měsíce od posledního školení.</w:t>
      </w:r>
      <w:r w:rsidR="00AF759D">
        <w:rPr>
          <w:sz w:val="24"/>
          <w:szCs w:val="24"/>
        </w:rPr>
        <w:t xml:space="preserve"> </w:t>
      </w:r>
      <w:r w:rsidR="0084637B">
        <w:rPr>
          <w:sz w:val="24"/>
          <w:szCs w:val="24"/>
        </w:rPr>
        <w:t>Š</w:t>
      </w:r>
      <w:r w:rsidR="00AF759D">
        <w:rPr>
          <w:sz w:val="24"/>
          <w:szCs w:val="24"/>
        </w:rPr>
        <w:t xml:space="preserve">kolení </w:t>
      </w:r>
      <w:r w:rsidR="0084637B">
        <w:rPr>
          <w:sz w:val="24"/>
          <w:szCs w:val="24"/>
        </w:rPr>
        <w:t xml:space="preserve">samotné </w:t>
      </w:r>
      <w:r w:rsidR="00AF759D">
        <w:rPr>
          <w:sz w:val="24"/>
          <w:szCs w:val="24"/>
        </w:rPr>
        <w:t>je zahrnuto v</w:t>
      </w:r>
      <w:r w:rsidR="00A42AAE">
        <w:rPr>
          <w:sz w:val="24"/>
          <w:szCs w:val="24"/>
        </w:rPr>
        <w:t> měsíčním tarifu.</w:t>
      </w:r>
    </w:p>
    <w:p w14:paraId="22374431" w14:textId="77777777" w:rsidR="0091553A" w:rsidRPr="00263B9C" w:rsidRDefault="0091553A" w:rsidP="0091553A">
      <w:pPr>
        <w:jc w:val="both"/>
        <w:rPr>
          <w:sz w:val="24"/>
          <w:szCs w:val="24"/>
        </w:rPr>
      </w:pPr>
      <w:r w:rsidRPr="00263B9C">
        <w:rPr>
          <w:sz w:val="24"/>
          <w:szCs w:val="24"/>
        </w:rPr>
        <w:t xml:space="preserve">V rámci dodávky Služby </w:t>
      </w:r>
      <w:r>
        <w:rPr>
          <w:sz w:val="24"/>
          <w:szCs w:val="24"/>
        </w:rPr>
        <w:t xml:space="preserve">může </w:t>
      </w:r>
      <w:r w:rsidRPr="00263B9C">
        <w:rPr>
          <w:sz w:val="24"/>
          <w:szCs w:val="24"/>
        </w:rPr>
        <w:t xml:space="preserve">Poskytovatel poskytovat Objednateli </w:t>
      </w:r>
      <w:r>
        <w:rPr>
          <w:sz w:val="24"/>
          <w:szCs w:val="24"/>
        </w:rPr>
        <w:t xml:space="preserve">další zde neuvedenou </w:t>
      </w:r>
      <w:r w:rsidRPr="00263B9C">
        <w:rPr>
          <w:sz w:val="24"/>
          <w:szCs w:val="24"/>
        </w:rPr>
        <w:t>podporu v rozsahu dosud nevyčerpaných kapacit pro dané období, a to až do výše celkové kapacity tarifu objednaného pro daný měsíc.</w:t>
      </w:r>
    </w:p>
    <w:p w14:paraId="3CB14A82" w14:textId="24358702" w:rsidR="00261455" w:rsidRDefault="00261455" w:rsidP="00261455">
      <w:pPr>
        <w:jc w:val="both"/>
        <w:rPr>
          <w:sz w:val="24"/>
          <w:szCs w:val="24"/>
        </w:rPr>
      </w:pPr>
      <w:r w:rsidRPr="00263B9C">
        <w:rPr>
          <w:sz w:val="24"/>
          <w:szCs w:val="24"/>
        </w:rPr>
        <w:t xml:space="preserve">Kapacity </w:t>
      </w:r>
      <w:r>
        <w:rPr>
          <w:sz w:val="24"/>
          <w:szCs w:val="24"/>
        </w:rPr>
        <w:t xml:space="preserve">požadované </w:t>
      </w:r>
      <w:r w:rsidRPr="00263B9C">
        <w:rPr>
          <w:sz w:val="24"/>
          <w:szCs w:val="24"/>
        </w:rPr>
        <w:t>nad tento rámec musí být pro dané období objednány samostatně dle ceníku.</w:t>
      </w:r>
    </w:p>
    <w:p w14:paraId="34892B0C" w14:textId="093DEBFA" w:rsidR="00EF0629" w:rsidRPr="00263B9C" w:rsidRDefault="00EF0629" w:rsidP="00EF0629">
      <w:pPr>
        <w:rPr>
          <w:sz w:val="24"/>
          <w:szCs w:val="24"/>
        </w:rPr>
      </w:pPr>
      <w:r w:rsidRPr="002D72BD">
        <w:rPr>
          <w:sz w:val="24"/>
          <w:szCs w:val="24"/>
        </w:rPr>
        <w:t>Pro každé školení či výjezd k objednali, či na objednávku objednatel platí, že Poskytovatel je oprávněn požadovat úhradu oprávněných cestovních nákladů dle Ceníku.</w:t>
      </w:r>
    </w:p>
    <w:p w14:paraId="7FEB9F41" w14:textId="77777777" w:rsidR="00261455" w:rsidRPr="00263B9C" w:rsidRDefault="00261455" w:rsidP="00261455">
      <w:pPr>
        <w:jc w:val="both"/>
        <w:rPr>
          <w:sz w:val="24"/>
          <w:szCs w:val="24"/>
        </w:rPr>
      </w:pPr>
      <w:r w:rsidRPr="00263B9C">
        <w:rPr>
          <w:sz w:val="24"/>
          <w:szCs w:val="24"/>
        </w:rPr>
        <w:t>Nevyčerpaná kapacita je převoditelná do dalšího období pouze se souhlasem poskytovatele v odůvodněných případech.</w:t>
      </w:r>
    </w:p>
    <w:p w14:paraId="57446AA8" w14:textId="77777777" w:rsidR="00261455" w:rsidRPr="00263B9C" w:rsidRDefault="00261455" w:rsidP="00261455">
      <w:pPr>
        <w:pStyle w:val="Zkladntext3"/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Pro službu jsou sjednány tyto parametry (SLA):</w:t>
      </w:r>
    </w:p>
    <w:p w14:paraId="76BC87BE" w14:textId="77777777" w:rsidR="00261455" w:rsidRDefault="00261455" w:rsidP="00261455">
      <w:pPr>
        <w:pStyle w:val="Zkladntext3"/>
        <w:numPr>
          <w:ilvl w:val="0"/>
          <w:numId w:val="12"/>
        </w:num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Služba je vykonávána jednou osobou</w:t>
      </w:r>
    </w:p>
    <w:p w14:paraId="39B086A0" w14:textId="77777777" w:rsidR="00261455" w:rsidRPr="00F57657" w:rsidRDefault="00261455" w:rsidP="00261455">
      <w:pPr>
        <w:pStyle w:val="Zkladntext3"/>
        <w:numPr>
          <w:ilvl w:val="0"/>
          <w:numId w:val="12"/>
        </w:numPr>
        <w:tabs>
          <w:tab w:val="left" w:pos="567"/>
        </w:tabs>
        <w:rPr>
          <w:sz w:val="24"/>
          <w:szCs w:val="24"/>
        </w:rPr>
      </w:pPr>
      <w:r w:rsidRPr="00F57657">
        <w:rPr>
          <w:sz w:val="24"/>
          <w:szCs w:val="24"/>
        </w:rPr>
        <w:t>Služba může být vykonávána jednou zastupující osobou</w:t>
      </w:r>
    </w:p>
    <w:p w14:paraId="442972AE" w14:textId="77777777" w:rsidR="00261455" w:rsidRPr="00C66AF7" w:rsidRDefault="00261455" w:rsidP="0026145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C66AF7">
        <w:rPr>
          <w:sz w:val="24"/>
          <w:szCs w:val="24"/>
        </w:rPr>
        <w:t>Dostupnost služby je v čase 9-17 hod, pondělí-pátek na</w:t>
      </w:r>
    </w:p>
    <w:p w14:paraId="05214CCA" w14:textId="77777777" w:rsidR="00261455" w:rsidRPr="00C66AF7" w:rsidRDefault="00261455" w:rsidP="00261455">
      <w:pPr>
        <w:pStyle w:val="Odstavecseseznamem"/>
        <w:numPr>
          <w:ilvl w:val="1"/>
          <w:numId w:val="12"/>
        </w:numPr>
        <w:rPr>
          <w:sz w:val="24"/>
          <w:szCs w:val="24"/>
        </w:rPr>
      </w:pPr>
      <w:r w:rsidRPr="00C66AF7">
        <w:rPr>
          <w:sz w:val="24"/>
          <w:szCs w:val="24"/>
        </w:rPr>
        <w:t>vyhrazeném telefonním čísle +420 608 41 61 51</w:t>
      </w:r>
    </w:p>
    <w:p w14:paraId="698B911C" w14:textId="77777777" w:rsidR="00261455" w:rsidRDefault="00261455" w:rsidP="00261455">
      <w:pPr>
        <w:pStyle w:val="Odstavecseseznamem"/>
        <w:numPr>
          <w:ilvl w:val="1"/>
          <w:numId w:val="12"/>
        </w:numPr>
        <w:rPr>
          <w:sz w:val="24"/>
          <w:szCs w:val="24"/>
        </w:rPr>
      </w:pPr>
      <w:r w:rsidRPr="00C66AF7">
        <w:rPr>
          <w:sz w:val="24"/>
          <w:szCs w:val="24"/>
        </w:rPr>
        <w:t xml:space="preserve">e-mailové adrese </w:t>
      </w:r>
      <w:hyperlink r:id="rId11" w:history="1">
        <w:r w:rsidRPr="00C66AF7">
          <w:rPr>
            <w:rStyle w:val="Hypertextovodkaz"/>
            <w:rFonts w:eastAsiaTheme="majorEastAsia"/>
            <w:sz w:val="24"/>
            <w:szCs w:val="24"/>
          </w:rPr>
          <w:t>DPO</w:t>
        </w:r>
        <w:r w:rsidRPr="00C66AF7">
          <w:rPr>
            <w:rStyle w:val="Hypertextovodkaz"/>
            <w:rFonts w:eastAsiaTheme="majorEastAsia"/>
            <w:sz w:val="24"/>
            <w:szCs w:val="24"/>
            <w:lang w:val="en-US"/>
          </w:rPr>
          <w:t>@iTiSPM.cz</w:t>
        </w:r>
      </w:hyperlink>
    </w:p>
    <w:p w14:paraId="2A4AD410" w14:textId="77777777" w:rsidR="00261455" w:rsidRDefault="00261455" w:rsidP="0026145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30AC6">
        <w:rPr>
          <w:sz w:val="24"/>
          <w:szCs w:val="24"/>
        </w:rPr>
        <w:t>Odezva na interakci do 5 pracovních dnů</w:t>
      </w:r>
    </w:p>
    <w:p w14:paraId="13B62B14" w14:textId="77777777" w:rsidR="00261455" w:rsidRDefault="00261455" w:rsidP="0026145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30AC6">
        <w:rPr>
          <w:sz w:val="24"/>
          <w:szCs w:val="24"/>
        </w:rPr>
        <w:lastRenderedPageBreak/>
        <w:t>Interakce se správcem / zpracovatelem k</w:t>
      </w:r>
      <w:r>
        <w:rPr>
          <w:sz w:val="24"/>
          <w:szCs w:val="24"/>
        </w:rPr>
        <w:t> </w:t>
      </w:r>
      <w:r w:rsidRPr="00630AC6">
        <w:rPr>
          <w:sz w:val="24"/>
          <w:szCs w:val="24"/>
        </w:rPr>
        <w:t>incidentu</w:t>
      </w:r>
    </w:p>
    <w:p w14:paraId="4E9F59C2" w14:textId="77777777" w:rsidR="00261455" w:rsidRPr="00F61EA8" w:rsidRDefault="00261455" w:rsidP="00261455">
      <w:pPr>
        <w:pStyle w:val="Odstavecseseznamem"/>
        <w:numPr>
          <w:ilvl w:val="1"/>
          <w:numId w:val="12"/>
        </w:numPr>
        <w:rPr>
          <w:sz w:val="24"/>
          <w:szCs w:val="24"/>
        </w:rPr>
      </w:pPr>
      <w:r w:rsidRPr="00F61EA8">
        <w:rPr>
          <w:sz w:val="24"/>
          <w:szCs w:val="24"/>
        </w:rPr>
        <w:t>do max. 72 h od zjištění nebo</w:t>
      </w:r>
    </w:p>
    <w:p w14:paraId="524349DB" w14:textId="77777777" w:rsidR="00261455" w:rsidRPr="00F61EA8" w:rsidRDefault="00261455" w:rsidP="00261455">
      <w:pPr>
        <w:pStyle w:val="Odstavecseseznamem"/>
        <w:numPr>
          <w:ilvl w:val="1"/>
          <w:numId w:val="12"/>
        </w:numPr>
        <w:rPr>
          <w:sz w:val="24"/>
          <w:szCs w:val="24"/>
        </w:rPr>
      </w:pPr>
      <w:r w:rsidRPr="00F61EA8">
        <w:rPr>
          <w:sz w:val="24"/>
          <w:szCs w:val="24"/>
        </w:rPr>
        <w:t>následující pracovní den, pokud byla doba alespoň částečně 72 h nepracovní</w:t>
      </w:r>
    </w:p>
    <w:p w14:paraId="7A75435A" w14:textId="77777777" w:rsidR="00261455" w:rsidRPr="00F61EA8" w:rsidRDefault="00261455" w:rsidP="0026145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61EA8">
        <w:rPr>
          <w:sz w:val="24"/>
          <w:szCs w:val="24"/>
        </w:rPr>
        <w:t>Interakce s dozorovým orgánem k incidentu do max. 72 h od zjištění</w:t>
      </w:r>
    </w:p>
    <w:p w14:paraId="19BACD5A" w14:textId="467848CB" w:rsidR="006900A1" w:rsidRPr="00145100" w:rsidRDefault="00261455" w:rsidP="006900A1">
      <w:pPr>
        <w:pStyle w:val="Odstavecseseznamem"/>
        <w:numPr>
          <w:ilvl w:val="0"/>
          <w:numId w:val="12"/>
        </w:numPr>
        <w:rPr>
          <w:rFonts w:eastAsia="Arial,Malgun Gothic"/>
          <w:sz w:val="24"/>
        </w:rPr>
      </w:pPr>
      <w:r w:rsidRPr="006900A1">
        <w:rPr>
          <w:sz w:val="24"/>
          <w:szCs w:val="24"/>
        </w:rPr>
        <w:t>Bez prioritní komunikace s</w:t>
      </w:r>
      <w:r w:rsidR="00145100">
        <w:rPr>
          <w:sz w:val="24"/>
          <w:szCs w:val="24"/>
        </w:rPr>
        <w:t> </w:t>
      </w:r>
      <w:r w:rsidRPr="006900A1">
        <w:rPr>
          <w:sz w:val="24"/>
          <w:szCs w:val="24"/>
        </w:rPr>
        <w:t>objednatelem</w:t>
      </w:r>
    </w:p>
    <w:p w14:paraId="420C30BE" w14:textId="77777777" w:rsidR="00145100" w:rsidRPr="00145100" w:rsidRDefault="00145100" w:rsidP="00145100">
      <w:pPr>
        <w:pStyle w:val="Odstavecseseznamem"/>
        <w:ind w:left="360"/>
        <w:rPr>
          <w:rFonts w:eastAsia="Arial,Malgun Gothic"/>
          <w:sz w:val="24"/>
        </w:rPr>
      </w:pPr>
    </w:p>
    <w:p w14:paraId="057E147E" w14:textId="31C6265F" w:rsidR="00377424" w:rsidRPr="00B17337" w:rsidRDefault="00377424" w:rsidP="006900A1">
      <w:pPr>
        <w:rPr>
          <w:rFonts w:eastAsia="Arial,Malgun Gothic"/>
          <w:sz w:val="24"/>
        </w:rPr>
      </w:pPr>
      <w:r w:rsidRPr="006900A1">
        <w:rPr>
          <w:sz w:val="24"/>
          <w:szCs w:val="24"/>
        </w:rPr>
        <w:t xml:space="preserve">Nesplněním dostupnosti není zahrnuto nezvednutí telefonu, pokud bylo na volající </w:t>
      </w:r>
      <w:r w:rsidRPr="00B17337">
        <w:rPr>
          <w:sz w:val="24"/>
          <w:szCs w:val="24"/>
        </w:rPr>
        <w:t>číslo v přiměřené době voláno zpět</w:t>
      </w:r>
    </w:p>
    <w:p w14:paraId="29E8CF26" w14:textId="184C20A3" w:rsidR="005266F3" w:rsidRPr="005266F3" w:rsidRDefault="005266F3" w:rsidP="005266F3">
      <w:pPr>
        <w:rPr>
          <w:rFonts w:eastAsia="Calibri"/>
          <w:sz w:val="24"/>
          <w:szCs w:val="24"/>
        </w:rPr>
      </w:pPr>
      <w:r w:rsidRPr="00B17337">
        <w:rPr>
          <w:rFonts w:eastAsia="Arial,Malgun Gothic"/>
          <w:sz w:val="24"/>
        </w:rPr>
        <w:t>Seznam kontaktních osob</w:t>
      </w:r>
      <w:r w:rsidR="000B47DE" w:rsidRPr="00B17337">
        <w:rPr>
          <w:rFonts w:eastAsia="Arial,Malgun Gothic"/>
          <w:sz w:val="24"/>
        </w:rPr>
        <w:t xml:space="preserve"> </w:t>
      </w:r>
      <w:r w:rsidRPr="00B17337">
        <w:rPr>
          <w:rFonts w:eastAsia="Arial,Malgun Gothic"/>
          <w:sz w:val="24"/>
        </w:rPr>
        <w:t>je možno měnit písemným sdělením zaslaným e-mailem druhé Smluvní straně. Změna nabývá účinnosti doručením sdělení o změně druhé Smluvní straně.</w:t>
      </w:r>
    </w:p>
    <w:p w14:paraId="36C700D7" w14:textId="598F7007" w:rsidR="00261455" w:rsidRPr="00263B9C" w:rsidRDefault="00261455" w:rsidP="00261455">
      <w:pPr>
        <w:jc w:val="both"/>
        <w:rPr>
          <w:sz w:val="24"/>
          <w:szCs w:val="24"/>
        </w:rPr>
      </w:pPr>
      <w:r w:rsidRPr="00263B9C">
        <w:rPr>
          <w:sz w:val="24"/>
          <w:szCs w:val="24"/>
        </w:rPr>
        <w:t xml:space="preserve">Opakované </w:t>
      </w:r>
      <w:r>
        <w:rPr>
          <w:sz w:val="24"/>
          <w:szCs w:val="24"/>
        </w:rPr>
        <w:t>nesplnění doby reakce na vadu</w:t>
      </w:r>
      <w:r w:rsidR="006B3316">
        <w:rPr>
          <w:sz w:val="24"/>
          <w:szCs w:val="24"/>
        </w:rPr>
        <w:t xml:space="preserve"> nebo nesplnění </w:t>
      </w:r>
      <w:r>
        <w:rPr>
          <w:sz w:val="24"/>
          <w:szCs w:val="24"/>
        </w:rPr>
        <w:t>dostupnosti</w:t>
      </w:r>
      <w:r w:rsidRPr="00263B9C">
        <w:rPr>
          <w:sz w:val="24"/>
          <w:szCs w:val="24"/>
        </w:rPr>
        <w:t xml:space="preserve">, a to alespoň 2x v průběhu tří (3) po sobě jdoucích kalendářních měsících, či opakované prodlení s časem odezvy, a to alespoň 3x v průběhu tří (3) po sobě jdoucích kalendářních měsících, se považuje za podstatné porušení Smlouvy na straně Poskytovatele ve smyslu ustanovení článku 16.5 a 16.6 Smlouvy. V takovém případě má Objednatel právo okamžitě od Smlouvy odstoupit. </w:t>
      </w:r>
    </w:p>
    <w:p w14:paraId="6C5CFCF1" w14:textId="188B53BD" w:rsidR="00340220" w:rsidRPr="007379CB" w:rsidRDefault="007268FA" w:rsidP="00340220">
      <w:pPr>
        <w:pStyle w:val="Nadpis2"/>
        <w:rPr>
          <w:rFonts w:eastAsia="Arial,Malgun Gothic"/>
          <w:lang w:val="cs-CZ"/>
        </w:rPr>
      </w:pPr>
      <w:r w:rsidRPr="00FA4C4A">
        <w:rPr>
          <w:szCs w:val="24"/>
        </w:rPr>
        <w:t xml:space="preserve">DETAILNÍ POPIS </w:t>
      </w:r>
      <w:r w:rsidR="00340220" w:rsidRPr="007379CB">
        <w:rPr>
          <w:rFonts w:eastAsia="Arial,Malgun Gothic"/>
          <w:lang w:val="cs-CZ"/>
        </w:rPr>
        <w:t>Dokumentace</w:t>
      </w:r>
    </w:p>
    <w:p w14:paraId="4660A69B" w14:textId="77777777" w:rsidR="00340220" w:rsidRPr="00B8203D" w:rsidRDefault="00340220" w:rsidP="00340220">
      <w:pPr>
        <w:jc w:val="both"/>
        <w:rPr>
          <w:rFonts w:eastAsia="Arial,Malgun Gothic"/>
          <w:sz w:val="24"/>
          <w:szCs w:val="24"/>
        </w:rPr>
      </w:pPr>
      <w:r w:rsidRPr="007379CB">
        <w:rPr>
          <w:rFonts w:eastAsia="Arial,Malgun Gothic"/>
          <w:sz w:val="24"/>
          <w:szCs w:val="24"/>
        </w:rPr>
        <w:t>Produkt sám je dokumentací. Nebude-li to z principu jeho předmětu opodstatněné, nebude k němu d</w:t>
      </w:r>
      <w:r w:rsidRPr="00B8203D">
        <w:rPr>
          <w:rFonts w:eastAsia="Arial,Malgun Gothic"/>
          <w:sz w:val="24"/>
          <w:szCs w:val="24"/>
        </w:rPr>
        <w:t>odána další dokumentace.</w:t>
      </w:r>
    </w:p>
    <w:p w14:paraId="04E4684C" w14:textId="77777777" w:rsidR="00340220" w:rsidRPr="007379CB" w:rsidRDefault="00340220" w:rsidP="00340220">
      <w:pPr>
        <w:jc w:val="both"/>
        <w:rPr>
          <w:rFonts w:eastAsia="Arial,Malgun Gothic"/>
          <w:sz w:val="24"/>
          <w:szCs w:val="24"/>
        </w:rPr>
      </w:pPr>
      <w:r w:rsidRPr="00B8203D">
        <w:rPr>
          <w:rFonts w:eastAsia="Arial,Malgun Gothic"/>
          <w:sz w:val="24"/>
          <w:szCs w:val="24"/>
        </w:rPr>
        <w:t>K aplikace komunikační portál pověřence pro ochranu osobních údajů bude poskytnut jednoduchý návod v rozsahu do 10 stran textu popisující použití portálu z pohledu objednatele nebo subjektu dat</w:t>
      </w:r>
      <w:r w:rsidRPr="007379CB">
        <w:rPr>
          <w:rFonts w:eastAsia="Arial,Malgun Gothic"/>
          <w:sz w:val="24"/>
          <w:szCs w:val="24"/>
        </w:rPr>
        <w:t>.</w:t>
      </w:r>
    </w:p>
    <w:p w14:paraId="63752111" w14:textId="77777777" w:rsidR="00FF79C7" w:rsidRDefault="00340220" w:rsidP="00FF79C7">
      <w:pPr>
        <w:jc w:val="both"/>
        <w:rPr>
          <w:rFonts w:eastAsia="Arial,Malgun Gothic"/>
          <w:sz w:val="24"/>
          <w:szCs w:val="24"/>
        </w:rPr>
      </w:pPr>
      <w:r>
        <w:rPr>
          <w:rFonts w:eastAsia="Arial,Malgun Gothic"/>
          <w:sz w:val="24"/>
          <w:szCs w:val="24"/>
        </w:rPr>
        <w:t xml:space="preserve">Poskytování </w:t>
      </w:r>
      <w:r w:rsidRPr="007379CB">
        <w:rPr>
          <w:rFonts w:eastAsia="Arial,Malgun Gothic"/>
          <w:sz w:val="24"/>
          <w:szCs w:val="24"/>
        </w:rPr>
        <w:t>Služb</w:t>
      </w:r>
      <w:r>
        <w:rPr>
          <w:rFonts w:eastAsia="Arial,Malgun Gothic"/>
          <w:sz w:val="24"/>
          <w:szCs w:val="24"/>
        </w:rPr>
        <w:t>y</w:t>
      </w:r>
      <w:r w:rsidRPr="007379CB">
        <w:rPr>
          <w:rFonts w:eastAsia="Arial,Malgun Gothic"/>
          <w:sz w:val="24"/>
          <w:szCs w:val="24"/>
        </w:rPr>
        <w:t xml:space="preserve"> bude přiměřeným způsobem dokumentován</w:t>
      </w:r>
      <w:r>
        <w:rPr>
          <w:rFonts w:eastAsia="Arial,Malgun Gothic"/>
          <w:sz w:val="24"/>
          <w:szCs w:val="24"/>
        </w:rPr>
        <w:t>o</w:t>
      </w:r>
      <w:r w:rsidRPr="007379CB">
        <w:rPr>
          <w:rFonts w:eastAsia="Arial,Malgun Gothic"/>
          <w:sz w:val="24"/>
          <w:szCs w:val="24"/>
        </w:rPr>
        <w:t>, tedy zejména:</w:t>
      </w:r>
    </w:p>
    <w:p w14:paraId="220713FC" w14:textId="77777777" w:rsidR="00FF79C7" w:rsidRPr="00FF79C7" w:rsidRDefault="00340220" w:rsidP="00FF79C7">
      <w:pPr>
        <w:pStyle w:val="Odstavecseseznamem"/>
        <w:numPr>
          <w:ilvl w:val="0"/>
          <w:numId w:val="11"/>
        </w:numPr>
        <w:jc w:val="both"/>
        <w:rPr>
          <w:rFonts w:eastAsia="Arial,Malgun Gothic"/>
          <w:sz w:val="24"/>
          <w:szCs w:val="24"/>
        </w:rPr>
      </w:pPr>
      <w:r w:rsidRPr="00FF79C7">
        <w:rPr>
          <w:rFonts w:eastAsia="Arial,Malgun Gothic"/>
          <w:sz w:val="24"/>
          <w:szCs w:val="24"/>
        </w:rPr>
        <w:t>Na měsíční bázi bude poskytnut seznam provedených činností.</w:t>
      </w:r>
    </w:p>
    <w:p w14:paraId="098AB5FC" w14:textId="1FB5F1B9" w:rsidR="00340220" w:rsidRPr="00FF79C7" w:rsidRDefault="00340220" w:rsidP="00FF79C7">
      <w:pPr>
        <w:pStyle w:val="Odstavecseseznamem"/>
        <w:numPr>
          <w:ilvl w:val="0"/>
          <w:numId w:val="11"/>
        </w:numPr>
        <w:jc w:val="both"/>
        <w:rPr>
          <w:rFonts w:eastAsia="Arial,Malgun Gothic"/>
          <w:sz w:val="24"/>
          <w:szCs w:val="24"/>
        </w:rPr>
      </w:pPr>
      <w:r w:rsidRPr="00FF79C7">
        <w:rPr>
          <w:rFonts w:eastAsia="Arial,Malgun Gothic"/>
          <w:sz w:val="24"/>
          <w:szCs w:val="24"/>
        </w:rPr>
        <w:t>Řešené úkoly budou protokolárně zaznamenávány.</w:t>
      </w:r>
    </w:p>
    <w:p w14:paraId="29742884" w14:textId="77777777" w:rsidR="00340220" w:rsidRPr="007379CB" w:rsidRDefault="00340220" w:rsidP="00340220">
      <w:pPr>
        <w:jc w:val="both"/>
        <w:rPr>
          <w:rFonts w:eastAsia="Arial,Malgun Gothic"/>
          <w:sz w:val="24"/>
          <w:szCs w:val="24"/>
        </w:rPr>
      </w:pPr>
    </w:p>
    <w:p w14:paraId="35846077" w14:textId="7BF5F8AE" w:rsidR="0062396A" w:rsidRPr="007379CB" w:rsidRDefault="0062396A" w:rsidP="0062396A">
      <w:pPr>
        <w:pStyle w:val="Nadpis1"/>
        <w:jc w:val="left"/>
        <w:rPr>
          <w:rFonts w:eastAsia="Arial,Malgun Gothic"/>
        </w:rPr>
      </w:pPr>
      <w:r w:rsidRPr="007379CB">
        <w:rPr>
          <w:rFonts w:eastAsia="Arial,Malgun Gothic"/>
        </w:rPr>
        <w:t>POPTÁVKA S PŘÍPADNOU ZADÁVACÍ DOKUMENTACÍ OBJEDNATELE</w:t>
      </w:r>
    </w:p>
    <w:p w14:paraId="32758B79" w14:textId="77777777" w:rsidR="0062396A" w:rsidRPr="007379CB" w:rsidRDefault="0062396A" w:rsidP="0062396A">
      <w:pPr>
        <w:jc w:val="center"/>
      </w:pPr>
      <w:r w:rsidRPr="007379CB">
        <w:object w:dxaOrig="890" w:dyaOrig="573" w14:anchorId="48B8C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9.3pt" o:ole="">
            <v:imagedata r:id="rId12" o:title=""/>
          </v:shape>
          <o:OLEObject Type="Embed" ProgID="Package" ShapeID="_x0000_i1025" DrawAspect="Icon" ObjectID="_1586613550" r:id="rId13"/>
        </w:object>
      </w:r>
    </w:p>
    <w:p w14:paraId="62747D6B" w14:textId="77777777" w:rsidR="0062396A" w:rsidRDefault="0062396A" w:rsidP="0062396A">
      <w:pPr>
        <w:jc w:val="center"/>
        <w:rPr>
          <w:b/>
        </w:rPr>
      </w:pPr>
    </w:p>
    <w:p w14:paraId="29FC5142" w14:textId="26521529" w:rsidR="0062396A" w:rsidRPr="007379CB" w:rsidRDefault="0062396A" w:rsidP="0062396A">
      <w:pPr>
        <w:rPr>
          <w:b/>
        </w:rPr>
      </w:pPr>
      <w:r w:rsidRPr="007379CB">
        <w:rPr>
          <w:b/>
        </w:rPr>
        <w:t>NABÍDKA POSKYTOVATELE ZE DNE 05. 04. 2018</w:t>
      </w:r>
    </w:p>
    <w:p w14:paraId="4FC60D38" w14:textId="77777777" w:rsidR="0062396A" w:rsidRPr="007379CB" w:rsidRDefault="0062396A" w:rsidP="0062396A">
      <w:pPr>
        <w:jc w:val="center"/>
      </w:pPr>
      <w:r w:rsidRPr="007379CB">
        <w:object w:dxaOrig="1538" w:dyaOrig="992" w14:anchorId="74106F22">
          <v:shape id="_x0000_i1026" type="#_x0000_t75" style="width:76.7pt;height:49.3pt" o:ole="">
            <v:imagedata r:id="rId14" o:title=""/>
          </v:shape>
          <o:OLEObject Type="Embed" ProgID="AcroExch.Document.DC" ShapeID="_x0000_i1026" DrawAspect="Icon" ObjectID="_1586613551" r:id="rId15"/>
        </w:object>
      </w:r>
    </w:p>
    <w:p w14:paraId="47FEF5B5" w14:textId="77777777" w:rsidR="00EA75D4" w:rsidRDefault="00EA75D4">
      <w:pPr>
        <w:pStyle w:val="Body1"/>
        <w:rPr>
          <w:bCs/>
        </w:rPr>
      </w:pPr>
    </w:p>
    <w:sectPr w:rsidR="00EA75D4" w:rsidSect="000F6147">
      <w:headerReference w:type="default" r:id="rId16"/>
      <w:footerReference w:type="default" r:id="rId17"/>
      <w:pgSz w:w="11906" w:h="16838" w:code="9"/>
      <w:pgMar w:top="1417" w:right="1984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0FEC3" w14:textId="77777777" w:rsidR="00CA3EDC" w:rsidRDefault="00CA3EDC" w:rsidP="006E0FDA">
      <w:pPr>
        <w:spacing w:after="0" w:line="240" w:lineRule="auto"/>
      </w:pPr>
      <w:r>
        <w:separator/>
      </w:r>
    </w:p>
  </w:endnote>
  <w:endnote w:type="continuationSeparator" w:id="0">
    <w:p w14:paraId="779689F1" w14:textId="77777777" w:rsidR="00CA3EDC" w:rsidRDefault="00CA3ED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Malgun Goth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141441"/>
      <w:docPartObj>
        <w:docPartGallery w:val="Page Numbers (Bottom of Page)"/>
        <w:docPartUnique/>
      </w:docPartObj>
    </w:sdtPr>
    <w:sdtEndPr/>
    <w:sdtContent>
      <w:sdt>
        <w:sdtPr>
          <w:id w:val="269270705"/>
          <w:docPartObj>
            <w:docPartGallery w:val="Page Numbers (Top of Page)"/>
            <w:docPartUnique/>
          </w:docPartObj>
        </w:sdtPr>
        <w:sdtEndPr/>
        <w:sdtContent>
          <w:p w14:paraId="3DD9FB42" w14:textId="77777777" w:rsidR="00AB222B" w:rsidRDefault="00F132D5">
            <w:pPr>
              <w:pStyle w:val="defaultParagraph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 w:rsidR="0001626F">
              <w:rPr>
                <w:noProof/>
              </w:rPr>
              <w:t>1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 w:rsidR="0001626F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D4E62" w14:textId="77777777" w:rsidR="00CA3EDC" w:rsidRDefault="00CA3EDC" w:rsidP="006E0FDA">
      <w:pPr>
        <w:spacing w:after="0" w:line="240" w:lineRule="auto"/>
      </w:pPr>
      <w:r>
        <w:separator/>
      </w:r>
    </w:p>
  </w:footnote>
  <w:footnote w:type="continuationSeparator" w:id="0">
    <w:p w14:paraId="545CEF3B" w14:textId="77777777" w:rsidR="00CA3EDC" w:rsidRDefault="00CA3ED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2C7ED" w14:textId="38DCA6C8" w:rsidR="002D11AB" w:rsidRDefault="002D11A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F70C45" wp14:editId="6AD5FD32">
          <wp:simplePos x="0" y="0"/>
          <wp:positionH relativeFrom="margin">
            <wp:posOffset>3638550</wp:posOffset>
          </wp:positionH>
          <wp:positionV relativeFrom="paragraph">
            <wp:posOffset>-308610</wp:posOffset>
          </wp:positionV>
          <wp:extent cx="1390015" cy="469900"/>
          <wp:effectExtent l="0" t="0" r="635" b="6350"/>
          <wp:wrapTopAndBottom/>
          <wp:docPr id="6" name="obrázek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2D1E"/>
    <w:multiLevelType w:val="hybridMultilevel"/>
    <w:tmpl w:val="458A2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AC0"/>
    <w:multiLevelType w:val="hybridMultilevel"/>
    <w:tmpl w:val="F07C8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62B2"/>
    <w:multiLevelType w:val="hybridMultilevel"/>
    <w:tmpl w:val="29FAD81A"/>
    <w:lvl w:ilvl="0" w:tplc="4755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5F4D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866B43"/>
    <w:multiLevelType w:val="hybridMultilevel"/>
    <w:tmpl w:val="4F42F81E"/>
    <w:lvl w:ilvl="0" w:tplc="55511757">
      <w:start w:val="1"/>
      <w:numFmt w:val="decimal"/>
      <w:lvlText w:val="%1."/>
      <w:lvlJc w:val="left"/>
      <w:pPr>
        <w:ind w:left="720" w:hanging="360"/>
      </w:pPr>
    </w:lvl>
    <w:lvl w:ilvl="1" w:tplc="55511757" w:tentative="1">
      <w:start w:val="1"/>
      <w:numFmt w:val="lowerLetter"/>
      <w:lvlText w:val="%2."/>
      <w:lvlJc w:val="left"/>
      <w:pPr>
        <w:ind w:left="1440" w:hanging="360"/>
      </w:pPr>
    </w:lvl>
    <w:lvl w:ilvl="2" w:tplc="55511757" w:tentative="1">
      <w:start w:val="1"/>
      <w:numFmt w:val="lowerRoman"/>
      <w:lvlText w:val="%3."/>
      <w:lvlJc w:val="right"/>
      <w:pPr>
        <w:ind w:left="2160" w:hanging="180"/>
      </w:pPr>
    </w:lvl>
    <w:lvl w:ilvl="3" w:tplc="55511757" w:tentative="1">
      <w:start w:val="1"/>
      <w:numFmt w:val="decimal"/>
      <w:lvlText w:val="%4."/>
      <w:lvlJc w:val="left"/>
      <w:pPr>
        <w:ind w:left="2880" w:hanging="360"/>
      </w:pPr>
    </w:lvl>
    <w:lvl w:ilvl="4" w:tplc="55511757" w:tentative="1">
      <w:start w:val="1"/>
      <w:numFmt w:val="lowerLetter"/>
      <w:lvlText w:val="%5."/>
      <w:lvlJc w:val="left"/>
      <w:pPr>
        <w:ind w:left="3600" w:hanging="360"/>
      </w:pPr>
    </w:lvl>
    <w:lvl w:ilvl="5" w:tplc="55511757" w:tentative="1">
      <w:start w:val="1"/>
      <w:numFmt w:val="lowerRoman"/>
      <w:lvlText w:val="%6."/>
      <w:lvlJc w:val="right"/>
      <w:pPr>
        <w:ind w:left="4320" w:hanging="180"/>
      </w:pPr>
    </w:lvl>
    <w:lvl w:ilvl="6" w:tplc="55511757" w:tentative="1">
      <w:start w:val="1"/>
      <w:numFmt w:val="decimal"/>
      <w:lvlText w:val="%7."/>
      <w:lvlJc w:val="left"/>
      <w:pPr>
        <w:ind w:left="5040" w:hanging="360"/>
      </w:pPr>
    </w:lvl>
    <w:lvl w:ilvl="7" w:tplc="55511757" w:tentative="1">
      <w:start w:val="1"/>
      <w:numFmt w:val="lowerLetter"/>
      <w:lvlText w:val="%8."/>
      <w:lvlJc w:val="left"/>
      <w:pPr>
        <w:ind w:left="5760" w:hanging="360"/>
      </w:pPr>
    </w:lvl>
    <w:lvl w:ilvl="8" w:tplc="5551175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1626F"/>
    <w:rsid w:val="00065F9C"/>
    <w:rsid w:val="000B47DE"/>
    <w:rsid w:val="000F6147"/>
    <w:rsid w:val="00101F29"/>
    <w:rsid w:val="00112029"/>
    <w:rsid w:val="00135412"/>
    <w:rsid w:val="00144D47"/>
    <w:rsid w:val="00145100"/>
    <w:rsid w:val="0014611F"/>
    <w:rsid w:val="001B1DCA"/>
    <w:rsid w:val="002073FA"/>
    <w:rsid w:val="00207CAB"/>
    <w:rsid w:val="00226ED4"/>
    <w:rsid w:val="00261455"/>
    <w:rsid w:val="002D11AB"/>
    <w:rsid w:val="00340220"/>
    <w:rsid w:val="00361FF4"/>
    <w:rsid w:val="00377424"/>
    <w:rsid w:val="003B5299"/>
    <w:rsid w:val="00493A0C"/>
    <w:rsid w:val="004C370E"/>
    <w:rsid w:val="004D6B48"/>
    <w:rsid w:val="005266F3"/>
    <w:rsid w:val="00531A4E"/>
    <w:rsid w:val="00535F5A"/>
    <w:rsid w:val="00555F58"/>
    <w:rsid w:val="005D44F2"/>
    <w:rsid w:val="0062396A"/>
    <w:rsid w:val="006900A1"/>
    <w:rsid w:val="006B3316"/>
    <w:rsid w:val="006C6493"/>
    <w:rsid w:val="006E6663"/>
    <w:rsid w:val="006F1220"/>
    <w:rsid w:val="007268FA"/>
    <w:rsid w:val="007B72E2"/>
    <w:rsid w:val="0084637B"/>
    <w:rsid w:val="008476E5"/>
    <w:rsid w:val="00884698"/>
    <w:rsid w:val="008B3AC2"/>
    <w:rsid w:val="008C2DE2"/>
    <w:rsid w:val="008F680D"/>
    <w:rsid w:val="0091553A"/>
    <w:rsid w:val="00987907"/>
    <w:rsid w:val="009D158A"/>
    <w:rsid w:val="00A42AAE"/>
    <w:rsid w:val="00A46066"/>
    <w:rsid w:val="00A83CFB"/>
    <w:rsid w:val="00AC197E"/>
    <w:rsid w:val="00AF759D"/>
    <w:rsid w:val="00B17337"/>
    <w:rsid w:val="00B21D59"/>
    <w:rsid w:val="00BD419F"/>
    <w:rsid w:val="00C47924"/>
    <w:rsid w:val="00CA3EDC"/>
    <w:rsid w:val="00CE3266"/>
    <w:rsid w:val="00D146CE"/>
    <w:rsid w:val="00D429BC"/>
    <w:rsid w:val="00D62793"/>
    <w:rsid w:val="00DD5BA8"/>
    <w:rsid w:val="00DE14C9"/>
    <w:rsid w:val="00DE4024"/>
    <w:rsid w:val="00DF064E"/>
    <w:rsid w:val="00E30926"/>
    <w:rsid w:val="00EA75D4"/>
    <w:rsid w:val="00EF0629"/>
    <w:rsid w:val="00F132D5"/>
    <w:rsid w:val="00F57F51"/>
    <w:rsid w:val="00FA193A"/>
    <w:rsid w:val="00FA4C4A"/>
    <w:rsid w:val="00FB45FF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FB3B"/>
  <w15:docId w15:val="{DAA28D6B-C981-44B4-A584-E138ED8F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iPriority="0" w:unhideWhenUsed="1" w:qFormat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paragraph" w:styleId="Nadpis1">
    <w:name w:val="heading 1"/>
    <w:aliases w:val="Nadpis I"/>
    <w:basedOn w:val="Normln"/>
    <w:next w:val="Normln"/>
    <w:link w:val="Nadpis1Char"/>
    <w:qFormat/>
    <w:rsid w:val="003402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340220"/>
    <w:pPr>
      <w:keepNext/>
      <w:tabs>
        <w:tab w:val="num" w:pos="717"/>
      </w:tabs>
      <w:spacing w:before="240" w:after="60" w:line="240" w:lineRule="auto"/>
      <w:ind w:left="717" w:hanging="360"/>
      <w:outlineLvl w:val="1"/>
    </w:pPr>
    <w:rPr>
      <w:rFonts w:ascii="Arial" w:eastAsia="Times New Roman" w:hAnsi="Arial" w:cs="Times New Roman"/>
      <w:b/>
      <w:i/>
      <w:sz w:val="24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semiHidden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semiHidden/>
    <w:unhideWhenUsed/>
    <w:rsid w:val="006E0FDA"/>
  </w:style>
  <w:style w:type="paragraph" w:customStyle="1" w:styleId="Body2">
    <w:name w:val="Body2"/>
    <w:basedOn w:val="pParLevel2"/>
    <w:link w:val="Body2Car"/>
    <w:uiPriority w:val="99"/>
    <w:semiHidden/>
    <w:unhideWhenUsed/>
    <w:rsid w:val="006E0FDA"/>
  </w:style>
  <w:style w:type="character" w:customStyle="1" w:styleId="Body2Car">
    <w:name w:val="Body2Car"/>
    <w:link w:val="Body2"/>
    <w:uiPriority w:val="99"/>
    <w:semiHidden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character" w:customStyle="1" w:styleId="Nadpis1Char">
    <w:name w:val="Nadpis 1 Char"/>
    <w:aliases w:val="Nadpis I Char"/>
    <w:basedOn w:val="Standardnpsmoodstavce"/>
    <w:link w:val="Nadpis1"/>
    <w:rsid w:val="00340220"/>
    <w:rPr>
      <w:rFonts w:ascii="Times New Roman" w:eastAsia="Times New Roman" w:hAnsi="Times New Roman" w:cs="Times New Roman"/>
      <w:b/>
      <w:szCs w:val="20"/>
    </w:rPr>
  </w:style>
  <w:style w:type="character" w:customStyle="1" w:styleId="Nadpis2Char">
    <w:name w:val="Nadpis 2 Char"/>
    <w:basedOn w:val="Standardnpsmoodstavce"/>
    <w:link w:val="Nadpis2"/>
    <w:rsid w:val="00340220"/>
    <w:rPr>
      <w:rFonts w:ascii="Arial" w:eastAsia="Times New Roman" w:hAnsi="Arial" w:cs="Times New Roman"/>
      <w:b/>
      <w:i/>
      <w:sz w:val="24"/>
      <w:szCs w:val="20"/>
      <w:lang w:val="en-GB"/>
    </w:rPr>
  </w:style>
  <w:style w:type="paragraph" w:styleId="Odstavecseseznamem">
    <w:name w:val="List Paragraph"/>
    <w:basedOn w:val="Normln"/>
    <w:link w:val="OdstavecseseznamemChar"/>
    <w:uiPriority w:val="72"/>
    <w:qFormat/>
    <w:rsid w:val="0034022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40220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11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1AB"/>
  </w:style>
  <w:style w:type="paragraph" w:styleId="Zpat">
    <w:name w:val="footer"/>
    <w:basedOn w:val="Normln"/>
    <w:link w:val="ZpatChar"/>
    <w:uiPriority w:val="99"/>
    <w:unhideWhenUsed/>
    <w:rsid w:val="002D11A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1AB"/>
  </w:style>
  <w:style w:type="paragraph" w:styleId="Zkladntext3">
    <w:name w:val="Body Text 3"/>
    <w:basedOn w:val="Normln"/>
    <w:link w:val="Zkladntext3Char"/>
    <w:semiHidden/>
    <w:rsid w:val="0026145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261455"/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semiHidden/>
    <w:rsid w:val="00261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iTiSPM.cz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5443320D78F4BB8B9F8C321F8B2B5" ma:contentTypeVersion="7" ma:contentTypeDescription="Vytvoří nový dokument" ma:contentTypeScope="" ma:versionID="b3380b858d28ae94ac08f3bbc9b5bcc1">
  <xsd:schema xmlns:xsd="http://www.w3.org/2001/XMLSchema" xmlns:xs="http://www.w3.org/2001/XMLSchema" xmlns:p="http://schemas.microsoft.com/office/2006/metadata/properties" xmlns:ns2="f46badc5-bfd7-416c-b5b3-24c6ffdc9f95" xmlns:ns3="4e543e57-fbac-4bd2-b3a3-a6a5378f57fb" targetNamespace="http://schemas.microsoft.com/office/2006/metadata/properties" ma:root="true" ma:fieldsID="3de10b4b669fe158f6f80268b59608b7" ns2:_="" ns3:_="">
    <xsd:import namespace="f46badc5-bfd7-416c-b5b3-24c6ffdc9f95"/>
    <xsd:import namespace="4e543e57-fbac-4bd2-b3a3-a6a5378f57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badc5-bfd7-416c-b5b3-24c6ffdc9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43e57-fbac-4bd2-b3a3-a6a5378f57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7803-F371-4033-98D0-2EA858ACF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7D73C-0DE2-4193-8ACD-3CB9BF52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badc5-bfd7-416c-b5b3-24c6ffdc9f95"/>
    <ds:schemaRef ds:uri="4e543e57-fbac-4bd2-b3a3-a6a5378f5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8ED35-116A-4C6C-8BB3-7202A241E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9DDD0-ADAC-4D90-B9AA-5ECC2A66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Příloha č. 1</vt:lpstr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</dc:title>
  <dc:subject/>
  <dc:creator>vlastimil@itispm.cz</dc:creator>
  <cp:keywords/>
  <dc:description/>
  <cp:lastModifiedBy>Peštová</cp:lastModifiedBy>
  <cp:revision>2</cp:revision>
  <dcterms:created xsi:type="dcterms:W3CDTF">2018-04-30T15:13:00Z</dcterms:created>
  <dcterms:modified xsi:type="dcterms:W3CDTF">2018-04-30T15:13:00Z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0x0101006E05443320D78F4BB8B9F8C321F8B2B5</vt:lpwstr>
  </property>
</Properties>
</file>