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9DDDC" w14:textId="77777777" w:rsidR="005E7670" w:rsidRDefault="002E14E6" w:rsidP="0024494A">
      <w:pPr>
        <w:pStyle w:val="Nzev"/>
        <w:keepNext/>
        <w:keepLines/>
      </w:pPr>
      <w:r>
        <w:t>SMLOUVA O POSKYTNUTÍ PORADENSKÝCH SLUŽEB</w:t>
      </w:r>
    </w:p>
    <w:p w14:paraId="26F0F5C0" w14:textId="77777777" w:rsidR="002E14E6" w:rsidRPr="002E14E6" w:rsidRDefault="002E14E6" w:rsidP="0024494A">
      <w:pPr>
        <w:keepNext/>
        <w:keepLines/>
      </w:pPr>
    </w:p>
    <w:p w14:paraId="05107C67" w14:textId="77777777" w:rsidR="004A03E7" w:rsidRPr="004A03E7" w:rsidRDefault="004A03E7" w:rsidP="0024494A">
      <w:pPr>
        <w:keepNext/>
        <w:keepLines/>
        <w:rPr>
          <w:b/>
        </w:rPr>
      </w:pPr>
      <w:r w:rsidRPr="004A03E7">
        <w:rPr>
          <w:b/>
        </w:rPr>
        <w:t>Univerzita Hradec Králové</w:t>
      </w:r>
    </w:p>
    <w:p w14:paraId="64813C7E" w14:textId="77777777" w:rsidR="004A03E7" w:rsidRDefault="004A03E7" w:rsidP="0024494A">
      <w:pPr>
        <w:keepNext/>
        <w:keepLines/>
      </w:pPr>
      <w:proofErr w:type="spellStart"/>
      <w:r>
        <w:t>Rokitanského</w:t>
      </w:r>
      <w:proofErr w:type="spellEnd"/>
      <w:r>
        <w:t xml:space="preserve"> 62, 500 03 Hradec Králové III</w:t>
      </w:r>
    </w:p>
    <w:p w14:paraId="4CFA9164" w14:textId="50413345" w:rsidR="004A03E7" w:rsidRDefault="004A03E7" w:rsidP="0024494A">
      <w:pPr>
        <w:keepNext/>
        <w:keepLines/>
      </w:pPr>
      <w:r w:rsidRPr="00305930">
        <w:t xml:space="preserve">Zastoupená: </w:t>
      </w:r>
      <w:r w:rsidR="00142B3D" w:rsidRPr="00305930">
        <w:t>prof. Ing. Kamilem Kučou, Ph.D., rektorem</w:t>
      </w:r>
    </w:p>
    <w:p w14:paraId="43A882CB" w14:textId="77777777" w:rsidR="004A03E7" w:rsidRDefault="004A03E7" w:rsidP="0024494A">
      <w:pPr>
        <w:keepNext/>
        <w:keepLines/>
      </w:pPr>
      <w:r>
        <w:t>IČO: 62690094</w:t>
      </w:r>
    </w:p>
    <w:p w14:paraId="32AE7AF1" w14:textId="77777777" w:rsidR="00987934" w:rsidRPr="00CA41C8" w:rsidRDefault="004A03E7" w:rsidP="0024494A">
      <w:pPr>
        <w:keepNext/>
        <w:keepLines/>
      </w:pPr>
      <w:r>
        <w:t>DIČ: CZ62690094</w:t>
      </w:r>
    </w:p>
    <w:p w14:paraId="6AAF372E" w14:textId="77777777" w:rsidR="002E14E6" w:rsidRPr="002E14E6" w:rsidRDefault="002E14E6" w:rsidP="0024494A">
      <w:pPr>
        <w:keepNext/>
        <w:keepLines/>
        <w:rPr>
          <w:b/>
        </w:rPr>
      </w:pPr>
      <w:r w:rsidRPr="00D67D71">
        <w:t xml:space="preserve">(dále </w:t>
      </w:r>
      <w:proofErr w:type="spellStart"/>
      <w:r w:rsidRPr="00D67D71">
        <w:t>jen</w:t>
      </w:r>
      <w:r w:rsidRPr="002E14E6">
        <w:rPr>
          <w:b/>
          <w:i/>
        </w:rPr>
        <w:t>"Objednatel</w:t>
      </w:r>
      <w:proofErr w:type="spellEnd"/>
      <w:r w:rsidRPr="002E14E6">
        <w:rPr>
          <w:b/>
          <w:i/>
        </w:rPr>
        <w:t>"</w:t>
      </w:r>
      <w:r w:rsidRPr="00D67D71">
        <w:t>)</w:t>
      </w:r>
    </w:p>
    <w:p w14:paraId="5EE4D26D" w14:textId="77777777" w:rsidR="004A03E7" w:rsidRDefault="004A03E7" w:rsidP="0024494A">
      <w:pPr>
        <w:keepNext/>
        <w:keepLines/>
      </w:pPr>
    </w:p>
    <w:p w14:paraId="0B697CF6" w14:textId="77777777" w:rsidR="002E14E6" w:rsidRDefault="002E14E6" w:rsidP="0024494A">
      <w:pPr>
        <w:keepNext/>
        <w:keepLines/>
      </w:pPr>
      <w:r>
        <w:t>na straně jedné</w:t>
      </w:r>
    </w:p>
    <w:p w14:paraId="68EBA947" w14:textId="77777777" w:rsidR="002E14E6" w:rsidRDefault="002E14E6" w:rsidP="0024494A">
      <w:pPr>
        <w:keepNext/>
        <w:keepLines/>
      </w:pPr>
    </w:p>
    <w:p w14:paraId="33CA06AC" w14:textId="77777777" w:rsidR="002E14E6" w:rsidRDefault="002E14E6" w:rsidP="0024494A">
      <w:pPr>
        <w:keepNext/>
        <w:keepLines/>
      </w:pPr>
      <w:r>
        <w:t>a</w:t>
      </w:r>
    </w:p>
    <w:p w14:paraId="686ED451" w14:textId="77777777" w:rsidR="002E14E6" w:rsidRDefault="002E14E6" w:rsidP="0024494A">
      <w:pPr>
        <w:keepNext/>
        <w:keepLines/>
      </w:pPr>
    </w:p>
    <w:p w14:paraId="7ED40D79" w14:textId="77777777" w:rsidR="002E14E6" w:rsidRPr="002E14E6" w:rsidRDefault="002E14E6" w:rsidP="0024494A">
      <w:pPr>
        <w:keepNext/>
        <w:keepLines/>
        <w:rPr>
          <w:b/>
        </w:rPr>
      </w:pPr>
      <w:r w:rsidRPr="002E14E6">
        <w:rPr>
          <w:b/>
        </w:rPr>
        <w:t xml:space="preserve">HOLEC, ZUSKA &amp; Partneři, sdružení advokátů </w:t>
      </w:r>
    </w:p>
    <w:p w14:paraId="2815EA4C" w14:textId="77777777" w:rsidR="002E14E6" w:rsidRDefault="002E14E6" w:rsidP="0024494A">
      <w:pPr>
        <w:keepNext/>
        <w:keepLines/>
      </w:pPr>
      <w:r>
        <w:t xml:space="preserve">se sídlem: Radlická 3185/1c, </w:t>
      </w:r>
      <w:r w:rsidR="00CA41C8">
        <w:t xml:space="preserve">150 00 </w:t>
      </w:r>
      <w:r>
        <w:t>Praha 5</w:t>
      </w:r>
      <w:r w:rsidR="00CA41C8">
        <w:t xml:space="preserve"> - Smíchov</w:t>
      </w:r>
    </w:p>
    <w:p w14:paraId="6BCA2B84" w14:textId="77777777" w:rsidR="002E14E6" w:rsidRDefault="00972CC0" w:rsidP="0024494A">
      <w:pPr>
        <w:keepNext/>
        <w:keepLines/>
      </w:pPr>
      <w:r>
        <w:t>zastoupená</w:t>
      </w:r>
      <w:r w:rsidR="002E14E6">
        <w:t>: JUDr. Karl</w:t>
      </w:r>
      <w:r w:rsidR="00CA41C8">
        <w:t>em</w:t>
      </w:r>
      <w:r w:rsidR="002E14E6">
        <w:t xml:space="preserve"> Zusk</w:t>
      </w:r>
      <w:r w:rsidR="00CA41C8">
        <w:t>ou</w:t>
      </w:r>
      <w:r w:rsidR="002E14E6">
        <w:t>, partner</w:t>
      </w:r>
      <w:r w:rsidR="00CA41C8">
        <w:t>em</w:t>
      </w:r>
    </w:p>
    <w:p w14:paraId="45F452DA" w14:textId="77777777" w:rsidR="00CA41C8" w:rsidRDefault="002E14E6" w:rsidP="0024494A">
      <w:pPr>
        <w:keepNext/>
        <w:keepLines/>
      </w:pPr>
      <w:r>
        <w:t>IČO</w:t>
      </w:r>
      <w:r w:rsidR="00CA41C8">
        <w:t>:</w:t>
      </w:r>
      <w:r>
        <w:t xml:space="preserve"> 66231051 </w:t>
      </w:r>
    </w:p>
    <w:p w14:paraId="491B3E40" w14:textId="77777777" w:rsidR="00CA41C8" w:rsidRDefault="00CA41C8" w:rsidP="0024494A">
      <w:pPr>
        <w:keepNext/>
        <w:keepLines/>
      </w:pPr>
      <w:r>
        <w:t xml:space="preserve">DIČ: </w:t>
      </w:r>
      <w:r w:rsidRPr="00C3242F">
        <w:t xml:space="preserve">CZ5912220776 </w:t>
      </w:r>
    </w:p>
    <w:p w14:paraId="352FFAE9" w14:textId="77777777" w:rsidR="002E14E6" w:rsidRDefault="002E14E6" w:rsidP="0024494A">
      <w:pPr>
        <w:keepNext/>
        <w:keepLines/>
      </w:pPr>
      <w:r>
        <w:t xml:space="preserve">bankovní spojení: Československá obchodní banka, a.s. </w:t>
      </w:r>
    </w:p>
    <w:p w14:paraId="0CB9986F" w14:textId="4B899BA5" w:rsidR="002E14E6" w:rsidRDefault="002E14E6" w:rsidP="0024494A">
      <w:pPr>
        <w:keepNext/>
        <w:keepLines/>
      </w:pPr>
      <w:r>
        <w:t xml:space="preserve">číslo účtu: </w:t>
      </w:r>
      <w:proofErr w:type="spellStart"/>
      <w:r w:rsidR="00A72AB9">
        <w:t>xxx</w:t>
      </w:r>
      <w:proofErr w:type="spellEnd"/>
      <w:r>
        <w:t xml:space="preserve"> </w:t>
      </w:r>
    </w:p>
    <w:p w14:paraId="4719A15B" w14:textId="77777777" w:rsidR="002E14E6" w:rsidRPr="002E14E6" w:rsidRDefault="002E14E6" w:rsidP="0024494A">
      <w:pPr>
        <w:keepNext/>
        <w:keepLines/>
        <w:rPr>
          <w:b/>
        </w:rPr>
      </w:pPr>
      <w:r w:rsidRPr="00D67D71">
        <w:t xml:space="preserve">(dále </w:t>
      </w:r>
      <w:proofErr w:type="spellStart"/>
      <w:r w:rsidRPr="00D67D71">
        <w:t>jen</w:t>
      </w:r>
      <w:r w:rsidRPr="002E14E6">
        <w:rPr>
          <w:b/>
          <w:i/>
        </w:rPr>
        <w:t>"Poradce</w:t>
      </w:r>
      <w:proofErr w:type="spellEnd"/>
      <w:r w:rsidRPr="002E14E6">
        <w:rPr>
          <w:b/>
          <w:i/>
        </w:rPr>
        <w:t>"</w:t>
      </w:r>
      <w:r w:rsidRPr="00D67D71">
        <w:t>)</w:t>
      </w:r>
    </w:p>
    <w:p w14:paraId="3D500164" w14:textId="77777777" w:rsidR="002E14E6" w:rsidRDefault="002E14E6" w:rsidP="0024494A">
      <w:pPr>
        <w:keepNext/>
        <w:keepLines/>
      </w:pPr>
    </w:p>
    <w:p w14:paraId="4152314B" w14:textId="77777777" w:rsidR="002E14E6" w:rsidRDefault="002E14E6" w:rsidP="0024494A">
      <w:pPr>
        <w:keepNext/>
        <w:keepLines/>
      </w:pPr>
      <w:r>
        <w:t>na straně druhé</w:t>
      </w:r>
    </w:p>
    <w:p w14:paraId="0939ED88" w14:textId="77777777" w:rsidR="002E14E6" w:rsidRDefault="002E14E6" w:rsidP="0024494A">
      <w:pPr>
        <w:keepNext/>
        <w:keepLines/>
      </w:pPr>
    </w:p>
    <w:p w14:paraId="0E5A215F" w14:textId="77777777" w:rsidR="002E14E6" w:rsidRDefault="002E14E6" w:rsidP="0024494A">
      <w:pPr>
        <w:keepNext/>
        <w:keepLines/>
      </w:pPr>
    </w:p>
    <w:p w14:paraId="32BEFE5F" w14:textId="77777777" w:rsidR="002E14E6" w:rsidRPr="002E14E6" w:rsidRDefault="002E14E6" w:rsidP="0024494A">
      <w:pPr>
        <w:keepNext/>
        <w:keepLines/>
        <w:rPr>
          <w:b/>
        </w:rPr>
      </w:pPr>
      <w:r w:rsidRPr="002E14E6">
        <w:rPr>
          <w:b/>
        </w:rPr>
        <w:t>uzavřeli dále uvedeného dne, měsíce a roku tuto</w:t>
      </w:r>
    </w:p>
    <w:p w14:paraId="64315994" w14:textId="77777777" w:rsidR="002E14E6" w:rsidRDefault="002E14E6" w:rsidP="0024494A">
      <w:pPr>
        <w:keepNext/>
        <w:keepLines/>
      </w:pPr>
    </w:p>
    <w:p w14:paraId="54465F27" w14:textId="77777777" w:rsidR="002E14E6" w:rsidRPr="002E14E6" w:rsidRDefault="002E14E6" w:rsidP="0024494A">
      <w:pPr>
        <w:keepNext/>
        <w:keepLines/>
        <w:jc w:val="center"/>
        <w:rPr>
          <w:b/>
        </w:rPr>
      </w:pPr>
      <w:r w:rsidRPr="002E14E6">
        <w:rPr>
          <w:b/>
        </w:rPr>
        <w:t>Smlouvu o poskytnutí poradenských služeb</w:t>
      </w:r>
    </w:p>
    <w:p w14:paraId="2ABD3396" w14:textId="77777777" w:rsidR="002E14E6" w:rsidRDefault="002E14E6" w:rsidP="0024494A">
      <w:pPr>
        <w:keepNext/>
        <w:keepLines/>
        <w:jc w:val="center"/>
        <w:rPr>
          <w:b/>
          <w:i/>
        </w:rPr>
      </w:pPr>
      <w:r w:rsidRPr="002E14E6">
        <w:rPr>
          <w:b/>
          <w:i/>
        </w:rPr>
        <w:t>("Smlouva")</w:t>
      </w:r>
    </w:p>
    <w:p w14:paraId="3770C1DB" w14:textId="77777777" w:rsidR="002E14E6" w:rsidRDefault="002E14E6" w:rsidP="0024494A">
      <w:pPr>
        <w:keepNext/>
        <w:keepLines/>
        <w:ind w:left="2127" w:firstLine="709"/>
        <w:rPr>
          <w:b/>
          <w:i/>
        </w:rPr>
      </w:pPr>
    </w:p>
    <w:p w14:paraId="7BC9C985" w14:textId="77777777" w:rsidR="002E14E6" w:rsidRDefault="002E14E6" w:rsidP="0024494A">
      <w:pPr>
        <w:pStyle w:val="Nadpis1"/>
        <w:keepLines/>
      </w:pPr>
      <w:r>
        <w:t>Předmět smlouvy</w:t>
      </w:r>
    </w:p>
    <w:p w14:paraId="0744E0CA" w14:textId="77777777" w:rsidR="002E14E6" w:rsidRDefault="002E14E6" w:rsidP="0024494A">
      <w:pPr>
        <w:pStyle w:val="Nadpis2"/>
        <w:keepLines/>
      </w:pPr>
      <w:r>
        <w:t xml:space="preserve">Poradce se zavazuje poskytnout Objednateli plnění spočívající v právním poradenství při organizaci </w:t>
      </w:r>
      <w:r w:rsidR="004A03E7">
        <w:t>nadlimitní veřejné zakázky na dodávku IT systému</w:t>
      </w:r>
      <w:r>
        <w:t xml:space="preserve"> a </w:t>
      </w:r>
      <w:r w:rsidR="004A03E7">
        <w:t>zajištění administrace zadávacího řízení</w:t>
      </w:r>
      <w:r w:rsidR="00FF3E86">
        <w:t xml:space="preserve"> (dále jen „</w:t>
      </w:r>
      <w:r w:rsidR="00FF3E86" w:rsidRPr="00FF3E86">
        <w:rPr>
          <w:b/>
          <w:i/>
        </w:rPr>
        <w:t>Zadávací řízení</w:t>
      </w:r>
      <w:r w:rsidR="00FF3E86">
        <w:t>“)</w:t>
      </w:r>
      <w:r w:rsidR="00987934">
        <w:t>.</w:t>
      </w:r>
    </w:p>
    <w:p w14:paraId="78706764" w14:textId="77777777" w:rsidR="00987934" w:rsidRDefault="002E14E6" w:rsidP="0024494A">
      <w:pPr>
        <w:pStyle w:val="Nadpis2"/>
        <w:keepLines/>
      </w:pPr>
      <w:r>
        <w:t>Služby Poradce zahrnují následující činnost</w:t>
      </w:r>
      <w:r w:rsidR="004A03E7">
        <w:t>i</w:t>
      </w:r>
      <w:r w:rsidR="00987934">
        <w:t>:</w:t>
      </w:r>
    </w:p>
    <w:p w14:paraId="0B3B6882" w14:textId="77777777" w:rsidR="002E14E6" w:rsidRDefault="002E14E6" w:rsidP="0024494A">
      <w:pPr>
        <w:keepNext/>
        <w:keepLines/>
        <w:ind w:left="992" w:firstLine="709"/>
      </w:pPr>
    </w:p>
    <w:p w14:paraId="0124FC67" w14:textId="485CD5BA" w:rsidR="00B00BA9" w:rsidRPr="00B00BA9" w:rsidRDefault="002E14E6" w:rsidP="0024494A">
      <w:pPr>
        <w:pStyle w:val="Odrazka2"/>
        <w:keepNext/>
        <w:keepLines/>
        <w:tabs>
          <w:tab w:val="clear" w:pos="794"/>
          <w:tab w:val="num" w:pos="1276"/>
        </w:tabs>
        <w:ind w:left="1276" w:hanging="425"/>
      </w:pPr>
      <w:r>
        <w:lastRenderedPageBreak/>
        <w:t xml:space="preserve">Zpracování </w:t>
      </w:r>
      <w:r w:rsidR="00FF3E86">
        <w:t>zadávací dokumentace</w:t>
      </w:r>
      <w:r>
        <w:t xml:space="preserve"> pro </w:t>
      </w:r>
      <w:r w:rsidR="00987934">
        <w:t>Z</w:t>
      </w:r>
      <w:r>
        <w:t>adávací řízení včetně návrh</w:t>
      </w:r>
      <w:r w:rsidR="00FF3E86">
        <w:t>u</w:t>
      </w:r>
      <w:r w:rsidR="00B00BA9">
        <w:t xml:space="preserve"> </w:t>
      </w:r>
      <w:r w:rsidR="00FF3E86">
        <w:t>realizační</w:t>
      </w:r>
      <w:r w:rsidR="00B00BA9">
        <w:t xml:space="preserve"> </w:t>
      </w:r>
      <w:r w:rsidR="00FF3E86">
        <w:t>smlouvy</w:t>
      </w:r>
      <w:r w:rsidR="002441BE">
        <w:t xml:space="preserve"> podle pokladů Objednatele</w:t>
      </w:r>
      <w:r w:rsidR="00B00BA9">
        <w:t xml:space="preserve"> </w:t>
      </w:r>
      <w:r w:rsidR="00362762">
        <w:t xml:space="preserve">a dalších úkonů zadávacího řízení, a to </w:t>
      </w:r>
      <w:r w:rsidR="00B00BA9">
        <w:t>zejména:</w:t>
      </w:r>
    </w:p>
    <w:p w14:paraId="02F39F3D" w14:textId="77777777" w:rsidR="00B00BA9" w:rsidRPr="0024494A" w:rsidRDefault="00B00BA9" w:rsidP="0024494A">
      <w:pPr>
        <w:pStyle w:val="Odrazka3"/>
        <w:keepNext/>
        <w:keepLines/>
        <w:ind w:left="1701"/>
      </w:pPr>
      <w:r w:rsidRPr="0024494A">
        <w:t>Zpracování textu výzvy k podání nabídky</w:t>
      </w:r>
    </w:p>
    <w:p w14:paraId="573093E4" w14:textId="77777777" w:rsidR="00B00BA9" w:rsidRPr="0024494A" w:rsidRDefault="00B00BA9" w:rsidP="0024494A">
      <w:pPr>
        <w:pStyle w:val="Odrazka3"/>
        <w:keepNext/>
        <w:keepLines/>
        <w:ind w:left="1701"/>
      </w:pPr>
      <w:r w:rsidRPr="0024494A">
        <w:t xml:space="preserve">Zpracování textové části zadávací dokumentace </w:t>
      </w:r>
    </w:p>
    <w:p w14:paraId="7DA68806" w14:textId="77777777" w:rsidR="00B00BA9" w:rsidRPr="0024494A" w:rsidRDefault="00B00BA9" w:rsidP="0024494A">
      <w:pPr>
        <w:pStyle w:val="Odrazka3"/>
        <w:keepNext/>
        <w:keepLines/>
        <w:ind w:left="1701"/>
      </w:pPr>
      <w:r w:rsidRPr="0024494A">
        <w:t xml:space="preserve">Zpracování odpovědí na dotazy zájemců k vyjasnění zadávací dokumentace a jejich </w:t>
      </w:r>
      <w:r w:rsidR="0024494A">
        <w:t>součinnost při publikaci na profilu zadavatele</w:t>
      </w:r>
    </w:p>
    <w:p w14:paraId="78BD38E0" w14:textId="77777777" w:rsidR="00B00BA9" w:rsidRPr="0024494A" w:rsidRDefault="004C707A" w:rsidP="0024494A">
      <w:pPr>
        <w:pStyle w:val="Odrazka3"/>
        <w:keepNext/>
        <w:keepLines/>
        <w:ind w:left="1701"/>
      </w:pPr>
      <w:r w:rsidRPr="0024494A">
        <w:t xml:space="preserve">Zabezpečit celý </w:t>
      </w:r>
      <w:r w:rsidR="00B00BA9" w:rsidRPr="0024494A">
        <w:t>průběh přijímání nabídek, včetně pořízení potřebných dokumentů</w:t>
      </w:r>
    </w:p>
    <w:p w14:paraId="0E3BDC65" w14:textId="77777777" w:rsidR="00B00BA9" w:rsidRPr="0024494A" w:rsidRDefault="00B00BA9" w:rsidP="0024494A">
      <w:pPr>
        <w:pStyle w:val="Odrazka3"/>
        <w:keepNext/>
        <w:keepLines/>
        <w:ind w:left="1701"/>
      </w:pPr>
      <w:r w:rsidRPr="0024494A">
        <w:t>Organizačně zabezpeč</w:t>
      </w:r>
      <w:r w:rsidR="004C707A" w:rsidRPr="0024494A">
        <w:t>it otevírání obálek s nabídkami</w:t>
      </w:r>
      <w:r w:rsidRPr="0024494A">
        <w:t>, včetně sestavení protokolu o otevírání obálek s nabídkami</w:t>
      </w:r>
    </w:p>
    <w:p w14:paraId="2982BB47" w14:textId="77777777" w:rsidR="00B00BA9" w:rsidRPr="0024494A" w:rsidRDefault="00B00BA9" w:rsidP="0024494A">
      <w:pPr>
        <w:pStyle w:val="Odrazka3"/>
        <w:keepNext/>
        <w:keepLines/>
        <w:ind w:left="1701"/>
      </w:pPr>
      <w:r w:rsidRPr="0024494A">
        <w:t>Připravení podkladů pro hodnotící komisi pro posouzení hodnocení nabídek</w:t>
      </w:r>
    </w:p>
    <w:p w14:paraId="17574932" w14:textId="77777777" w:rsidR="00B00BA9" w:rsidRPr="0024494A" w:rsidRDefault="00B00BA9" w:rsidP="0024494A">
      <w:pPr>
        <w:pStyle w:val="Odrazka3"/>
        <w:keepNext/>
        <w:keepLines/>
        <w:ind w:left="1701"/>
      </w:pPr>
      <w:r w:rsidRPr="0024494A">
        <w:t>Připravení čestného prohlášení členů (případně náhradníků) hodnotící komise</w:t>
      </w:r>
    </w:p>
    <w:p w14:paraId="0A9FB1B3" w14:textId="40E5DE1A" w:rsidR="00B00BA9" w:rsidRPr="0024494A" w:rsidRDefault="00B00BA9" w:rsidP="0024494A">
      <w:pPr>
        <w:pStyle w:val="Odrazka3"/>
        <w:keepNext/>
        <w:keepLines/>
        <w:ind w:left="1701"/>
      </w:pPr>
      <w:r w:rsidRPr="0024494A">
        <w:t>Zpracování protokolů z</w:t>
      </w:r>
      <w:r w:rsidR="00362762">
        <w:t> </w:t>
      </w:r>
      <w:r w:rsidRPr="0024494A">
        <w:t>jednání</w:t>
      </w:r>
      <w:r w:rsidR="00362762">
        <w:t xml:space="preserve"> hodnotící</w:t>
      </w:r>
      <w:r w:rsidRPr="0024494A">
        <w:t xml:space="preserve"> komise až po vypracování závěrečné Zprávy o hodnocení nabídek</w:t>
      </w:r>
    </w:p>
    <w:p w14:paraId="2B70CBC9" w14:textId="77777777" w:rsidR="00B00BA9" w:rsidRPr="0024494A" w:rsidRDefault="00B00BA9" w:rsidP="0024494A">
      <w:pPr>
        <w:pStyle w:val="Odrazka3"/>
        <w:keepNext/>
        <w:keepLines/>
        <w:ind w:left="1701"/>
      </w:pPr>
      <w:r w:rsidRPr="0024494A">
        <w:t>Oznámení přidělení veřejné zakázky všem dodavatelům, kteří podali nabídku</w:t>
      </w:r>
    </w:p>
    <w:p w14:paraId="2146BADC" w14:textId="7250EC1D" w:rsidR="00B00BA9" w:rsidRDefault="00B00BA9" w:rsidP="0024494A">
      <w:pPr>
        <w:pStyle w:val="Odrazka3"/>
        <w:keepNext/>
        <w:keepLines/>
        <w:ind w:left="1701"/>
      </w:pPr>
      <w:r w:rsidRPr="0024494A">
        <w:t>Kompletaci archivní dokumentace o průběhu zadání</w:t>
      </w:r>
    </w:p>
    <w:p w14:paraId="313CE983" w14:textId="0A96CB67" w:rsidR="00362762" w:rsidRDefault="00362762" w:rsidP="0024494A">
      <w:pPr>
        <w:pStyle w:val="Odrazka3"/>
        <w:keepNext/>
        <w:keepLines/>
        <w:ind w:left="1701"/>
      </w:pPr>
      <w:r>
        <w:t>Podpora zadavatele při vyřízení podaných námitek</w:t>
      </w:r>
    </w:p>
    <w:p w14:paraId="257F0D19" w14:textId="279599E0" w:rsidR="00362762" w:rsidRPr="0024494A" w:rsidRDefault="00362762" w:rsidP="0024494A">
      <w:pPr>
        <w:pStyle w:val="Odrazka3"/>
        <w:keepNext/>
        <w:keepLines/>
        <w:ind w:left="1701"/>
      </w:pPr>
      <w:r>
        <w:t>Podpora zadavatele v případném správním řízení vedeném před ÚOHS</w:t>
      </w:r>
    </w:p>
    <w:p w14:paraId="603CE03C" w14:textId="77777777" w:rsidR="002E14E6" w:rsidRDefault="002E14E6" w:rsidP="0024494A">
      <w:pPr>
        <w:pStyle w:val="Nadpis2"/>
        <w:keepLines/>
      </w:pPr>
      <w:r>
        <w:t xml:space="preserve">Objednatel se zavazuje za realizaci </w:t>
      </w:r>
      <w:r w:rsidR="00CA41C8">
        <w:t>Zadávací</w:t>
      </w:r>
      <w:r w:rsidR="00FF3E86">
        <w:t>ho</w:t>
      </w:r>
      <w:r w:rsidR="00CA41C8">
        <w:t xml:space="preserve"> řízení</w:t>
      </w:r>
      <w:r>
        <w:t xml:space="preserve"> zaplatit Poradci cenu ve výši a za podmínek </w:t>
      </w:r>
      <w:proofErr w:type="gramStart"/>
      <w:r>
        <w:t xml:space="preserve">uvedených v </w:t>
      </w:r>
      <w:proofErr w:type="spellStart"/>
      <w:r>
        <w:t>čI</w:t>
      </w:r>
      <w:proofErr w:type="spellEnd"/>
      <w:proofErr w:type="gramEnd"/>
      <w:r>
        <w:t>. 5. této Smlouvy.</w:t>
      </w:r>
    </w:p>
    <w:p w14:paraId="1A733B03" w14:textId="77777777" w:rsidR="002E14E6" w:rsidRDefault="002E14E6" w:rsidP="0024494A">
      <w:pPr>
        <w:pStyle w:val="Nadpis1"/>
        <w:keepLines/>
      </w:pPr>
      <w:r w:rsidRPr="002E14E6">
        <w:t>Povinnosti Poradce</w:t>
      </w:r>
    </w:p>
    <w:p w14:paraId="51AB9411" w14:textId="77777777" w:rsidR="002E14E6" w:rsidRDefault="002E14E6" w:rsidP="0024494A">
      <w:pPr>
        <w:pStyle w:val="Nadpis2"/>
        <w:keepLines/>
      </w:pPr>
      <w:r>
        <w:t xml:space="preserve">Poradce je povinen postupovat při realizaci předmětu smlouvy s odbornou péčí. </w:t>
      </w:r>
    </w:p>
    <w:p w14:paraId="3E5C2FEF" w14:textId="77777777" w:rsidR="002E14E6" w:rsidRDefault="002E14E6" w:rsidP="0024494A">
      <w:pPr>
        <w:pStyle w:val="Nadpis2"/>
        <w:keepLines/>
      </w:pPr>
      <w:r>
        <w:t xml:space="preserve">Poradce zodpovídá za skutečnost, že Zadávací řízení budou realizována plně </w:t>
      </w:r>
      <w:r w:rsidR="00CA41C8">
        <w:t xml:space="preserve">v souladu </w:t>
      </w:r>
      <w:r w:rsidR="002441BE">
        <w:t xml:space="preserve">se </w:t>
      </w:r>
      <w:bookmarkStart w:id="0" w:name="OLE_LINK1"/>
      <w:r w:rsidR="002441BE">
        <w:t xml:space="preserve">zák. č. </w:t>
      </w:r>
      <w:r w:rsidR="00972CC0" w:rsidRPr="00972CC0">
        <w:t>134/2016 Sb., o zadávání veřejných zakázek</w:t>
      </w:r>
      <w:r w:rsidR="00CA41C8">
        <w:t>, ve znění pozdějších předpisů</w:t>
      </w:r>
      <w:bookmarkEnd w:id="0"/>
      <w:r w:rsidR="004C707A">
        <w:t xml:space="preserve"> </w:t>
      </w:r>
      <w:r w:rsidR="002441BE">
        <w:t xml:space="preserve">a případně </w:t>
      </w:r>
      <w:r w:rsidR="00CA41C8">
        <w:t xml:space="preserve">s </w:t>
      </w:r>
      <w:r w:rsidR="002441BE">
        <w:t>pravidly příslušného poskytovatele finanční podpory</w:t>
      </w:r>
      <w:r w:rsidR="00CA41C8">
        <w:t xml:space="preserve"> a interními předpisy objednatele</w:t>
      </w:r>
      <w:r w:rsidR="002441BE">
        <w:t>.</w:t>
      </w:r>
    </w:p>
    <w:p w14:paraId="71A7C2E8" w14:textId="77777777" w:rsidR="002E14E6" w:rsidRDefault="002E14E6" w:rsidP="0024494A">
      <w:pPr>
        <w:pStyle w:val="Nadpis2"/>
        <w:keepLines/>
      </w:pPr>
      <w:r>
        <w:t>Poradce je vázán právními předpisy a v jejich mezích příkazy a pokyny Objednatele. Od těchto pokynů se může odchýlit jen tehdy, je-</w:t>
      </w:r>
      <w:proofErr w:type="spellStart"/>
      <w:r>
        <w:t>Ii</w:t>
      </w:r>
      <w:proofErr w:type="spellEnd"/>
      <w:r>
        <w:t xml:space="preserve"> to naléhavé a nezbytné v zájmu Objednatele a Poradce nemůže včas obdržet jeho souhlas. Poradce je dále povinen oznámit Objednateli všechny okolnosti, které zjistil při realizaci předmětu Smlouvy a které mohou mít vliv </w:t>
      </w:r>
      <w:proofErr w:type="gramStart"/>
      <w:r>
        <w:t>na</w:t>
      </w:r>
      <w:proofErr w:type="gramEnd"/>
      <w:r>
        <w:t xml:space="preserve"> změnu pokynů Objednatele. </w:t>
      </w:r>
    </w:p>
    <w:p w14:paraId="4BED2B60" w14:textId="77777777" w:rsidR="002E14E6" w:rsidRDefault="002E14E6" w:rsidP="0024494A">
      <w:pPr>
        <w:pStyle w:val="Nadpis2"/>
        <w:keepLines/>
      </w:pPr>
      <w:r>
        <w:t>Zjistí-li Poradce, že pokyny Objednatele jsou nevhodné či neúčelné, je povinen Objednatele na tuto skutečnost upozornit. Bude-</w:t>
      </w:r>
      <w:proofErr w:type="spellStart"/>
      <w:r>
        <w:t>Ii</w:t>
      </w:r>
      <w:proofErr w:type="spellEnd"/>
      <w:r>
        <w:t xml:space="preserve"> Objednatel přes toto upozornění na splnění svých pokynů trvat, má Poradce právo: </w:t>
      </w:r>
    </w:p>
    <w:p w14:paraId="64A5EDB2" w14:textId="77777777" w:rsidR="002E14E6" w:rsidRPr="002E14E6" w:rsidRDefault="002E14E6" w:rsidP="0024494A">
      <w:pPr>
        <w:pStyle w:val="Odrazka2"/>
        <w:keepNext/>
        <w:keepLines/>
        <w:numPr>
          <w:ilvl w:val="1"/>
          <w:numId w:val="29"/>
        </w:numPr>
        <w:tabs>
          <w:tab w:val="clear" w:pos="794"/>
        </w:tabs>
        <w:ind w:left="1134" w:firstLine="0"/>
      </w:pPr>
      <w:r w:rsidRPr="002E14E6">
        <w:t xml:space="preserve">požádat o písemné potvrzení pokynu, </w:t>
      </w:r>
    </w:p>
    <w:p w14:paraId="4C9CAE1D" w14:textId="77777777" w:rsidR="002E14E6" w:rsidRPr="002E14E6" w:rsidRDefault="002E14E6" w:rsidP="0024494A">
      <w:pPr>
        <w:pStyle w:val="Odrazka2"/>
        <w:keepNext/>
        <w:keepLines/>
        <w:numPr>
          <w:ilvl w:val="1"/>
          <w:numId w:val="29"/>
        </w:numPr>
        <w:tabs>
          <w:tab w:val="clear" w:pos="794"/>
        </w:tabs>
        <w:ind w:left="1418" w:hanging="284"/>
      </w:pPr>
      <w:r w:rsidRPr="002E14E6">
        <w:t xml:space="preserve">přerušit realizaci předmětu Smlouvy za předpokladu, že pokyny Objednatele jsou v rozporu s touto Smlouvou. </w:t>
      </w:r>
    </w:p>
    <w:p w14:paraId="31D07051" w14:textId="77777777" w:rsidR="002E14E6" w:rsidRDefault="002E14E6" w:rsidP="0024494A">
      <w:pPr>
        <w:pStyle w:val="Nadpis2"/>
        <w:keepLines/>
      </w:pPr>
      <w:r>
        <w:t xml:space="preserve">Stejně je Poradce povinen a oprávněn postupovat v případě, že pokyny Objednatele jsou v rozporu se zákonem nebo jinými právními předpisy. </w:t>
      </w:r>
    </w:p>
    <w:p w14:paraId="2471AED7" w14:textId="77777777" w:rsidR="002E14E6" w:rsidRDefault="002E14E6" w:rsidP="0024494A">
      <w:pPr>
        <w:pStyle w:val="Nadpis2"/>
        <w:keepLines/>
      </w:pPr>
      <w:r>
        <w:lastRenderedPageBreak/>
        <w:t>Poradce je povinen spolupracovat při poskytování služeb dle této Smlouvy s pracovníky Objednatele a jeho dalšími poradci.</w:t>
      </w:r>
    </w:p>
    <w:p w14:paraId="384D38A9" w14:textId="4E7E6DC1" w:rsidR="00CD6BF8" w:rsidRPr="005C243A" w:rsidRDefault="00CD6BF8" w:rsidP="0024494A">
      <w:pPr>
        <w:keepNext/>
        <w:keepLines/>
        <w:rPr>
          <w:rFonts w:ascii="Arial" w:hAnsi="Arial" w:cs="Arial"/>
        </w:rPr>
      </w:pPr>
    </w:p>
    <w:p w14:paraId="05837AF9" w14:textId="3F293660" w:rsidR="002E14E6" w:rsidRDefault="00D67D71" w:rsidP="00305930">
      <w:pPr>
        <w:pStyle w:val="Nadpis1"/>
      </w:pPr>
      <w:r>
        <w:t>Povinnosti O</w:t>
      </w:r>
      <w:r w:rsidR="002E14E6">
        <w:t>bjednatele</w:t>
      </w:r>
    </w:p>
    <w:p w14:paraId="20115230" w14:textId="77777777" w:rsidR="002E14E6" w:rsidRDefault="002E14E6" w:rsidP="0024494A">
      <w:pPr>
        <w:pStyle w:val="Nadpis2"/>
        <w:keepLines/>
      </w:pPr>
      <w:r>
        <w:t>Objednatel se zavazuje poskytovat Poradci včas úplné a pravdivé informace a předkládat mu veškeré listinné materiály potřebné k řádné realizaci předmětu Smlouvy, jakož i poskytnout jinou potřebnou součinnost; zejména odpovídá za pravdivost údajů, které Poradci v</w:t>
      </w:r>
      <w:r w:rsidR="00CA41C8">
        <w:t> </w:t>
      </w:r>
      <w:r>
        <w:t xml:space="preserve">souvislosti s jeho činností dle této Smlouvy poskytl a je srozuměn s následky poskytnutí nepravdivých či neúplných informací. </w:t>
      </w:r>
    </w:p>
    <w:p w14:paraId="538AC9F6" w14:textId="77777777" w:rsidR="002E14E6" w:rsidRDefault="002E14E6" w:rsidP="0024494A">
      <w:pPr>
        <w:pStyle w:val="Nadpis2"/>
        <w:keepLines/>
      </w:pPr>
      <w:r>
        <w:t xml:space="preserve">Objednatel je povinen Poradci poskytnout a zajistit nezbytnou spolupráci a součinnost a vytvořit Poradci podmínky pro jeho práci v případech, kdy bude Poradce povinen plnit své úkoly na pracovištích Objednatele. </w:t>
      </w:r>
    </w:p>
    <w:p w14:paraId="0E72C9FF" w14:textId="77777777" w:rsidR="002E14E6" w:rsidRDefault="002E14E6" w:rsidP="0024494A">
      <w:pPr>
        <w:pStyle w:val="Nadpis2"/>
        <w:keepLines/>
      </w:pPr>
      <w:r>
        <w:t>Veškeré pokyny poskytuje a informace a příslušné podklady Objednatel předává prostřednictvím kontaktní osoby; tato osoba je oprávněna pověřit i další osoby, o čemž však musí být Poradce neprodleně písemně informován.</w:t>
      </w:r>
    </w:p>
    <w:p w14:paraId="64BBF721" w14:textId="77777777" w:rsidR="002E14E6" w:rsidRDefault="002E14E6" w:rsidP="0024494A">
      <w:pPr>
        <w:pStyle w:val="Nadpis1"/>
        <w:keepLines/>
      </w:pPr>
      <w:r>
        <w:t>Povinnost mlčenlivosti a ochrana informací</w:t>
      </w:r>
    </w:p>
    <w:p w14:paraId="1A048F5F" w14:textId="77777777" w:rsidR="002E14E6" w:rsidRDefault="002E14E6" w:rsidP="0024494A">
      <w:pPr>
        <w:pStyle w:val="Nadpis2"/>
        <w:keepLines/>
      </w:pPr>
      <w:r>
        <w:t>Poradce se zavazuje během plnění této Smlouvy i po uplynutí doby, na kterou je tato Smlouva uzavřena, zachovávat mlčenlivost o všech skutečnostech, o kterých se dozví od Objednatele v souvislosti s jejím plněním. Této povinnosti může Poradce zprostit pouze Objednatel</w:t>
      </w:r>
      <w:r w:rsidR="00CA41C8">
        <w:t>, a to pouze písemnou formou</w:t>
      </w:r>
      <w:r>
        <w:t>. Tím není dotčena možnost Poradce uvádět činnost dle této Smlouvy jako svou referenci ve svých nabídkách v zákonem stanoveném rozsahu, popřípadě rozsahu stanoveném Objednatelem. Zároveň tím není dotčena možnost Poradce uvádět skutečnosti podléhající mlčenlivosti subdodavatelům Poradce, pokud tito budou zavázáni ve smluvním vztahu k Poradci ke stejnému rozsahu povinnost</w:t>
      </w:r>
      <w:r w:rsidR="00CA41C8">
        <w:t>í</w:t>
      </w:r>
      <w:r>
        <w:t xml:space="preserve"> mlčenlivosti, jaká vyplývá pro Poradce z této Smlouvy. </w:t>
      </w:r>
    </w:p>
    <w:p w14:paraId="3BFCF5F2" w14:textId="77777777" w:rsidR="002E14E6" w:rsidRDefault="002E14E6" w:rsidP="0024494A">
      <w:pPr>
        <w:pStyle w:val="Nadpis2"/>
        <w:keepLines/>
      </w:pPr>
      <w:r>
        <w:t>Povinnosti Poradce vyplývající z ustanovení příslušných právních předpisů o ochraně utajovaných informací nejsou ustanoveními tohoto článku dotčeny.</w:t>
      </w:r>
    </w:p>
    <w:p w14:paraId="727414DC" w14:textId="77777777" w:rsidR="002E14E6" w:rsidRDefault="00167A6C" w:rsidP="0024494A">
      <w:pPr>
        <w:pStyle w:val="Nadpis1"/>
        <w:keepLines/>
      </w:pPr>
      <w:r>
        <w:t>Cena a platební podmínky</w:t>
      </w:r>
    </w:p>
    <w:p w14:paraId="6A5134DB" w14:textId="77777777" w:rsidR="002916D3" w:rsidRDefault="00987934" w:rsidP="0024494A">
      <w:pPr>
        <w:pStyle w:val="Nadpis2"/>
        <w:keepLines/>
      </w:pPr>
      <w:r>
        <w:t xml:space="preserve">Cena </w:t>
      </w:r>
      <w:r w:rsidR="00167A6C">
        <w:t xml:space="preserve">realizaci </w:t>
      </w:r>
      <w:r w:rsidR="004A03E7">
        <w:t>zadávacího řízení v nadlimitním režimu</w:t>
      </w:r>
      <w:r w:rsidR="00436E10">
        <w:t xml:space="preserve"> Poradci náleží následující odměně (dále jen „</w:t>
      </w:r>
      <w:r w:rsidR="00436E10" w:rsidRPr="00436E10">
        <w:rPr>
          <w:b/>
          <w:i/>
        </w:rPr>
        <w:t>Cena</w:t>
      </w:r>
      <w:r w:rsidR="00436E10">
        <w:t>“)</w:t>
      </w:r>
      <w:r w:rsidR="002916D3">
        <w:t>:</w:t>
      </w:r>
    </w:p>
    <w:p w14:paraId="486595FE" w14:textId="77777777" w:rsidR="00FF3E86" w:rsidRPr="00FF3E86" w:rsidRDefault="00FF3E86" w:rsidP="0024494A">
      <w:pPr>
        <w:pStyle w:val="Nadpis3"/>
        <w:keepLines/>
      </w:pPr>
      <w:r w:rsidRPr="00FF3E86">
        <w:t>Cena bez DPH:</w:t>
      </w:r>
      <w:r w:rsidRPr="00FF3E86">
        <w:tab/>
      </w:r>
      <w:r>
        <w:tab/>
      </w:r>
      <w:r w:rsidRPr="00FF3E86">
        <w:rPr>
          <w:szCs w:val="20"/>
          <w:lang w:bidi="en-US"/>
        </w:rPr>
        <w:t>1</w:t>
      </w:r>
      <w:r>
        <w:rPr>
          <w:szCs w:val="20"/>
          <w:lang w:bidi="en-US"/>
        </w:rPr>
        <w:t>25</w:t>
      </w:r>
      <w:r w:rsidRPr="00FF3E86">
        <w:rPr>
          <w:szCs w:val="20"/>
          <w:lang w:bidi="en-US"/>
        </w:rPr>
        <w:t>.000,- Kč</w:t>
      </w:r>
    </w:p>
    <w:p w14:paraId="7C380258" w14:textId="52EF3DF8" w:rsidR="00FF3E86" w:rsidRPr="00FF3E86" w:rsidRDefault="00FF3E86" w:rsidP="0024494A">
      <w:pPr>
        <w:pStyle w:val="Nadpis3"/>
        <w:keepLines/>
      </w:pPr>
      <w:r w:rsidRPr="00FF3E86">
        <w:t>Samostatně DPH:</w:t>
      </w:r>
      <w:r>
        <w:rPr>
          <w:szCs w:val="20"/>
          <w:lang w:bidi="en-US"/>
        </w:rPr>
        <w:tab/>
      </w:r>
      <w:r w:rsidR="00305930">
        <w:rPr>
          <w:szCs w:val="20"/>
          <w:lang w:bidi="en-US"/>
        </w:rPr>
        <w:tab/>
      </w:r>
      <w:r w:rsidRPr="00FF3E86">
        <w:rPr>
          <w:szCs w:val="20"/>
          <w:lang w:bidi="en-US"/>
        </w:rPr>
        <w:t>2</w:t>
      </w:r>
      <w:r>
        <w:rPr>
          <w:szCs w:val="20"/>
          <w:lang w:bidi="en-US"/>
        </w:rPr>
        <w:t>6</w:t>
      </w:r>
      <w:r w:rsidRPr="00FF3E86">
        <w:rPr>
          <w:szCs w:val="20"/>
          <w:lang w:bidi="en-US"/>
        </w:rPr>
        <w:t>.</w:t>
      </w:r>
      <w:r>
        <w:rPr>
          <w:szCs w:val="20"/>
          <w:lang w:bidi="en-US"/>
        </w:rPr>
        <w:t>250</w:t>
      </w:r>
      <w:r w:rsidRPr="00FF3E86">
        <w:rPr>
          <w:szCs w:val="20"/>
          <w:lang w:bidi="en-US"/>
        </w:rPr>
        <w:t>,- Kč</w:t>
      </w:r>
    </w:p>
    <w:p w14:paraId="0BBED857" w14:textId="77777777" w:rsidR="00FF3E86" w:rsidRPr="00FF3E86" w:rsidRDefault="00FF3E86" w:rsidP="0024494A">
      <w:pPr>
        <w:pStyle w:val="Nadpis3"/>
        <w:keepLines/>
      </w:pPr>
      <w:r w:rsidRPr="00FF3E86">
        <w:t xml:space="preserve">Cena včetně DPH: </w:t>
      </w:r>
      <w:r>
        <w:tab/>
      </w:r>
      <w:r w:rsidRPr="00FF3E86">
        <w:rPr>
          <w:szCs w:val="20"/>
          <w:lang w:bidi="en-US"/>
        </w:rPr>
        <w:t>15</w:t>
      </w:r>
      <w:r>
        <w:rPr>
          <w:szCs w:val="20"/>
          <w:lang w:bidi="en-US"/>
        </w:rPr>
        <w:t>1</w:t>
      </w:r>
      <w:r w:rsidRPr="00FF3E86">
        <w:rPr>
          <w:szCs w:val="20"/>
          <w:lang w:bidi="en-US"/>
        </w:rPr>
        <w:t>.</w:t>
      </w:r>
      <w:r>
        <w:rPr>
          <w:szCs w:val="20"/>
          <w:lang w:bidi="en-US"/>
        </w:rPr>
        <w:t>250</w:t>
      </w:r>
      <w:r w:rsidRPr="00FF3E86">
        <w:rPr>
          <w:szCs w:val="20"/>
          <w:lang w:bidi="en-US"/>
        </w:rPr>
        <w:t>,- Kč</w:t>
      </w:r>
    </w:p>
    <w:p w14:paraId="337E4A83" w14:textId="77777777" w:rsidR="00167A6C" w:rsidRDefault="00167A6C" w:rsidP="0024494A">
      <w:pPr>
        <w:pStyle w:val="Nadpis2"/>
        <w:keepLines/>
      </w:pPr>
      <w:r>
        <w:t xml:space="preserve">Poradce má nárok na zaplacení odpovídající části </w:t>
      </w:r>
      <w:r w:rsidR="00436E10">
        <w:t>Ceny</w:t>
      </w:r>
      <w:r>
        <w:t xml:space="preserve"> podle </w:t>
      </w:r>
      <w:proofErr w:type="spellStart"/>
      <w:r>
        <w:t>čI</w:t>
      </w:r>
      <w:proofErr w:type="spellEnd"/>
      <w:r>
        <w:t>. 5.</w:t>
      </w:r>
      <w:r w:rsidR="002916D3">
        <w:t>1</w:t>
      </w:r>
      <w:r>
        <w:t xml:space="preserve">, a to takto: </w:t>
      </w:r>
    </w:p>
    <w:p w14:paraId="0EFD5351" w14:textId="77777777" w:rsidR="00167A6C" w:rsidRPr="00E06B3E" w:rsidRDefault="00FF3E86" w:rsidP="0024494A">
      <w:pPr>
        <w:pStyle w:val="Odrazka2"/>
        <w:keepNext/>
        <w:keepLines/>
        <w:numPr>
          <w:ilvl w:val="1"/>
          <w:numId w:val="34"/>
        </w:numPr>
        <w:ind w:left="1701" w:hanging="567"/>
      </w:pPr>
      <w:r w:rsidRPr="00E06B3E">
        <w:t>50 %</w:t>
      </w:r>
      <w:r w:rsidR="00167A6C" w:rsidRPr="00E06B3E">
        <w:t xml:space="preserve"> z </w:t>
      </w:r>
      <w:r w:rsidR="00436E10">
        <w:t>Ceny</w:t>
      </w:r>
      <w:r w:rsidR="00167A6C" w:rsidRPr="00E06B3E">
        <w:t xml:space="preserve"> po dokončení a předání</w:t>
      </w:r>
      <w:r w:rsidR="00CA41C8">
        <w:t xml:space="preserve"> kompletní</w:t>
      </w:r>
      <w:r w:rsidR="00167A6C" w:rsidRPr="00E06B3E">
        <w:t xml:space="preserve"> Zadávací dokumentace; </w:t>
      </w:r>
    </w:p>
    <w:p w14:paraId="27720818" w14:textId="77777777" w:rsidR="00167A6C" w:rsidRPr="00E06B3E" w:rsidRDefault="00FF3E86" w:rsidP="0024494A">
      <w:pPr>
        <w:pStyle w:val="Odrazka2"/>
        <w:keepNext/>
        <w:keepLines/>
        <w:numPr>
          <w:ilvl w:val="1"/>
          <w:numId w:val="34"/>
        </w:numPr>
        <w:ind w:left="1701" w:hanging="567"/>
      </w:pPr>
      <w:r w:rsidRPr="00E06B3E">
        <w:lastRenderedPageBreak/>
        <w:t>50 %</w:t>
      </w:r>
      <w:r w:rsidR="00167A6C" w:rsidRPr="00E06B3E">
        <w:t xml:space="preserve"> z </w:t>
      </w:r>
      <w:r w:rsidR="00436E10">
        <w:t>Ceny</w:t>
      </w:r>
      <w:r w:rsidR="00167A6C" w:rsidRPr="00E06B3E">
        <w:t xml:space="preserve"> po ukončení Zadávacího řízení, tj. po uzavření Smlouvy či po rozhodnutí Objednate</w:t>
      </w:r>
      <w:r w:rsidR="00E06B3E" w:rsidRPr="00E06B3E">
        <w:t xml:space="preserve">le o zrušení </w:t>
      </w:r>
      <w:r w:rsidR="00CA41C8">
        <w:t>Zadávacího</w:t>
      </w:r>
      <w:r w:rsidR="004C707A">
        <w:t xml:space="preserve"> </w:t>
      </w:r>
      <w:r w:rsidR="00E06B3E" w:rsidRPr="00E06B3E">
        <w:t xml:space="preserve">řízení </w:t>
      </w:r>
      <w:r w:rsidR="00167A6C" w:rsidRPr="00E06B3E">
        <w:t>z</w:t>
      </w:r>
      <w:r w:rsidR="00CA41C8">
        <w:t> </w:t>
      </w:r>
      <w:r w:rsidR="00167A6C" w:rsidRPr="00E06B3E">
        <w:t xml:space="preserve">důvodů nikoli na straně Poradce. </w:t>
      </w:r>
    </w:p>
    <w:p w14:paraId="5CAD4700" w14:textId="77777777" w:rsidR="00EC5D60" w:rsidRDefault="00167A6C" w:rsidP="0024494A">
      <w:pPr>
        <w:pStyle w:val="Nadpis2"/>
        <w:keepLines/>
      </w:pPr>
      <w:r>
        <w:t xml:space="preserve">Faktura za provedenou příslušnou část plnění předmětu Smlouvy bude vystavena do 14 dnů poté, co nastane skutečnost podle </w:t>
      </w:r>
      <w:proofErr w:type="spellStart"/>
      <w:r>
        <w:t>čI</w:t>
      </w:r>
      <w:proofErr w:type="spellEnd"/>
      <w:r>
        <w:t>. 5.</w:t>
      </w:r>
      <w:r w:rsidR="002916D3">
        <w:t>2</w:t>
      </w:r>
      <w:r>
        <w:t xml:space="preserve"> Smlouvy. Fak</w:t>
      </w:r>
      <w:r w:rsidR="00EC5D60">
        <w:t xml:space="preserve">tura vystavená na základě této </w:t>
      </w:r>
      <w:r>
        <w:t xml:space="preserve">Smlouvy musí splňovat náležitosti daňového dokladu. </w:t>
      </w:r>
      <w:r w:rsidR="00EC5D60">
        <w:t xml:space="preserve">V záhlaví faktury bude výrazně </w:t>
      </w:r>
      <w:r>
        <w:t xml:space="preserve">uveden název Objednatele. Faktura je splatná do </w:t>
      </w:r>
      <w:r w:rsidR="00CA41C8">
        <w:t xml:space="preserve">30 </w:t>
      </w:r>
      <w:r>
        <w:t xml:space="preserve">dnů od </w:t>
      </w:r>
      <w:r w:rsidR="00EC5D60">
        <w:t>jejího doručení Objednateli. V</w:t>
      </w:r>
      <w:r w:rsidR="00CA41C8">
        <w:t> </w:t>
      </w:r>
      <w:r>
        <w:t>případě neoznačení faktury výše uvedeným textem a z</w:t>
      </w:r>
      <w:r w:rsidR="00EC5D60">
        <w:t xml:space="preserve"> toho vyplývajícího prodlení s</w:t>
      </w:r>
      <w:r w:rsidR="00CA41C8">
        <w:t> </w:t>
      </w:r>
      <w:r>
        <w:t>likvidací a následnou splatností faktury nemůže Porad</w:t>
      </w:r>
      <w:r w:rsidR="00EC5D60">
        <w:t xml:space="preserve">ce uplatnit sankce za případné </w:t>
      </w:r>
      <w:r>
        <w:t>nedodržení termínu splatnosti. Objednatel Poradci dále</w:t>
      </w:r>
      <w:r w:rsidR="00EC5D60">
        <w:t xml:space="preserve"> sdělí náležitosti faktury pro </w:t>
      </w:r>
      <w:r w:rsidR="00987934">
        <w:t>příslušný operační program či jiný zdroj financování</w:t>
      </w:r>
      <w:r>
        <w:t xml:space="preserve">. </w:t>
      </w:r>
    </w:p>
    <w:p w14:paraId="7E89B35F" w14:textId="77777777" w:rsidR="002916D3" w:rsidRPr="002441BE" w:rsidRDefault="00167A6C" w:rsidP="0024494A">
      <w:pPr>
        <w:pStyle w:val="Nadpis2"/>
        <w:keepLines/>
      </w:pPr>
      <w:r>
        <w:t>Pokud faktura nebude splňovat zákonem stanovené, nebo výše uvedené náležitosti, je Objednatel oprávněn ji do data splatnosti vrátit s tím, že Po</w:t>
      </w:r>
      <w:r w:rsidR="00EC5D60">
        <w:t xml:space="preserve">radce je poté povinen vystavit </w:t>
      </w:r>
      <w:r>
        <w:t>novou fakturu s novým termínem splatnosti. V tak</w:t>
      </w:r>
      <w:r w:rsidR="00EC5D60">
        <w:t xml:space="preserve">ovém případě není Objednatel v </w:t>
      </w:r>
      <w:r>
        <w:t>prodlení s úhradou faktury</w:t>
      </w:r>
      <w:r w:rsidR="00FF3E86">
        <w:t>.</w:t>
      </w:r>
    </w:p>
    <w:p w14:paraId="03B344B1" w14:textId="77777777" w:rsidR="00094224" w:rsidRDefault="00094224" w:rsidP="0024494A">
      <w:pPr>
        <w:pStyle w:val="Nadpis1"/>
        <w:keepLines/>
      </w:pPr>
      <w:r>
        <w:t>Odpovědnost</w:t>
      </w:r>
    </w:p>
    <w:p w14:paraId="0F5EF379" w14:textId="77777777" w:rsidR="00094224" w:rsidRDefault="00094224" w:rsidP="0024494A">
      <w:pPr>
        <w:pStyle w:val="Nadpis2"/>
        <w:keepLines/>
      </w:pPr>
      <w:r>
        <w:t>Poradce odpovídá Objednateli za to, že bude služby poskytovat řádně a včas. V případě, že Objednateli hrozí v důsledku porušení povinnosti Poradce škoda, je Poradce povinen (i) vynaložit maximální úsilí k tomu, aby škoda byla odvrácena či minimalizována a (</w:t>
      </w:r>
      <w:proofErr w:type="spellStart"/>
      <w:r>
        <w:t>ii</w:t>
      </w:r>
      <w:proofErr w:type="spellEnd"/>
      <w:r>
        <w:t xml:space="preserve">) nahradit Objednateli </w:t>
      </w:r>
      <w:r w:rsidR="002C1EE3">
        <w:t xml:space="preserve">v plném rozsahu </w:t>
      </w:r>
      <w:r>
        <w:t xml:space="preserve">škodu takto způsobenou. </w:t>
      </w:r>
    </w:p>
    <w:p w14:paraId="48AF3323" w14:textId="77777777" w:rsidR="00094224" w:rsidRDefault="00094224" w:rsidP="0024494A">
      <w:pPr>
        <w:pStyle w:val="Nadpis2"/>
        <w:keepLines/>
      </w:pPr>
      <w:r>
        <w:t xml:space="preserve">Poradce tímto deklaruje, že ke dni uzavření této Smlouvy má uzavřenou pojistnou smlouvu ke krytí odpovědnosti za škodu </w:t>
      </w:r>
      <w:r w:rsidR="002C1EE3">
        <w:t xml:space="preserve">způsobenou </w:t>
      </w:r>
      <w:r>
        <w:t>v souvislosti s poskytování právních služeb až do výše 100.000.000,- Kč.</w:t>
      </w:r>
    </w:p>
    <w:p w14:paraId="044998D0" w14:textId="77777777" w:rsidR="00094224" w:rsidRDefault="00094224" w:rsidP="0024494A">
      <w:pPr>
        <w:pStyle w:val="Nadpis1"/>
        <w:keepLines/>
      </w:pPr>
      <w:r>
        <w:t>Odstoupení od smlouvy</w:t>
      </w:r>
    </w:p>
    <w:p w14:paraId="167827E6" w14:textId="77777777" w:rsidR="00094224" w:rsidRDefault="00094224" w:rsidP="0024494A">
      <w:pPr>
        <w:pStyle w:val="Nadpis2"/>
        <w:keepLines/>
      </w:pPr>
      <w:r>
        <w:t xml:space="preserve">Smluvní strany jsou oprávněny od této Smlouvy odstoupit za podmínek stanovených </w:t>
      </w:r>
      <w:r w:rsidR="002C1EE3">
        <w:t xml:space="preserve">občanským </w:t>
      </w:r>
      <w:r>
        <w:t xml:space="preserve">zákoníkem a zákonem o advokacii. Plnění poskytnuté </w:t>
      </w:r>
      <w:r w:rsidR="002C1EE3">
        <w:t>S</w:t>
      </w:r>
      <w:r>
        <w:t xml:space="preserve">mluvními stranami do účinnosti odstoupení zůstává odstoupením nedotčeno. </w:t>
      </w:r>
    </w:p>
    <w:p w14:paraId="1A9F6F35" w14:textId="77777777" w:rsidR="00094224" w:rsidRDefault="00094224" w:rsidP="0024494A">
      <w:pPr>
        <w:pStyle w:val="Nadpis2"/>
        <w:keepLines/>
      </w:pPr>
      <w:r>
        <w:t xml:space="preserve">Odstoupení od Smlouvy musí být písemné, jinak je neplatné. Odstoupení je účinné ode dne, kdy bude doručeno druhé smluvní straně. V pochybnostech se má za to, že odstoupení bylo doručeno do 5 dnů od jeho odeslání </w:t>
      </w:r>
      <w:r w:rsidR="008C39F1">
        <w:t xml:space="preserve">na adresu sídla druhé Smluvní strany </w:t>
      </w:r>
      <w:r>
        <w:t>v poštovní zásilce s dodejkou.</w:t>
      </w:r>
    </w:p>
    <w:p w14:paraId="717A171F" w14:textId="77777777" w:rsidR="00094224" w:rsidRDefault="00094224" w:rsidP="0024494A">
      <w:pPr>
        <w:pStyle w:val="Nadpis1"/>
        <w:keepLines/>
      </w:pPr>
      <w:r>
        <w:t>Závěrečná ustanovení</w:t>
      </w:r>
    </w:p>
    <w:p w14:paraId="73D5FC6A" w14:textId="77777777" w:rsidR="00094224" w:rsidRDefault="00972CC0" w:rsidP="0024494A">
      <w:pPr>
        <w:pStyle w:val="Nadpis2"/>
        <w:keepLines/>
      </w:pPr>
      <w:r>
        <w:t xml:space="preserve">Právní vztahy založené touto Smlouvou se řídí </w:t>
      </w:r>
      <w:r w:rsidR="004E1E2F">
        <w:t xml:space="preserve">ustanoveními </w:t>
      </w:r>
      <w:r>
        <w:t>zák. č. 89/2012 Sb., občanský zákoník</w:t>
      </w:r>
      <w:r w:rsidR="00094224">
        <w:t>, ve znění pozděj</w:t>
      </w:r>
      <w:r w:rsidR="004E1E2F">
        <w:t>ších předpisů</w:t>
      </w:r>
      <w:r w:rsidR="00094224">
        <w:t xml:space="preserve">. </w:t>
      </w:r>
    </w:p>
    <w:p w14:paraId="73416DF5" w14:textId="77777777" w:rsidR="00094224" w:rsidRDefault="00094224" w:rsidP="0024494A">
      <w:pPr>
        <w:pStyle w:val="Nadpis2"/>
        <w:keepLines/>
      </w:pPr>
      <w:r>
        <w:t>Poradce je podle ustanovení § 2 písm</w:t>
      </w:r>
      <w:r w:rsidR="008C39F1">
        <w:t>.</w:t>
      </w:r>
      <w:r>
        <w:t xml:space="preserve"> e) zákona č. 320/2001 Sb., o finanční kontrole ve veřejné správě a o změně některých zákonů (zákon o finanční kontrole), ve znění pozdějších předpisů, osobou povinou spolupůsobit při výkonu finanční kontroly prováděné v souvislosti s úhradou zboží nebo služeb z veřejných výdajů. </w:t>
      </w:r>
    </w:p>
    <w:p w14:paraId="30244F29" w14:textId="77777777" w:rsidR="00094224" w:rsidRDefault="00094224" w:rsidP="0024494A">
      <w:pPr>
        <w:pStyle w:val="Nadpis2"/>
        <w:keepLines/>
      </w:pPr>
      <w:r>
        <w:lastRenderedPageBreak/>
        <w:t xml:space="preserve">Kontaktními osobami pro účely této Smlouvy jsou: </w:t>
      </w:r>
    </w:p>
    <w:p w14:paraId="7BFD94CF" w14:textId="3CE2143B" w:rsidR="00094224" w:rsidRDefault="00094224" w:rsidP="0024494A">
      <w:pPr>
        <w:keepNext/>
        <w:keepLines/>
        <w:ind w:left="567"/>
      </w:pPr>
      <w:r>
        <w:t xml:space="preserve">za Objednatele: </w:t>
      </w:r>
      <w:r>
        <w:tab/>
      </w:r>
      <w:r w:rsidR="004E1E2F">
        <w:tab/>
      </w:r>
      <w:proofErr w:type="spellStart"/>
      <w:r w:rsidR="00A72AB9">
        <w:t>xxx</w:t>
      </w:r>
      <w:proofErr w:type="spellEnd"/>
    </w:p>
    <w:p w14:paraId="4A42BCE3" w14:textId="79E64676" w:rsidR="00094224" w:rsidRDefault="00094224" w:rsidP="0024494A">
      <w:pPr>
        <w:keepNext/>
        <w:keepLines/>
        <w:ind w:left="567"/>
      </w:pPr>
      <w:r>
        <w:t xml:space="preserve">tel: </w:t>
      </w:r>
      <w:r>
        <w:tab/>
      </w:r>
      <w:r>
        <w:tab/>
      </w:r>
      <w:r>
        <w:tab/>
      </w:r>
      <w:proofErr w:type="spellStart"/>
      <w:r w:rsidR="00A72AB9">
        <w:t>xxx</w:t>
      </w:r>
      <w:proofErr w:type="spellEnd"/>
    </w:p>
    <w:p w14:paraId="7D553BAF" w14:textId="45F9CF81" w:rsidR="00094224" w:rsidRDefault="00094224" w:rsidP="0024494A">
      <w:pPr>
        <w:keepNext/>
        <w:keepLines/>
        <w:ind w:left="567"/>
      </w:pPr>
      <w:r>
        <w:t xml:space="preserve">e-mail: </w:t>
      </w:r>
      <w:r>
        <w:tab/>
      </w:r>
      <w:r>
        <w:tab/>
      </w:r>
      <w:r>
        <w:tab/>
      </w:r>
      <w:proofErr w:type="spellStart"/>
      <w:r w:rsidR="00A72AB9">
        <w:t>xxx</w:t>
      </w:r>
      <w:proofErr w:type="spellEnd"/>
    </w:p>
    <w:p w14:paraId="49DFA601" w14:textId="77777777" w:rsidR="00094224" w:rsidRDefault="00094224" w:rsidP="0024494A">
      <w:pPr>
        <w:keepNext/>
        <w:keepLines/>
        <w:ind w:left="567"/>
      </w:pPr>
    </w:p>
    <w:p w14:paraId="23F050E7" w14:textId="1977902D" w:rsidR="00094224" w:rsidRDefault="00094224" w:rsidP="0024494A">
      <w:pPr>
        <w:keepNext/>
        <w:keepLines/>
        <w:ind w:left="567"/>
      </w:pPr>
      <w:r>
        <w:t>Za Poradce:</w:t>
      </w:r>
      <w:r>
        <w:tab/>
      </w:r>
      <w:r>
        <w:tab/>
      </w:r>
      <w:proofErr w:type="spellStart"/>
      <w:r w:rsidR="00A72AB9">
        <w:t>xxx</w:t>
      </w:r>
      <w:proofErr w:type="spellEnd"/>
      <w:r>
        <w:t xml:space="preserve"> </w:t>
      </w:r>
    </w:p>
    <w:p w14:paraId="555C6DE8" w14:textId="36DB0C1F" w:rsidR="00094224" w:rsidRDefault="00094224" w:rsidP="0024494A">
      <w:pPr>
        <w:keepNext/>
        <w:keepLines/>
        <w:ind w:left="567"/>
      </w:pPr>
      <w:r>
        <w:t>Tel:</w:t>
      </w:r>
      <w:r>
        <w:tab/>
      </w:r>
      <w:r>
        <w:tab/>
      </w:r>
      <w:r>
        <w:tab/>
      </w:r>
      <w:proofErr w:type="spellStart"/>
      <w:r w:rsidR="00A72AB9">
        <w:t>xxx</w:t>
      </w:r>
      <w:proofErr w:type="spellEnd"/>
    </w:p>
    <w:p w14:paraId="55F13BC4" w14:textId="6534E2D6" w:rsidR="00094224" w:rsidRDefault="00094224" w:rsidP="0024494A">
      <w:pPr>
        <w:keepNext/>
        <w:keepLines/>
        <w:ind w:left="567"/>
      </w:pPr>
      <w:r>
        <w:t xml:space="preserve">e-mail: </w:t>
      </w:r>
      <w:r>
        <w:tab/>
      </w:r>
      <w:r>
        <w:tab/>
      </w:r>
      <w:r>
        <w:tab/>
      </w:r>
      <w:proofErr w:type="spellStart"/>
      <w:r w:rsidR="00A72AB9">
        <w:t>xxx</w:t>
      </w:r>
      <w:proofErr w:type="spellEnd"/>
    </w:p>
    <w:p w14:paraId="228EA9EB" w14:textId="77777777" w:rsidR="004726AF" w:rsidRDefault="004726AF" w:rsidP="0024494A">
      <w:pPr>
        <w:pStyle w:val="Nadpis2"/>
        <w:keepLines/>
      </w:pPr>
      <w:r>
        <w:t xml:space="preserve">Smlouva bude uzavřena na dobu neurčitou s účinností ode dne </w:t>
      </w:r>
      <w:r w:rsidR="008C39F1" w:rsidRPr="00B0372A">
        <w:t>jejího uveřejnění v registru smluv v souladu se zákonem č. 340/2015 Sb., o zvláštních podmínkách účinnosti některých smluv, uveřejňování těchto smluv a o registru smluv (zákon o registru smluv), ve znění pozdějších předpisů</w:t>
      </w:r>
      <w:r>
        <w:t xml:space="preserve"> a platností do splnění všech závazků dle Smlouvy, nejpozději však do 31. 12. 201</w:t>
      </w:r>
      <w:r w:rsidR="004E1E2F">
        <w:t>9</w:t>
      </w:r>
      <w:r>
        <w:t>.</w:t>
      </w:r>
    </w:p>
    <w:p w14:paraId="56195C6F" w14:textId="77777777" w:rsidR="008C39F1" w:rsidRDefault="008C39F1" w:rsidP="0024494A">
      <w:pPr>
        <w:pStyle w:val="Nadpis2"/>
        <w:keepLines/>
      </w:pPr>
      <w:r>
        <w:t>Poradce</w:t>
      </w:r>
      <w:r w:rsidRPr="00B0372A">
        <w:t xml:space="preserve"> bezvýhradně souhlasí s</w:t>
      </w:r>
      <w:r>
        <w:t>e zveřejněním plného znění Smlouvy tak, aby tato S</w:t>
      </w:r>
      <w:r w:rsidRPr="00B0372A">
        <w:t>mlouva mohla být předmětem poskytnuté informace ve smyslu zákona č. 106/1999 Sb., o svobodném přístupu k informací</w:t>
      </w:r>
      <w:r>
        <w:t>m, ve znění pozdějších předpisů</w:t>
      </w:r>
      <w:r w:rsidRPr="00B0372A">
        <w:t xml:space="preserve"> a </w:t>
      </w:r>
      <w:r>
        <w:t xml:space="preserve">dle </w:t>
      </w:r>
      <w:r w:rsidRPr="00B0372A">
        <w:t>zákona č. 340/2015 Sb., o zvláštních podmínkách účinnosti některých smluv, uveřejňování těchto smluv a o registru smluv (zákon o registru smluv), ve znění pozdějších předpisů.</w:t>
      </w:r>
    </w:p>
    <w:p w14:paraId="25FBF3C7" w14:textId="77777777" w:rsidR="004726AF" w:rsidRDefault="004726AF" w:rsidP="0024494A">
      <w:pPr>
        <w:pStyle w:val="Nadpis2"/>
        <w:keepLines/>
      </w:pPr>
      <w:r>
        <w:t>Smlouva je vyhotovena ve třech stejnopisech, z nichž jeden obdrží Poradce a dva Objednatel.</w:t>
      </w:r>
    </w:p>
    <w:p w14:paraId="4DC3F0E2" w14:textId="77777777" w:rsidR="004726AF" w:rsidRDefault="004726AF" w:rsidP="0024494A">
      <w:pPr>
        <w:pStyle w:val="Nadpis2"/>
        <w:keepLines/>
      </w:pPr>
      <w:r>
        <w:t xml:space="preserve">Veškeré změny </w:t>
      </w:r>
      <w:r w:rsidR="008C39F1">
        <w:t>S</w:t>
      </w:r>
      <w:r>
        <w:t xml:space="preserve">mlouvy lze provést pouze formou písemných a očíslovaných dodatků schválených </w:t>
      </w:r>
      <w:r w:rsidR="008C39F1">
        <w:t xml:space="preserve">a podepsaných </w:t>
      </w:r>
      <w:r>
        <w:t xml:space="preserve">oběma </w:t>
      </w:r>
      <w:r w:rsidR="008C39F1">
        <w:t>S</w:t>
      </w:r>
      <w:r>
        <w:t>mluvními stranami.</w:t>
      </w:r>
    </w:p>
    <w:p w14:paraId="70FCF4E7" w14:textId="77777777" w:rsidR="004726AF" w:rsidRDefault="004726AF" w:rsidP="0024494A">
      <w:pPr>
        <w:pStyle w:val="Nadpis2"/>
        <w:keepLines/>
      </w:pPr>
      <w:r>
        <w:t xml:space="preserve">Tato Smlouva nabývá platnosti a účinnosti dnem jejího podpisu </w:t>
      </w:r>
      <w:r w:rsidR="008C39F1">
        <w:t>S</w:t>
      </w:r>
      <w:r>
        <w:t>mluvními stranami.</w:t>
      </w:r>
    </w:p>
    <w:p w14:paraId="334C23DA" w14:textId="77777777" w:rsidR="008C39F1" w:rsidRPr="00B0372A" w:rsidRDefault="008C39F1" w:rsidP="0024494A">
      <w:pPr>
        <w:pStyle w:val="Nadpis2"/>
        <w:keepLines/>
      </w:pPr>
      <w:r w:rsidRPr="00B0372A">
        <w:t>Sm</w:t>
      </w:r>
      <w:r>
        <w:t>luvní strany prohlašují, že si S</w:t>
      </w:r>
      <w:r w:rsidRPr="00B0372A">
        <w:t xml:space="preserve">mlouvu před jejím podpisem přečetly a s jejím obsahem bez výhrad souhlasí. Smlouva je vyjádřením jejich pravé, skutečné, svobodné a vážné vůle. Na důkaz pravosti a pravdivosti těchto prohlášení připojují oprávnění zástupci </w:t>
      </w:r>
      <w:r>
        <w:t>S</w:t>
      </w:r>
      <w:r w:rsidRPr="00B0372A">
        <w:t>mluvních stran své vlastnoruční podpisy.</w:t>
      </w:r>
    </w:p>
    <w:p w14:paraId="528A1E41" w14:textId="77777777" w:rsidR="004726AF" w:rsidRDefault="004726AF" w:rsidP="0024494A">
      <w:pPr>
        <w:keepNext/>
        <w:keepLines/>
      </w:pPr>
    </w:p>
    <w:p w14:paraId="17B7962E" w14:textId="77777777" w:rsidR="00D67D71" w:rsidRDefault="00D67D71" w:rsidP="0024494A">
      <w:pPr>
        <w:keepNext/>
        <w:keepLines/>
        <w:rPr>
          <w:szCs w:val="22"/>
        </w:rPr>
      </w:pPr>
    </w:p>
    <w:p w14:paraId="79093222" w14:textId="3AC76BBD" w:rsidR="00D67D71" w:rsidRPr="00561737" w:rsidRDefault="00D67D71" w:rsidP="0024494A">
      <w:pPr>
        <w:keepNext/>
        <w:keepLines/>
        <w:rPr>
          <w:szCs w:val="22"/>
        </w:rPr>
      </w:pPr>
      <w:r w:rsidRPr="00561737">
        <w:rPr>
          <w:szCs w:val="22"/>
        </w:rPr>
        <w:t>V</w:t>
      </w:r>
      <w:r w:rsidR="00FF3E86">
        <w:rPr>
          <w:szCs w:val="22"/>
        </w:rPr>
        <w:t> Hradci Králové</w:t>
      </w:r>
      <w:r w:rsidRPr="00561737">
        <w:rPr>
          <w:szCs w:val="22"/>
        </w:rPr>
        <w:t xml:space="preserve"> dne</w:t>
      </w:r>
      <w:r w:rsidR="00A72AB9">
        <w:rPr>
          <w:szCs w:val="22"/>
        </w:rPr>
        <w:t xml:space="preserve"> 24. 4. 2018</w:t>
      </w:r>
      <w:r w:rsidR="008C39F1">
        <w:rPr>
          <w:szCs w:val="22"/>
        </w:rPr>
        <w:tab/>
      </w:r>
      <w:r w:rsidRPr="00561737">
        <w:rPr>
          <w:szCs w:val="22"/>
        </w:rPr>
        <w:tab/>
      </w:r>
      <w:r w:rsidRPr="00561737">
        <w:rPr>
          <w:szCs w:val="22"/>
        </w:rPr>
        <w:tab/>
        <w:t>V Praze dne</w:t>
      </w:r>
      <w:r w:rsidR="00A72AB9">
        <w:rPr>
          <w:szCs w:val="22"/>
        </w:rPr>
        <w:t xml:space="preserve"> 18. 4. 2018</w:t>
      </w:r>
      <w:bookmarkStart w:id="1" w:name="_GoBack"/>
      <w:bookmarkEnd w:id="1"/>
      <w:r w:rsidR="00987934">
        <w:rPr>
          <w:szCs w:val="22"/>
        </w:rPr>
        <w:t xml:space="preserve"> </w:t>
      </w:r>
    </w:p>
    <w:p w14:paraId="70D530DE" w14:textId="77777777" w:rsidR="00D67D71" w:rsidRPr="00561737" w:rsidRDefault="00D67D71" w:rsidP="0024494A">
      <w:pPr>
        <w:pStyle w:val="Odstavecseseznamem"/>
        <w:keepNext/>
        <w:keepLines/>
        <w:ind w:left="0"/>
        <w:rPr>
          <w:szCs w:val="22"/>
        </w:rPr>
      </w:pPr>
    </w:p>
    <w:p w14:paraId="3DC0B1DB" w14:textId="77777777" w:rsidR="00D67D71" w:rsidRPr="00561737" w:rsidRDefault="00D67D71" w:rsidP="0024494A">
      <w:pPr>
        <w:pStyle w:val="Odstavecseseznamem"/>
        <w:keepNext/>
        <w:keepLines/>
        <w:ind w:left="0"/>
        <w:rPr>
          <w:b/>
          <w:bCs/>
          <w:szCs w:val="22"/>
        </w:rPr>
      </w:pPr>
    </w:p>
    <w:p w14:paraId="2473E61E" w14:textId="77777777" w:rsidR="00D67D71" w:rsidRPr="00955B99" w:rsidRDefault="00D67D71" w:rsidP="0024494A">
      <w:pPr>
        <w:pStyle w:val="Odstavecseseznamem"/>
        <w:keepNext/>
        <w:keepLines/>
        <w:ind w:left="0"/>
        <w:rPr>
          <w:b/>
          <w:bCs/>
          <w:szCs w:val="22"/>
        </w:rPr>
      </w:pPr>
      <w:r w:rsidRPr="00561737">
        <w:rPr>
          <w:b/>
          <w:bCs/>
          <w:szCs w:val="22"/>
        </w:rPr>
        <w:t>Za Objednatele:</w:t>
      </w:r>
      <w:r w:rsidRPr="00561737">
        <w:rPr>
          <w:b/>
          <w:bCs/>
          <w:szCs w:val="22"/>
        </w:rPr>
        <w:tab/>
      </w:r>
      <w:r w:rsidRPr="00561737">
        <w:rPr>
          <w:b/>
          <w:bCs/>
          <w:szCs w:val="22"/>
        </w:rPr>
        <w:tab/>
      </w:r>
      <w:r w:rsidRPr="00561737">
        <w:rPr>
          <w:b/>
          <w:bCs/>
          <w:szCs w:val="22"/>
        </w:rPr>
        <w:tab/>
      </w:r>
      <w:r w:rsidRPr="00561737">
        <w:rPr>
          <w:b/>
          <w:bCs/>
          <w:szCs w:val="22"/>
        </w:rPr>
        <w:tab/>
      </w:r>
      <w:r w:rsidRPr="00561737">
        <w:rPr>
          <w:b/>
          <w:bCs/>
          <w:szCs w:val="22"/>
        </w:rPr>
        <w:tab/>
        <w:t>Za Poradce:</w:t>
      </w:r>
    </w:p>
    <w:p w14:paraId="0D4FD249" w14:textId="77777777" w:rsidR="00D67D71" w:rsidRDefault="00D67D71" w:rsidP="0024494A">
      <w:pPr>
        <w:pStyle w:val="Odstavecseseznamem"/>
        <w:keepNext/>
        <w:keepLines/>
        <w:ind w:left="0"/>
        <w:rPr>
          <w:szCs w:val="22"/>
        </w:rPr>
      </w:pPr>
    </w:p>
    <w:p w14:paraId="4A42F5A3" w14:textId="77777777" w:rsidR="00D67D71" w:rsidRDefault="00D67D71" w:rsidP="0024494A">
      <w:pPr>
        <w:pStyle w:val="Odstavecseseznamem"/>
        <w:keepNext/>
        <w:keepLines/>
        <w:ind w:left="0"/>
        <w:rPr>
          <w:szCs w:val="22"/>
        </w:rPr>
      </w:pPr>
    </w:p>
    <w:p w14:paraId="05D6541F" w14:textId="77777777" w:rsidR="00D67D71" w:rsidRPr="00561737" w:rsidRDefault="00D67D71" w:rsidP="0024494A">
      <w:pPr>
        <w:pStyle w:val="Odstavecseseznamem"/>
        <w:keepNext/>
        <w:keepLines/>
        <w:ind w:left="0"/>
        <w:rPr>
          <w:szCs w:val="22"/>
        </w:rPr>
      </w:pPr>
    </w:p>
    <w:p w14:paraId="0A65DDF1" w14:textId="77777777" w:rsidR="00D67D71" w:rsidRDefault="00D67D71" w:rsidP="0024494A">
      <w:pPr>
        <w:pStyle w:val="Odstavecseseznamem"/>
        <w:keepNext/>
        <w:keepLines/>
        <w:ind w:left="0"/>
        <w:rPr>
          <w:b/>
          <w:bCs/>
          <w:szCs w:val="22"/>
        </w:rPr>
      </w:pPr>
      <w:r w:rsidRPr="00561737">
        <w:rPr>
          <w:b/>
          <w:bCs/>
          <w:szCs w:val="22"/>
        </w:rPr>
        <w:t>……………………………….</w:t>
      </w:r>
      <w:r w:rsidRPr="00561737">
        <w:rPr>
          <w:b/>
          <w:bCs/>
          <w:szCs w:val="22"/>
        </w:rPr>
        <w:tab/>
      </w:r>
      <w:r w:rsidRPr="00561737">
        <w:rPr>
          <w:b/>
          <w:bCs/>
          <w:szCs w:val="22"/>
        </w:rPr>
        <w:tab/>
      </w:r>
      <w:r w:rsidRPr="00561737">
        <w:rPr>
          <w:b/>
          <w:bCs/>
          <w:szCs w:val="22"/>
        </w:rPr>
        <w:tab/>
      </w:r>
      <w:r w:rsidRPr="00561737">
        <w:rPr>
          <w:b/>
          <w:bCs/>
          <w:szCs w:val="22"/>
        </w:rPr>
        <w:tab/>
      </w:r>
      <w:r w:rsidRPr="00561737">
        <w:rPr>
          <w:b/>
          <w:bCs/>
          <w:szCs w:val="22"/>
        </w:rPr>
        <w:tab/>
        <w:t>……………………………………….</w:t>
      </w:r>
      <w:r w:rsidRPr="00561737">
        <w:rPr>
          <w:b/>
          <w:bCs/>
          <w:szCs w:val="22"/>
        </w:rPr>
        <w:tab/>
      </w:r>
      <w:r w:rsidRPr="00561737">
        <w:rPr>
          <w:b/>
          <w:bCs/>
          <w:szCs w:val="22"/>
        </w:rPr>
        <w:tab/>
      </w:r>
    </w:p>
    <w:p w14:paraId="01000E44" w14:textId="2ACA4A21" w:rsidR="00D67D71" w:rsidRPr="00561737" w:rsidRDefault="00142B3D" w:rsidP="0024494A">
      <w:pPr>
        <w:pStyle w:val="Odstavecseseznamem"/>
        <w:keepNext/>
        <w:keepLines/>
        <w:ind w:left="0"/>
        <w:rPr>
          <w:szCs w:val="22"/>
        </w:rPr>
      </w:pPr>
      <w:r>
        <w:t>prof. Ing. Kamil Kuča, Ph.D.</w:t>
      </w:r>
      <w:r w:rsidR="00FF3E86">
        <w:tab/>
      </w:r>
      <w:r w:rsidR="00FF3E86">
        <w:tab/>
      </w:r>
      <w:r w:rsidR="00FF3E86">
        <w:tab/>
      </w:r>
      <w:r w:rsidR="00987934" w:rsidRPr="004A03E7">
        <w:tab/>
      </w:r>
      <w:r w:rsidR="00D67D71" w:rsidRPr="008C39F1">
        <w:rPr>
          <w:szCs w:val="22"/>
        </w:rPr>
        <w:t>JUDr. Karel Zuska, partner</w:t>
      </w:r>
      <w:r w:rsidR="00D67D71" w:rsidRPr="00561737">
        <w:rPr>
          <w:szCs w:val="22"/>
        </w:rPr>
        <w:tab/>
      </w:r>
      <w:r w:rsidR="00D67D71" w:rsidRPr="00561737">
        <w:rPr>
          <w:szCs w:val="22"/>
        </w:rPr>
        <w:tab/>
      </w:r>
    </w:p>
    <w:p w14:paraId="7A300484" w14:textId="44089501" w:rsidR="00305930" w:rsidRDefault="00305930" w:rsidP="0024494A">
      <w:pPr>
        <w:keepNext/>
        <w:keepLines/>
        <w:ind w:left="360"/>
      </w:pPr>
      <w:r>
        <w:br w:type="page"/>
      </w:r>
    </w:p>
    <w:p w14:paraId="73CCA9E7" w14:textId="7562CFF3" w:rsidR="00B00BA9" w:rsidRDefault="0024494A" w:rsidP="0024494A">
      <w:pPr>
        <w:keepNext/>
        <w:keepLines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Předpokládaný</w:t>
      </w:r>
      <w:r w:rsidRPr="002151FD">
        <w:rPr>
          <w:b/>
          <w:i/>
          <w:sz w:val="28"/>
          <w:szCs w:val="28"/>
        </w:rPr>
        <w:t xml:space="preserve"> </w:t>
      </w:r>
      <w:r w:rsidR="00B00BA9" w:rsidRPr="002151FD">
        <w:rPr>
          <w:b/>
          <w:i/>
          <w:sz w:val="28"/>
          <w:szCs w:val="28"/>
        </w:rPr>
        <w:t>výčet úkonů a činností nezbytných k realizaci zadáva</w:t>
      </w:r>
      <w:r w:rsidR="00B00BA9">
        <w:rPr>
          <w:b/>
          <w:i/>
          <w:sz w:val="28"/>
          <w:szCs w:val="28"/>
        </w:rPr>
        <w:t>cího řízení na veřejnou zakázku</w:t>
      </w:r>
    </w:p>
    <w:p w14:paraId="79DE431C" w14:textId="77777777" w:rsidR="00B00BA9" w:rsidRDefault="00B00BA9" w:rsidP="0024494A">
      <w:pPr>
        <w:keepNext/>
        <w:keepLines/>
        <w:numPr>
          <w:ilvl w:val="0"/>
          <w:numId w:val="47"/>
        </w:numPr>
        <w:spacing w:before="0" w:after="0" w:line="240" w:lineRule="auto"/>
        <w:rPr>
          <w:b/>
          <w:i/>
        </w:rPr>
      </w:pPr>
      <w:r w:rsidRPr="003E300E">
        <w:rPr>
          <w:b/>
          <w:i/>
        </w:rPr>
        <w:t>Činnosti spojené s přípravou oznámení zadávacího řízení a jeho zveřejnění</w:t>
      </w:r>
    </w:p>
    <w:p w14:paraId="5EC176CA" w14:textId="77777777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 xml:space="preserve">Převzetí podkladů a konzultace se zadavatelem k dalšímu postupu při realizaci veřejné zakázky. </w:t>
      </w:r>
    </w:p>
    <w:p w14:paraId="3EF719B2" w14:textId="77777777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 xml:space="preserve">Zpracování návrhu zadávacích podmínek, kvalifikačních kritérií a dílčích kritérií pro zadání veřejné zakázky včetně konzultací s mandantem (tj. zadavatelem); spolupráce se zadavatelem při finálním zpracování zadávací dokumentace. </w:t>
      </w:r>
    </w:p>
    <w:p w14:paraId="28A1943D" w14:textId="77777777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>Sestavení pokynů pro zpracování nabídky uchazeči (krycí list, přílohy, čestná prohlášení, jednotné zpracování nabídky a nabídkové ceny apod.).</w:t>
      </w:r>
    </w:p>
    <w:p w14:paraId="59C0A214" w14:textId="7EE7D3CF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 xml:space="preserve">Zpracování formuláře „Oznámení o </w:t>
      </w:r>
      <w:r w:rsidR="00362762">
        <w:t>zahájení</w:t>
      </w:r>
      <w:r w:rsidR="0024494A">
        <w:t xml:space="preserve"> zadávacího řízení</w:t>
      </w:r>
      <w:r>
        <w:t xml:space="preserve">“ a jeho </w:t>
      </w:r>
      <w:r w:rsidR="0024494A">
        <w:t>u</w:t>
      </w:r>
      <w:r>
        <w:t xml:space="preserve">veřejnění </w:t>
      </w:r>
      <w:r w:rsidR="0024494A">
        <w:t>ve Věstníku veřejných zakázek</w:t>
      </w:r>
      <w:r>
        <w:t>.</w:t>
      </w:r>
    </w:p>
    <w:p w14:paraId="4E16C2C4" w14:textId="7E9E7AB0" w:rsidR="00B00BA9" w:rsidRDefault="00305930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>U</w:t>
      </w:r>
      <w:r w:rsidR="00BD622B">
        <w:t>veřejnění povinných dokumentů na profilu zadavatele</w:t>
      </w:r>
      <w:r w:rsidR="00B00BA9">
        <w:t xml:space="preserve">. </w:t>
      </w:r>
    </w:p>
    <w:p w14:paraId="58F88844" w14:textId="63A57151" w:rsidR="00BD622B" w:rsidRPr="00305930" w:rsidRDefault="00362762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 w:rsidRPr="00305930">
        <w:t>Podpora při v</w:t>
      </w:r>
      <w:r w:rsidR="00BD622B" w:rsidRPr="00305930">
        <w:t>ypořádání „námitek“ řídícího orgánu k ZD v rámci ex ante kontroly i ex post kontroly</w:t>
      </w:r>
    </w:p>
    <w:p w14:paraId="17838F39" w14:textId="77777777" w:rsidR="00B00BA9" w:rsidRDefault="00B00BA9" w:rsidP="0024494A">
      <w:pPr>
        <w:keepNext/>
        <w:keepLines/>
      </w:pPr>
    </w:p>
    <w:p w14:paraId="2D1A4D82" w14:textId="77777777" w:rsidR="00B00BA9" w:rsidRDefault="00B00BA9" w:rsidP="0024494A">
      <w:pPr>
        <w:keepNext/>
        <w:keepLines/>
        <w:numPr>
          <w:ilvl w:val="0"/>
          <w:numId w:val="47"/>
        </w:numPr>
        <w:spacing w:before="0" w:after="0" w:line="240" w:lineRule="auto"/>
        <w:rPr>
          <w:b/>
          <w:i/>
        </w:rPr>
      </w:pPr>
      <w:r w:rsidRPr="0076610C">
        <w:rPr>
          <w:b/>
          <w:i/>
        </w:rPr>
        <w:t xml:space="preserve">Činnosti spojené s průběhem lhůt pro podání nabídek a realizací vlastního zadávacího řízení. </w:t>
      </w:r>
    </w:p>
    <w:p w14:paraId="06BE3873" w14:textId="77777777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 xml:space="preserve">Zpracování odpovědí na případné dodatečné dotazy k zadávací dokumentaci na základě konzultací se zadavatelem pověřenými osobami a jich distribuci všem zájemcům. </w:t>
      </w:r>
    </w:p>
    <w:p w14:paraId="4A88562A" w14:textId="77777777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>Administrativní zabezpečení přijímání obálek s nabídkami včetně kompletní administrace došlých a převzatých nabídek (fyzické převzetí zabezpečí zadavatel).</w:t>
      </w:r>
    </w:p>
    <w:p w14:paraId="6B5E608C" w14:textId="64FC61BB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>Příprava zpracování veškerých formulářů a dokumentů pro jednání komise v procesu otevírání obálek)</w:t>
      </w:r>
      <w:r w:rsidR="0024494A">
        <w:t xml:space="preserve"> </w:t>
      </w:r>
      <w:r>
        <w:t>Jmenování členů komise, prohlášení o nepodjatosti, jednací řád komise až po protokol o otevírání obálek a formulářů pro případné vyloučení uchazeče).</w:t>
      </w:r>
    </w:p>
    <w:p w14:paraId="1EAACC27" w14:textId="77777777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 xml:space="preserve">Organizační zajištění aktu otevírání obálek, moderování průběhu otevírání obálek a první jednání hodnotící komise, včetně zápisů. </w:t>
      </w:r>
    </w:p>
    <w:p w14:paraId="1966C039" w14:textId="77777777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 xml:space="preserve">Zpracování protokolu otevírání obálek, včetně všech náležitostí a příloh. </w:t>
      </w:r>
    </w:p>
    <w:p w14:paraId="15E90C32" w14:textId="413E2085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 xml:space="preserve">Posouzení nabídek z hlediska splnění kvalifikace </w:t>
      </w:r>
      <w:r w:rsidR="0024494A">
        <w:t>účastníků zadávacího řízení</w:t>
      </w:r>
      <w:r>
        <w:t xml:space="preserve">. </w:t>
      </w:r>
    </w:p>
    <w:p w14:paraId="2885AA90" w14:textId="77777777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 xml:space="preserve">Posouzení nabídek z hlediska splnění podmínek stanovených zákonem a zadavatelem včetně organizačního zabezpečení průběhu posuzování nabídek. </w:t>
      </w:r>
    </w:p>
    <w:p w14:paraId="2AED2C55" w14:textId="77777777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 xml:space="preserve">Zpracování veškerých případných souvisejících dokumentů (žádost o vysvětlení nejasností v nabídce, případně mimořádně nízké nabídkové ceny a formulářů pro oznámení případného vyloučení uchazeče). </w:t>
      </w:r>
    </w:p>
    <w:p w14:paraId="67CA806F" w14:textId="77777777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 xml:space="preserve">Organizační zabezpečení jednání hodnotící komise a průběhu hodnocení nabídek, zabezpečení veškerých nezbytných formulářů a dokumentů pro jednání hodnotící komise včetně závěrečného zpracování protokolu o jednání hodnotící komise. </w:t>
      </w:r>
    </w:p>
    <w:p w14:paraId="5EAE0E12" w14:textId="07726324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>Vypracování zprávy</w:t>
      </w:r>
      <w:r w:rsidR="0024494A">
        <w:t xml:space="preserve"> o hodnocení</w:t>
      </w:r>
      <w:r>
        <w:t xml:space="preserve"> v rozsahu stanoveném zákonem a její předání zadavateli. </w:t>
      </w:r>
    </w:p>
    <w:p w14:paraId="565EAA05" w14:textId="77777777" w:rsidR="00B00BA9" w:rsidRPr="00A70DB1" w:rsidRDefault="00B00BA9" w:rsidP="0024494A">
      <w:pPr>
        <w:keepNext/>
        <w:keepLines/>
        <w:rPr>
          <w:b/>
          <w:i/>
        </w:rPr>
      </w:pPr>
    </w:p>
    <w:p w14:paraId="08AD67B9" w14:textId="77777777" w:rsidR="00B00BA9" w:rsidRDefault="00B00BA9" w:rsidP="0024494A">
      <w:pPr>
        <w:keepNext/>
        <w:keepLines/>
        <w:numPr>
          <w:ilvl w:val="0"/>
          <w:numId w:val="47"/>
        </w:numPr>
        <w:spacing w:before="0" w:after="0" w:line="240" w:lineRule="auto"/>
        <w:rPr>
          <w:b/>
          <w:i/>
        </w:rPr>
      </w:pPr>
      <w:r w:rsidRPr="00A70DB1">
        <w:rPr>
          <w:b/>
          <w:i/>
        </w:rPr>
        <w:t>Činnosti spojené s ukončením zadávacího řízení</w:t>
      </w:r>
    </w:p>
    <w:p w14:paraId="7F70D8E1" w14:textId="38C786CC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 xml:space="preserve">Zpracování oznámení o výběru </w:t>
      </w:r>
      <w:r w:rsidR="0024494A">
        <w:t>dodavatele</w:t>
      </w:r>
      <w:r>
        <w:t xml:space="preserve"> a zabezpečení jeho distribuce všem uchazečům, kteří nebyli vyloučení a oznámení všem, kteří byli ze </w:t>
      </w:r>
      <w:r w:rsidR="0024494A">
        <w:t xml:space="preserve">zadávacího řízení </w:t>
      </w:r>
      <w:r>
        <w:t xml:space="preserve">vyloučeni. </w:t>
      </w:r>
    </w:p>
    <w:p w14:paraId="273D242E" w14:textId="77777777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 xml:space="preserve">Zpracování a zajištění oznámení o výsledku a písemné zprávy zadavatele o průběhu zadávacího řízení </w:t>
      </w:r>
    </w:p>
    <w:p w14:paraId="6FA1B6AD" w14:textId="77777777" w:rsidR="00B00BA9" w:rsidRDefault="00B00BA9" w:rsidP="0024494A">
      <w:pPr>
        <w:keepNext/>
        <w:keepLines/>
        <w:numPr>
          <w:ilvl w:val="0"/>
          <w:numId w:val="48"/>
        </w:numPr>
        <w:spacing w:before="0" w:after="0" w:line="240" w:lineRule="auto"/>
      </w:pPr>
      <w:r>
        <w:t xml:space="preserve">Administrativní ukončení zadávacího řízení, archivace a předání veškeré dokumentace k předmětné veřejné zakázce a průběhu řízení. </w:t>
      </w:r>
    </w:p>
    <w:p w14:paraId="29E9ED01" w14:textId="77777777" w:rsidR="00B00BA9" w:rsidRDefault="00B00BA9" w:rsidP="0024494A">
      <w:pPr>
        <w:keepNext/>
        <w:keepLines/>
        <w:spacing w:before="0" w:after="0" w:line="240" w:lineRule="auto"/>
        <w:ind w:left="1065"/>
      </w:pPr>
      <w:r>
        <w:t xml:space="preserve"> </w:t>
      </w:r>
    </w:p>
    <w:p w14:paraId="1AAF2228" w14:textId="77777777" w:rsidR="00B00BA9" w:rsidRPr="00A70DB1" w:rsidRDefault="00B00BA9" w:rsidP="0024494A">
      <w:pPr>
        <w:keepNext/>
        <w:keepLines/>
        <w:rPr>
          <w:b/>
          <w:i/>
        </w:rPr>
      </w:pPr>
      <w:r>
        <w:rPr>
          <w:b/>
          <w:i/>
        </w:rPr>
        <w:lastRenderedPageBreak/>
        <w:t>Výše uvedené činnosti zahrnují všechny činnosti, nezbytné k realizaci zadávacího řízení k předmětné veřejné zakázce</w:t>
      </w:r>
      <w:r>
        <w:rPr>
          <w:b/>
          <w:i/>
        </w:rPr>
        <w:tab/>
        <w:t xml:space="preserve">; pokud nejsou některé činnosti nebo úkony zahrnuty ve výše uvedeném výčtu činností má se zato, že jsou automaticky jeho obsahem. </w:t>
      </w:r>
    </w:p>
    <w:p w14:paraId="4BBE1B71" w14:textId="77777777" w:rsidR="004726AF" w:rsidRPr="004726AF" w:rsidRDefault="004726AF" w:rsidP="0024494A">
      <w:pPr>
        <w:keepNext/>
        <w:keepLines/>
      </w:pPr>
    </w:p>
    <w:sectPr w:rsidR="004726AF" w:rsidRPr="004726AF" w:rsidSect="002E14E6">
      <w:footerReference w:type="even" r:id="rId8"/>
      <w:footerReference w:type="defaul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60070" w14:textId="77777777" w:rsidR="00D81629" w:rsidRDefault="00D81629">
      <w:r>
        <w:separator/>
      </w:r>
    </w:p>
  </w:endnote>
  <w:endnote w:type="continuationSeparator" w:id="0">
    <w:p w14:paraId="414F54AA" w14:textId="77777777" w:rsidR="00D81629" w:rsidRDefault="00D8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E73A" w14:textId="77777777" w:rsidR="004E1E2F" w:rsidRDefault="003D5343" w:rsidP="004E7AC5">
    <w:pPr>
      <w:pStyle w:val="Zpat"/>
      <w:framePr w:wrap="around" w:vAnchor="text" w:hAnchor="margin" w:xAlign="right" w:y="1"/>
    </w:pPr>
    <w:r>
      <w:fldChar w:fldCharType="begin"/>
    </w:r>
    <w:r w:rsidR="004E1E2F">
      <w:instrText xml:space="preserve">PAGE  </w:instrText>
    </w:r>
    <w:r>
      <w:fldChar w:fldCharType="end"/>
    </w:r>
  </w:p>
  <w:p w14:paraId="540A8D5C" w14:textId="77777777" w:rsidR="004E1E2F" w:rsidRDefault="004E1E2F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9D97" w14:textId="1ED4B1A4" w:rsidR="004E1E2F" w:rsidRDefault="003D5343" w:rsidP="00841BD3">
    <w:pPr>
      <w:pStyle w:val="Zpat"/>
      <w:framePr w:wrap="around" w:vAnchor="text" w:hAnchor="margin" w:xAlign="center" w:y="1"/>
    </w:pPr>
    <w:r>
      <w:fldChar w:fldCharType="begin"/>
    </w:r>
    <w:r w:rsidR="00AC6C8D">
      <w:instrText xml:space="preserve">PAGE  </w:instrText>
    </w:r>
    <w:r>
      <w:fldChar w:fldCharType="separate"/>
    </w:r>
    <w:r w:rsidR="00A72AB9">
      <w:rPr>
        <w:noProof/>
      </w:rPr>
      <w:t>7</w:t>
    </w:r>
    <w:r>
      <w:rPr>
        <w:noProof/>
      </w:rPr>
      <w:fldChar w:fldCharType="end"/>
    </w:r>
  </w:p>
  <w:p w14:paraId="49D8A09E" w14:textId="77777777" w:rsidR="004E1E2F" w:rsidRDefault="004E1E2F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86E1" w14:textId="77777777" w:rsidR="00D81629" w:rsidRDefault="00D81629">
      <w:r>
        <w:separator/>
      </w:r>
    </w:p>
  </w:footnote>
  <w:footnote w:type="continuationSeparator" w:id="0">
    <w:p w14:paraId="759DDF63" w14:textId="77777777" w:rsidR="00D81629" w:rsidRDefault="00D8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E501B"/>
    <w:multiLevelType w:val="hybridMultilevel"/>
    <w:tmpl w:val="D7C095AC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33588"/>
    <w:multiLevelType w:val="hybridMultilevel"/>
    <w:tmpl w:val="5742E7F6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91795"/>
    <w:multiLevelType w:val="singleLevel"/>
    <w:tmpl w:val="BF525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D1596"/>
    <w:multiLevelType w:val="multilevel"/>
    <w:tmpl w:val="8F08980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2665" w:hanging="2268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467F0"/>
    <w:multiLevelType w:val="hybridMultilevel"/>
    <w:tmpl w:val="AF54AD18"/>
    <w:lvl w:ilvl="0" w:tplc="0FFEF8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4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21F115A"/>
    <w:multiLevelType w:val="hybridMultilevel"/>
    <w:tmpl w:val="961AE2F4"/>
    <w:lvl w:ilvl="0" w:tplc="579EC26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678D8"/>
    <w:multiLevelType w:val="hybridMultilevel"/>
    <w:tmpl w:val="0C80ECF4"/>
    <w:lvl w:ilvl="0" w:tplc="986605F4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u w:val="none"/>
      </w:rPr>
    </w:lvl>
    <w:lvl w:ilvl="1" w:tplc="00A40774">
      <w:start w:val="3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31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3"/>
  </w:num>
  <w:num w:numId="5">
    <w:abstractNumId w:val="20"/>
  </w:num>
  <w:num w:numId="6">
    <w:abstractNumId w:val="5"/>
  </w:num>
  <w:num w:numId="7">
    <w:abstractNumId w:val="21"/>
  </w:num>
  <w:num w:numId="8">
    <w:abstractNumId w:val="14"/>
  </w:num>
  <w:num w:numId="9">
    <w:abstractNumId w:val="10"/>
  </w:num>
  <w:num w:numId="10">
    <w:abstractNumId w:val="6"/>
  </w:num>
  <w:num w:numId="11">
    <w:abstractNumId w:val="23"/>
  </w:num>
  <w:num w:numId="12">
    <w:abstractNumId w:val="24"/>
  </w:num>
  <w:num w:numId="13">
    <w:abstractNumId w:val="26"/>
  </w:num>
  <w:num w:numId="14">
    <w:abstractNumId w:val="18"/>
  </w:num>
  <w:num w:numId="15">
    <w:abstractNumId w:val="12"/>
  </w:num>
  <w:num w:numId="16">
    <w:abstractNumId w:val="8"/>
  </w:num>
  <w:num w:numId="17">
    <w:abstractNumId w:val="31"/>
  </w:num>
  <w:num w:numId="18">
    <w:abstractNumId w:val="29"/>
  </w:num>
  <w:num w:numId="19">
    <w:abstractNumId w:val="17"/>
  </w:num>
  <w:num w:numId="20">
    <w:abstractNumId w:val="2"/>
  </w:num>
  <w:num w:numId="21">
    <w:abstractNumId w:val="7"/>
  </w:num>
  <w:num w:numId="22">
    <w:abstractNumId w:val="11"/>
  </w:num>
  <w:num w:numId="23">
    <w:abstractNumId w:val="19"/>
  </w:num>
  <w:num w:numId="24">
    <w:abstractNumId w:val="0"/>
  </w:num>
  <w:num w:numId="25">
    <w:abstractNumId w:val="28"/>
  </w:num>
  <w:num w:numId="26">
    <w:abstractNumId w:val="27"/>
  </w:num>
  <w:num w:numId="27">
    <w:abstractNumId w:val="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15"/>
  </w:num>
  <w:num w:numId="45">
    <w:abstractNumId w:val="16"/>
  </w:num>
  <w:num w:numId="46">
    <w:abstractNumId w:val="30"/>
  </w:num>
  <w:num w:numId="47">
    <w:abstractNumId w:val="22"/>
  </w:num>
  <w:num w:numId="48">
    <w:abstractNumId w:val="25"/>
  </w:num>
  <w:num w:numId="4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6C"/>
    <w:rsid w:val="00001C5F"/>
    <w:rsid w:val="00005658"/>
    <w:rsid w:val="00011D73"/>
    <w:rsid w:val="000378CD"/>
    <w:rsid w:val="000403EA"/>
    <w:rsid w:val="0004547E"/>
    <w:rsid w:val="000616F8"/>
    <w:rsid w:val="00085432"/>
    <w:rsid w:val="00094224"/>
    <w:rsid w:val="000957B6"/>
    <w:rsid w:val="00096A66"/>
    <w:rsid w:val="000B4EF9"/>
    <w:rsid w:val="000E3E63"/>
    <w:rsid w:val="000F11EE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2B3D"/>
    <w:rsid w:val="00143987"/>
    <w:rsid w:val="001542D6"/>
    <w:rsid w:val="001568BE"/>
    <w:rsid w:val="00164105"/>
    <w:rsid w:val="00167A6C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15545"/>
    <w:rsid w:val="00232738"/>
    <w:rsid w:val="00235649"/>
    <w:rsid w:val="00237B15"/>
    <w:rsid w:val="002441BE"/>
    <w:rsid w:val="0024494A"/>
    <w:rsid w:val="00246CEB"/>
    <w:rsid w:val="00250BA4"/>
    <w:rsid w:val="0025258A"/>
    <w:rsid w:val="00257B53"/>
    <w:rsid w:val="00261FDE"/>
    <w:rsid w:val="002650DC"/>
    <w:rsid w:val="00266A93"/>
    <w:rsid w:val="00274753"/>
    <w:rsid w:val="002916D3"/>
    <w:rsid w:val="00294664"/>
    <w:rsid w:val="002A2B24"/>
    <w:rsid w:val="002C1EE3"/>
    <w:rsid w:val="002D63C2"/>
    <w:rsid w:val="002E0499"/>
    <w:rsid w:val="002E14E6"/>
    <w:rsid w:val="002F1B06"/>
    <w:rsid w:val="003024C0"/>
    <w:rsid w:val="00305930"/>
    <w:rsid w:val="003104C0"/>
    <w:rsid w:val="00310887"/>
    <w:rsid w:val="00312984"/>
    <w:rsid w:val="003248E3"/>
    <w:rsid w:val="003308B2"/>
    <w:rsid w:val="00330DEF"/>
    <w:rsid w:val="003344C4"/>
    <w:rsid w:val="00336280"/>
    <w:rsid w:val="00336331"/>
    <w:rsid w:val="0034166E"/>
    <w:rsid w:val="0036100B"/>
    <w:rsid w:val="00362762"/>
    <w:rsid w:val="00373E78"/>
    <w:rsid w:val="00382B1F"/>
    <w:rsid w:val="00383174"/>
    <w:rsid w:val="003839AA"/>
    <w:rsid w:val="00394C73"/>
    <w:rsid w:val="00395E85"/>
    <w:rsid w:val="00396678"/>
    <w:rsid w:val="003A6F47"/>
    <w:rsid w:val="003B1986"/>
    <w:rsid w:val="003C709D"/>
    <w:rsid w:val="003D5343"/>
    <w:rsid w:val="003D73ED"/>
    <w:rsid w:val="003F239B"/>
    <w:rsid w:val="00405280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36E10"/>
    <w:rsid w:val="0044445E"/>
    <w:rsid w:val="00445227"/>
    <w:rsid w:val="004457FB"/>
    <w:rsid w:val="00445B28"/>
    <w:rsid w:val="00465937"/>
    <w:rsid w:val="004726AF"/>
    <w:rsid w:val="00473DB2"/>
    <w:rsid w:val="004A03E7"/>
    <w:rsid w:val="004A55AD"/>
    <w:rsid w:val="004B12E1"/>
    <w:rsid w:val="004B723E"/>
    <w:rsid w:val="004C707A"/>
    <w:rsid w:val="004E1E2F"/>
    <w:rsid w:val="004E7AC5"/>
    <w:rsid w:val="004F23AE"/>
    <w:rsid w:val="005032FD"/>
    <w:rsid w:val="00503DD0"/>
    <w:rsid w:val="00511032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C52C8"/>
    <w:rsid w:val="005E0ECD"/>
    <w:rsid w:val="005E7670"/>
    <w:rsid w:val="005F78D4"/>
    <w:rsid w:val="0060385E"/>
    <w:rsid w:val="0060508B"/>
    <w:rsid w:val="006112FF"/>
    <w:rsid w:val="00612172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C6D83"/>
    <w:rsid w:val="006D1758"/>
    <w:rsid w:val="006E0E84"/>
    <w:rsid w:val="006E4DB1"/>
    <w:rsid w:val="006F0A59"/>
    <w:rsid w:val="006F3343"/>
    <w:rsid w:val="00703838"/>
    <w:rsid w:val="00712D40"/>
    <w:rsid w:val="00732D27"/>
    <w:rsid w:val="00734BAB"/>
    <w:rsid w:val="00736372"/>
    <w:rsid w:val="00771E0A"/>
    <w:rsid w:val="007816A5"/>
    <w:rsid w:val="00782CAE"/>
    <w:rsid w:val="00792DDE"/>
    <w:rsid w:val="0079729D"/>
    <w:rsid w:val="00797CD5"/>
    <w:rsid w:val="007A476A"/>
    <w:rsid w:val="007B412B"/>
    <w:rsid w:val="007D0A13"/>
    <w:rsid w:val="007F7D2E"/>
    <w:rsid w:val="0083041A"/>
    <w:rsid w:val="00841BD3"/>
    <w:rsid w:val="00841C97"/>
    <w:rsid w:val="008465D7"/>
    <w:rsid w:val="0084767E"/>
    <w:rsid w:val="00856019"/>
    <w:rsid w:val="008618EE"/>
    <w:rsid w:val="00861CEC"/>
    <w:rsid w:val="00885890"/>
    <w:rsid w:val="00897288"/>
    <w:rsid w:val="00897781"/>
    <w:rsid w:val="008B0BCE"/>
    <w:rsid w:val="008B1A1B"/>
    <w:rsid w:val="008C39F1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6047B"/>
    <w:rsid w:val="00970BCA"/>
    <w:rsid w:val="00972CC0"/>
    <w:rsid w:val="009773D1"/>
    <w:rsid w:val="009804C0"/>
    <w:rsid w:val="00984E19"/>
    <w:rsid w:val="00987934"/>
    <w:rsid w:val="00995C08"/>
    <w:rsid w:val="00995FA9"/>
    <w:rsid w:val="009A2C03"/>
    <w:rsid w:val="009A4DCB"/>
    <w:rsid w:val="009B5D82"/>
    <w:rsid w:val="009D1850"/>
    <w:rsid w:val="009E3CEC"/>
    <w:rsid w:val="009E510E"/>
    <w:rsid w:val="009E6FEF"/>
    <w:rsid w:val="009F3F32"/>
    <w:rsid w:val="00A019CD"/>
    <w:rsid w:val="00A12AAE"/>
    <w:rsid w:val="00A152E5"/>
    <w:rsid w:val="00A252BD"/>
    <w:rsid w:val="00A32949"/>
    <w:rsid w:val="00A35F09"/>
    <w:rsid w:val="00A3737C"/>
    <w:rsid w:val="00A41429"/>
    <w:rsid w:val="00A51F93"/>
    <w:rsid w:val="00A72AB9"/>
    <w:rsid w:val="00A75FD7"/>
    <w:rsid w:val="00A97B3B"/>
    <w:rsid w:val="00AC11E5"/>
    <w:rsid w:val="00AC6C8D"/>
    <w:rsid w:val="00AC7A30"/>
    <w:rsid w:val="00AF43B6"/>
    <w:rsid w:val="00B00BA9"/>
    <w:rsid w:val="00B1339C"/>
    <w:rsid w:val="00B25548"/>
    <w:rsid w:val="00B269DC"/>
    <w:rsid w:val="00B35B1C"/>
    <w:rsid w:val="00B43415"/>
    <w:rsid w:val="00B50BEC"/>
    <w:rsid w:val="00B51432"/>
    <w:rsid w:val="00B5520C"/>
    <w:rsid w:val="00B57E05"/>
    <w:rsid w:val="00B64705"/>
    <w:rsid w:val="00B92C64"/>
    <w:rsid w:val="00B96DDB"/>
    <w:rsid w:val="00BA3980"/>
    <w:rsid w:val="00BB1E04"/>
    <w:rsid w:val="00BB5DB7"/>
    <w:rsid w:val="00BB75E7"/>
    <w:rsid w:val="00BD0209"/>
    <w:rsid w:val="00BD622B"/>
    <w:rsid w:val="00BE0F3F"/>
    <w:rsid w:val="00BF629B"/>
    <w:rsid w:val="00BF698A"/>
    <w:rsid w:val="00C03FDB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A41C8"/>
    <w:rsid w:val="00CA5EB2"/>
    <w:rsid w:val="00CB15CB"/>
    <w:rsid w:val="00CB5814"/>
    <w:rsid w:val="00CC163F"/>
    <w:rsid w:val="00CD1F9A"/>
    <w:rsid w:val="00CD295C"/>
    <w:rsid w:val="00CD6BF8"/>
    <w:rsid w:val="00CF12D0"/>
    <w:rsid w:val="00CF5AB3"/>
    <w:rsid w:val="00D10614"/>
    <w:rsid w:val="00D10F2C"/>
    <w:rsid w:val="00D255F3"/>
    <w:rsid w:val="00D35CCF"/>
    <w:rsid w:val="00D41E2A"/>
    <w:rsid w:val="00D43304"/>
    <w:rsid w:val="00D43B78"/>
    <w:rsid w:val="00D45DDB"/>
    <w:rsid w:val="00D50097"/>
    <w:rsid w:val="00D67D71"/>
    <w:rsid w:val="00D73BDE"/>
    <w:rsid w:val="00D81629"/>
    <w:rsid w:val="00D817FF"/>
    <w:rsid w:val="00D84F61"/>
    <w:rsid w:val="00D922A1"/>
    <w:rsid w:val="00D9784B"/>
    <w:rsid w:val="00DA7D60"/>
    <w:rsid w:val="00DB0617"/>
    <w:rsid w:val="00DB4725"/>
    <w:rsid w:val="00DB522B"/>
    <w:rsid w:val="00DC137C"/>
    <w:rsid w:val="00DC1A1C"/>
    <w:rsid w:val="00DC2981"/>
    <w:rsid w:val="00DE47B8"/>
    <w:rsid w:val="00E018C5"/>
    <w:rsid w:val="00E06B3E"/>
    <w:rsid w:val="00E10FD4"/>
    <w:rsid w:val="00E11807"/>
    <w:rsid w:val="00E12574"/>
    <w:rsid w:val="00E23498"/>
    <w:rsid w:val="00E2600C"/>
    <w:rsid w:val="00E3651A"/>
    <w:rsid w:val="00E40FFE"/>
    <w:rsid w:val="00E44595"/>
    <w:rsid w:val="00E52408"/>
    <w:rsid w:val="00E57702"/>
    <w:rsid w:val="00E57F70"/>
    <w:rsid w:val="00E62A08"/>
    <w:rsid w:val="00E646B4"/>
    <w:rsid w:val="00E6535F"/>
    <w:rsid w:val="00E7665D"/>
    <w:rsid w:val="00E80337"/>
    <w:rsid w:val="00E821F8"/>
    <w:rsid w:val="00E8596E"/>
    <w:rsid w:val="00E9440D"/>
    <w:rsid w:val="00E97192"/>
    <w:rsid w:val="00EB5F22"/>
    <w:rsid w:val="00EC5D60"/>
    <w:rsid w:val="00ED320A"/>
    <w:rsid w:val="00EF74FC"/>
    <w:rsid w:val="00F049D1"/>
    <w:rsid w:val="00F131C4"/>
    <w:rsid w:val="00F15793"/>
    <w:rsid w:val="00F25470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1D24"/>
    <w:rsid w:val="00FE2394"/>
    <w:rsid w:val="00FE291C"/>
    <w:rsid w:val="00FF1F11"/>
    <w:rsid w:val="00FF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92D74"/>
  <w15:docId w15:val="{E1CC121A-D689-43AA-854E-0B024A79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tabs>
        <w:tab w:val="clear" w:pos="1844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uiPriority w:val="39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character" w:styleId="Hypertextovodkaz">
    <w:name w:val="Hyperlink"/>
    <w:basedOn w:val="Standardnpsmoodstavce"/>
    <w:rsid w:val="004726AF"/>
    <w:rPr>
      <w:color w:val="0000FF" w:themeColor="hyperlink"/>
      <w:u w:val="single"/>
    </w:rPr>
  </w:style>
  <w:style w:type="character" w:customStyle="1" w:styleId="datalabel">
    <w:name w:val="datalabel"/>
    <w:basedOn w:val="Standardnpsmoodstavce"/>
    <w:rsid w:val="00972CC0"/>
  </w:style>
  <w:style w:type="character" w:customStyle="1" w:styleId="ZhlavChar">
    <w:name w:val="Záhlaví Char"/>
    <w:link w:val="Zhlav"/>
    <w:locked/>
    <w:rsid w:val="00D67D71"/>
    <w:rPr>
      <w:rFonts w:ascii="Calibri" w:hAnsi="Calibri"/>
      <w:sz w:val="22"/>
      <w:szCs w:val="24"/>
      <w:lang w:val="cs-CZ" w:eastAsia="cs-CZ"/>
    </w:rPr>
  </w:style>
  <w:style w:type="character" w:styleId="Odkaznakoment">
    <w:name w:val="annotation reference"/>
    <w:basedOn w:val="Standardnpsmoodstavce"/>
    <w:semiHidden/>
    <w:unhideWhenUsed/>
    <w:rsid w:val="008C39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B733D-83E3-4451-9023-746A478B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Smlouvy.dotm</Template>
  <TotalTime>1</TotalTime>
  <Pages>7</Pages>
  <Words>1904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Zuzana Zajicova</dc:creator>
  <cp:lastModifiedBy>Vetterlová Michaela</cp:lastModifiedBy>
  <cp:revision>2</cp:revision>
  <cp:lastPrinted>2004-09-01T08:56:00Z</cp:lastPrinted>
  <dcterms:created xsi:type="dcterms:W3CDTF">2018-05-04T07:38:00Z</dcterms:created>
  <dcterms:modified xsi:type="dcterms:W3CDTF">2018-05-04T07:38:00Z</dcterms:modified>
</cp:coreProperties>
</file>