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D6" w:rsidRDefault="007E53DF" w:rsidP="00C01DF9">
      <w:pPr>
        <w:spacing w:after="239"/>
        <w:ind w:left="-554"/>
        <w:jc w:val="center"/>
        <w:rPr>
          <w:sz w:val="30"/>
        </w:rPr>
      </w:pPr>
      <w:r>
        <w:rPr>
          <w:sz w:val="30"/>
        </w:rPr>
        <w:t xml:space="preserve">  </w:t>
      </w:r>
    </w:p>
    <w:p w:rsidR="00710811" w:rsidRPr="007E53DF" w:rsidRDefault="00C01DF9" w:rsidP="00C01DF9">
      <w:pPr>
        <w:spacing w:after="239"/>
        <w:ind w:left="-554"/>
        <w:jc w:val="center"/>
        <w:rPr>
          <w:b/>
        </w:rPr>
      </w:pPr>
      <w:bookmarkStart w:id="0" w:name="_GoBack"/>
      <w:bookmarkEnd w:id="0"/>
      <w:r w:rsidRPr="007E53DF">
        <w:rPr>
          <w:b/>
          <w:sz w:val="30"/>
        </w:rPr>
        <w:t>ŘEDITELSTVÍ SILNIC A DÁLNIC ČR</w:t>
      </w:r>
    </w:p>
    <w:p w:rsidR="00710811" w:rsidRDefault="00C01DF9">
      <w:pPr>
        <w:pStyle w:val="Nadpis1"/>
      </w:pPr>
      <w:r w:rsidRPr="007E53DF">
        <w:rPr>
          <w:b/>
        </w:rPr>
        <w:t>OBJEDNÁVKA (SMLOUVA</w:t>
      </w:r>
      <w:r>
        <w:t>)</w:t>
      </w:r>
    </w:p>
    <w:p w:rsidR="00710811" w:rsidRDefault="00C01DF9" w:rsidP="00C01DF9">
      <w:pPr>
        <w:tabs>
          <w:tab w:val="left" w:pos="6804"/>
        </w:tabs>
        <w:spacing w:after="30" w:line="254" w:lineRule="auto"/>
        <w:ind w:left="3957" w:right="2633" w:hanging="691"/>
      </w:pPr>
      <w:r>
        <w:rPr>
          <w:sz w:val="24"/>
        </w:rPr>
        <w:t>číslo objednatele: 06EU-003706 Číslo dodavatele:</w:t>
      </w:r>
    </w:p>
    <w:p w:rsidR="00710811" w:rsidRDefault="00C01DF9" w:rsidP="00C01DF9">
      <w:pPr>
        <w:tabs>
          <w:tab w:val="left" w:pos="6804"/>
        </w:tabs>
        <w:spacing w:after="341"/>
        <w:ind w:left="130"/>
        <w:jc w:val="center"/>
      </w:pPr>
      <w:r>
        <w:rPr>
          <w:sz w:val="24"/>
        </w:rPr>
        <w:t xml:space="preserve">ISPROFN/ISPROFOND: </w:t>
      </w:r>
      <w:r w:rsidRPr="00C01DF9">
        <w:rPr>
          <w:sz w:val="24"/>
          <w:highlight w:val="black"/>
        </w:rPr>
        <w:t>5001110007.31970</w:t>
      </w:r>
    </w:p>
    <w:p w:rsidR="00710811" w:rsidRPr="007E53DF" w:rsidRDefault="00C01DF9">
      <w:pPr>
        <w:pStyle w:val="Nadpis2"/>
        <w:rPr>
          <w:b/>
        </w:rPr>
      </w:pPr>
      <w:r>
        <w:rPr>
          <w:u w:val="none"/>
        </w:rPr>
        <w:t xml:space="preserve">Název zakázky: </w:t>
      </w:r>
      <w:r w:rsidRPr="007E53DF">
        <w:rPr>
          <w:b/>
        </w:rPr>
        <w:t>I/22 Kout na Šumavě — náhradní výsadba</w:t>
      </w:r>
    </w:p>
    <w:tbl>
      <w:tblPr>
        <w:tblStyle w:val="TableGrid"/>
        <w:tblW w:w="9419" w:type="dxa"/>
        <w:tblInd w:w="79" w:type="dxa"/>
        <w:tblLook w:val="04A0" w:firstRow="1" w:lastRow="0" w:firstColumn="1" w:lastColumn="0" w:noHBand="0" w:noVBand="1"/>
      </w:tblPr>
      <w:tblGrid>
        <w:gridCol w:w="5000"/>
        <w:gridCol w:w="4419"/>
      </w:tblGrid>
      <w:tr w:rsidR="00710811" w:rsidTr="007E53DF">
        <w:trPr>
          <w:trHeight w:val="262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710811" w:rsidRDefault="00C01DF9" w:rsidP="007E53DF">
            <w:pPr>
              <w:ind w:left="22"/>
            </w:pPr>
            <w:r>
              <w:rPr>
                <w:sz w:val="26"/>
              </w:rPr>
              <w:t>Objednatel: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</w:tcPr>
          <w:p w:rsidR="00710811" w:rsidRDefault="00C01DF9">
            <w:pPr>
              <w:ind w:left="29"/>
            </w:pPr>
            <w:r>
              <w:rPr>
                <w:sz w:val="26"/>
              </w:rPr>
              <w:t>Dodavatel:</w:t>
            </w:r>
          </w:p>
        </w:tc>
      </w:tr>
      <w:tr w:rsidR="00710811" w:rsidTr="007E53DF">
        <w:trPr>
          <w:trHeight w:val="278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710811" w:rsidRDefault="00C01DF9" w:rsidP="007E53DF">
            <w:pPr>
              <w:ind w:left="14"/>
            </w:pPr>
            <w:r>
              <w:rPr>
                <w:sz w:val="24"/>
              </w:rPr>
              <w:t xml:space="preserve">Ředitelství </w:t>
            </w:r>
            <w:r w:rsidR="007E53DF">
              <w:rPr>
                <w:sz w:val="24"/>
              </w:rPr>
              <w:t xml:space="preserve">silnic </w:t>
            </w:r>
            <w:r>
              <w:rPr>
                <w:sz w:val="24"/>
              </w:rPr>
              <w:t>a dálnic ČR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</w:tcPr>
          <w:p w:rsidR="00710811" w:rsidRDefault="00C01DF9" w:rsidP="007E53DF">
            <w:pPr>
              <w:tabs>
                <w:tab w:val="center" w:pos="482"/>
                <w:tab w:val="right" w:pos="4108"/>
              </w:tabs>
            </w:pPr>
            <w:r>
              <w:rPr>
                <w:sz w:val="24"/>
              </w:rPr>
              <w:tab/>
            </w:r>
            <w:r w:rsidR="007E53DF">
              <w:rPr>
                <w:noProof/>
              </w:rPr>
              <w:t xml:space="preserve">Obchodní </w:t>
            </w:r>
            <w:r>
              <w:rPr>
                <w:sz w:val="24"/>
              </w:rPr>
              <w:t xml:space="preserve">jméno: </w:t>
            </w:r>
            <w:r w:rsidR="007E53DF">
              <w:rPr>
                <w:sz w:val="24"/>
              </w:rPr>
              <w:t>Ing. Karel Kun</w:t>
            </w:r>
            <w:r>
              <w:rPr>
                <w:sz w:val="24"/>
              </w:rPr>
              <w:t>eš - GAN</w:t>
            </w:r>
          </w:p>
        </w:tc>
      </w:tr>
      <w:tr w:rsidR="00710811" w:rsidTr="007E53DF">
        <w:trPr>
          <w:trHeight w:val="28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710811" w:rsidRDefault="00C01DF9" w:rsidP="007E53DF">
            <w:pPr>
              <w:tabs>
                <w:tab w:val="center" w:pos="3176"/>
              </w:tabs>
            </w:pPr>
            <w:r>
              <w:rPr>
                <w:sz w:val="24"/>
              </w:rPr>
              <w:t xml:space="preserve">Správa Plzeň, </w:t>
            </w:r>
            <w:r w:rsidR="007E53DF">
              <w:rPr>
                <w:sz w:val="24"/>
              </w:rPr>
              <w:t xml:space="preserve">Hřímalého </w:t>
            </w:r>
            <w:r>
              <w:rPr>
                <w:sz w:val="24"/>
              </w:rPr>
              <w:tab/>
              <w:t>37, 301 00 Plzeň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</w:tcPr>
          <w:p w:rsidR="00710811" w:rsidRDefault="007E53DF">
            <w:pPr>
              <w:ind w:left="14"/>
              <w:jc w:val="both"/>
            </w:pPr>
            <w:r>
              <w:rPr>
                <w:sz w:val="24"/>
              </w:rPr>
              <w:t>Adr</w:t>
            </w:r>
            <w:r w:rsidR="00C01DF9">
              <w:rPr>
                <w:sz w:val="24"/>
              </w:rPr>
              <w:t>esa: Klenčí pod Čerchovem 359, 345 34</w:t>
            </w:r>
          </w:p>
        </w:tc>
      </w:tr>
      <w:tr w:rsidR="00710811" w:rsidTr="007E53DF">
        <w:trPr>
          <w:trHeight w:val="289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710811" w:rsidRDefault="00C01DF9" w:rsidP="007E53DF">
            <w:pPr>
              <w:ind w:left="7"/>
            </w:pPr>
            <w:r>
              <w:rPr>
                <w:sz w:val="24"/>
              </w:rPr>
              <w:t xml:space="preserve">Bankovní spojení: </w:t>
            </w:r>
            <w:r w:rsidRPr="007E53DF">
              <w:rPr>
                <w:sz w:val="24"/>
                <w:highlight w:val="black"/>
              </w:rPr>
              <w:t>ČNB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</w:tcPr>
          <w:p w:rsidR="00710811" w:rsidRDefault="00C01DF9">
            <w:pPr>
              <w:ind w:left="7"/>
            </w:pPr>
            <w:r>
              <w:rPr>
                <w:sz w:val="24"/>
              </w:rPr>
              <w:t xml:space="preserve">Bankovní spojení: </w:t>
            </w:r>
            <w:r w:rsidRPr="007E53DF">
              <w:rPr>
                <w:sz w:val="24"/>
                <w:highlight w:val="black"/>
              </w:rPr>
              <w:t>Kcxnerční banh, a.s.</w:t>
            </w:r>
            <w:r w:rsidRPr="007E53DF">
              <w:rPr>
                <w:noProof/>
                <w:highlight w:val="black"/>
              </w:rPr>
              <w:drawing>
                <wp:inline distT="0" distB="0" distL="0" distR="0">
                  <wp:extent cx="4569" cy="4568"/>
                  <wp:effectExtent l="0" t="0" r="0" b="0"/>
                  <wp:docPr id="1773" name="Picture 1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Picture 17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811" w:rsidTr="007E53DF">
        <w:trPr>
          <w:trHeight w:val="256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710811" w:rsidRDefault="007E53DF" w:rsidP="007E53DF">
            <w:pPr>
              <w:tabs>
                <w:tab w:val="center" w:pos="2122"/>
              </w:tabs>
            </w:pPr>
            <w:r>
              <w:rPr>
                <w:sz w:val="24"/>
              </w:rPr>
              <w:t>Č</w:t>
            </w:r>
            <w:r w:rsidR="00C01DF9">
              <w:rPr>
                <w:sz w:val="24"/>
              </w:rPr>
              <w:t xml:space="preserve">íslo </w:t>
            </w:r>
            <w:r>
              <w:rPr>
                <w:sz w:val="24"/>
              </w:rPr>
              <w:t xml:space="preserve">účtu: </w:t>
            </w:r>
            <w:r w:rsidR="00C01DF9">
              <w:rPr>
                <w:sz w:val="24"/>
              </w:rPr>
              <w:tab/>
            </w:r>
            <w:r w:rsidR="00C01DF9" w:rsidRPr="007E53DF">
              <w:rPr>
                <w:sz w:val="24"/>
                <w:highlight w:val="black"/>
              </w:rPr>
              <w:t>20001-15937031/0710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</w:tcPr>
          <w:p w:rsidR="00710811" w:rsidRDefault="00C01DF9">
            <w:pPr>
              <w:ind w:left="7"/>
            </w:pPr>
            <w:r>
              <w:rPr>
                <w:sz w:val="24"/>
              </w:rPr>
              <w:t xml:space="preserve">číslo účtu: </w:t>
            </w:r>
            <w:r w:rsidRPr="007E53DF">
              <w:rPr>
                <w:sz w:val="24"/>
                <w:highlight w:val="black"/>
              </w:rPr>
              <w:t>107-7382380257/0100</w:t>
            </w:r>
          </w:p>
        </w:tc>
      </w:tr>
      <w:tr w:rsidR="00710811" w:rsidTr="007E53DF">
        <w:trPr>
          <w:trHeight w:val="27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710811" w:rsidRDefault="00C01DF9" w:rsidP="007E53DF">
            <w:r>
              <w:rPr>
                <w:sz w:val="24"/>
              </w:rPr>
              <w:t>IČO: 65993390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</w:tcPr>
          <w:p w:rsidR="00710811" w:rsidRDefault="007E53DF">
            <w:pPr>
              <w:ind w:left="14"/>
            </w:pPr>
            <w:r>
              <w:rPr>
                <w:sz w:val="24"/>
              </w:rPr>
              <w:t>IČO: 61786</w:t>
            </w:r>
            <w:r w:rsidR="00C01DF9">
              <w:rPr>
                <w:sz w:val="24"/>
              </w:rPr>
              <w:t>136</w:t>
            </w:r>
          </w:p>
        </w:tc>
      </w:tr>
      <w:tr w:rsidR="00710811" w:rsidTr="007E53DF">
        <w:trPr>
          <w:trHeight w:val="567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710811" w:rsidRDefault="00C01DF9" w:rsidP="007E53DF">
            <w:r>
              <w:rPr>
                <w:sz w:val="24"/>
              </w:rPr>
              <w:t>DIČ: CZ65993390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</w:tcPr>
          <w:p w:rsidR="00710811" w:rsidRPr="007E53DF" w:rsidRDefault="00C01DF9">
            <w:pPr>
              <w:spacing w:after="29"/>
              <w:ind w:left="7"/>
              <w:rPr>
                <w:sz w:val="24"/>
                <w:szCs w:val="24"/>
              </w:rPr>
            </w:pPr>
            <w:r w:rsidRPr="007E53DF">
              <w:rPr>
                <w:rFonts w:eastAsia="Courier New"/>
                <w:sz w:val="24"/>
                <w:szCs w:val="24"/>
              </w:rPr>
              <w:t>DIČ: CZ6411231926</w:t>
            </w:r>
          </w:p>
          <w:p w:rsidR="00710811" w:rsidRDefault="00C01DF9">
            <w:r>
              <w:rPr>
                <w:sz w:val="24"/>
              </w:rPr>
              <w:t xml:space="preserve">Kontaktní osoba: </w:t>
            </w:r>
            <w:r w:rsidRPr="007E53DF">
              <w:rPr>
                <w:sz w:val="24"/>
                <w:highlight w:val="black"/>
              </w:rPr>
              <w:t>Karel Kuneš</w:t>
            </w:r>
          </w:p>
        </w:tc>
      </w:tr>
    </w:tbl>
    <w:p w:rsidR="00710811" w:rsidRDefault="00C01DF9">
      <w:pPr>
        <w:spacing w:after="84" w:line="254" w:lineRule="auto"/>
        <w:ind w:left="38" w:right="50" w:hanging="3"/>
        <w:jc w:val="both"/>
      </w:pPr>
      <w:r>
        <w:rPr>
          <w:sz w:val="24"/>
        </w:rPr>
        <w:t xml:space="preserve">Tato - smlouva </w:t>
      </w:r>
      <w:r w:rsidR="007E53DF">
        <w:rPr>
          <w:noProof/>
        </w:rPr>
        <w:t>Objednatele</w:t>
      </w:r>
      <w:r w:rsidR="007E53DF">
        <w:rPr>
          <w:sz w:val="24"/>
        </w:rPr>
        <w:t xml:space="preserve"> zav</w:t>
      </w:r>
      <w:r>
        <w:rPr>
          <w:sz w:val="24"/>
        </w:rPr>
        <w:t>azuje po jejím potv</w:t>
      </w:r>
      <w:r w:rsidR="007E53DF">
        <w:rPr>
          <w:sz w:val="24"/>
        </w:rPr>
        <w:t>rzení Dodavatelem obě smluvní st</w:t>
      </w:r>
      <w:r>
        <w:rPr>
          <w:sz w:val="24"/>
        </w:rPr>
        <w:t>rany ke</w:t>
      </w:r>
      <w:r w:rsidR="007E53DF">
        <w:rPr>
          <w:sz w:val="24"/>
        </w:rPr>
        <w:t xml:space="preserve"> splnění</w:t>
      </w:r>
      <w:r>
        <w:rPr>
          <w:sz w:val="24"/>
        </w:rPr>
        <w:t xml:space="preserve"> stanovených </w:t>
      </w:r>
      <w:r w:rsidR="007E53DF">
        <w:rPr>
          <w:sz w:val="24"/>
        </w:rPr>
        <w:t>závazků a nahrazuj</w:t>
      </w:r>
      <w:r>
        <w:rPr>
          <w:sz w:val="24"/>
        </w:rPr>
        <w:t>e smlouvu Dodavatel se zavazuj</w:t>
      </w:r>
      <w:r w:rsidR="007E53DF">
        <w:rPr>
          <w:sz w:val="24"/>
        </w:rPr>
        <w:t>e provést na svůj náklad a nebezp</w:t>
      </w:r>
      <w:r>
        <w:rPr>
          <w:sz w:val="24"/>
        </w:rPr>
        <w:t>ečí pro Objednatele služby sp</w:t>
      </w:r>
      <w:r w:rsidR="007E53DF">
        <w:rPr>
          <w:sz w:val="24"/>
        </w:rPr>
        <w:t>ecifikované níže. Objednatel se zavazuje za</w:t>
      </w:r>
      <w:r>
        <w:rPr>
          <w:sz w:val="24"/>
        </w:rPr>
        <w:t>platit</w:t>
      </w:r>
      <w:r w:rsidR="007E53DF">
        <w:rPr>
          <w:sz w:val="24"/>
        </w:rPr>
        <w:t xml:space="preserve"> za</w:t>
      </w:r>
      <w:r>
        <w:rPr>
          <w:sz w:val="24"/>
        </w:rPr>
        <w:t xml:space="preserve"> služby </w:t>
      </w:r>
      <w:r w:rsidR="007E53DF">
        <w:rPr>
          <w:sz w:val="24"/>
        </w:rPr>
        <w:t>poskytnuté v souladu s touto</w:t>
      </w:r>
      <w:r>
        <w:rPr>
          <w:sz w:val="24"/>
        </w:rPr>
        <w:t xml:space="preserve"> objednávkou cenu uvedenou níže.</w:t>
      </w:r>
    </w:p>
    <w:p w:rsidR="00710811" w:rsidRDefault="007E53DF">
      <w:pPr>
        <w:spacing w:after="5" w:line="254" w:lineRule="auto"/>
        <w:ind w:left="38" w:right="50" w:hanging="3"/>
        <w:jc w:val="both"/>
      </w:pPr>
      <w:r>
        <w:rPr>
          <w:sz w:val="24"/>
        </w:rPr>
        <w:t xml:space="preserve">Místo </w:t>
      </w:r>
      <w:r w:rsidR="00C01DF9">
        <w:rPr>
          <w:sz w:val="24"/>
        </w:rPr>
        <w:t>plnění: s</w:t>
      </w:r>
      <w:r>
        <w:rPr>
          <w:sz w:val="24"/>
        </w:rPr>
        <w:t>i</w:t>
      </w:r>
      <w:r w:rsidR="00C01DF9">
        <w:rPr>
          <w:sz w:val="24"/>
        </w:rPr>
        <w:t>l</w:t>
      </w:r>
      <w:r>
        <w:rPr>
          <w:sz w:val="24"/>
        </w:rPr>
        <w:t>.  I/22 v km</w:t>
      </w:r>
      <w:r w:rsidR="00C01DF9">
        <w:rPr>
          <w:sz w:val="24"/>
        </w:rPr>
        <w:t xml:space="preserve"> 13,495 — 13,820</w:t>
      </w:r>
    </w:p>
    <w:p w:rsidR="00710811" w:rsidRDefault="007E53DF">
      <w:pPr>
        <w:spacing w:after="131"/>
        <w:ind w:left="43"/>
      </w:pPr>
      <w:r>
        <w:rPr>
          <w:sz w:val="26"/>
        </w:rPr>
        <w:t>Kontak</w:t>
      </w:r>
      <w:r w:rsidR="00C01DF9">
        <w:rPr>
          <w:sz w:val="26"/>
        </w:rPr>
        <w:t xml:space="preserve">tní osoba Objednatele: </w:t>
      </w:r>
      <w:r w:rsidR="00C01DF9" w:rsidRPr="007E53DF">
        <w:rPr>
          <w:sz w:val="26"/>
          <w:highlight w:val="black"/>
        </w:rPr>
        <w:t>Ladislava Martínková, tel. 377 333 761</w:t>
      </w:r>
    </w:p>
    <w:p w:rsidR="00710811" w:rsidRDefault="007E53DF">
      <w:pPr>
        <w:tabs>
          <w:tab w:val="center" w:pos="5464"/>
        </w:tabs>
        <w:spacing w:after="118" w:line="254" w:lineRule="auto"/>
      </w:pPr>
      <w:r>
        <w:rPr>
          <w:sz w:val="24"/>
        </w:rPr>
        <w:t>Fakturuj</w:t>
      </w:r>
      <w:r w:rsidR="00C01DF9">
        <w:rPr>
          <w:sz w:val="24"/>
        </w:rPr>
        <w:t xml:space="preserve">te: Ředitelství </w:t>
      </w:r>
      <w:r>
        <w:rPr>
          <w:sz w:val="24"/>
        </w:rPr>
        <w:t xml:space="preserve">silnic </w:t>
      </w:r>
      <w:r w:rsidR="00C01DF9">
        <w:rPr>
          <w:sz w:val="24"/>
        </w:rPr>
        <w:t xml:space="preserve">a </w:t>
      </w:r>
      <w:r>
        <w:rPr>
          <w:sz w:val="24"/>
        </w:rPr>
        <w:t>dálnic ČR, Správa Plzeň, Hří</w:t>
      </w:r>
      <w:r w:rsidR="00C01DF9">
        <w:rPr>
          <w:sz w:val="24"/>
        </w:rPr>
        <w:t>malého 37, 301 00 Plzeň</w:t>
      </w:r>
    </w:p>
    <w:p w:rsidR="00710811" w:rsidRDefault="00C01DF9">
      <w:pPr>
        <w:spacing w:after="164" w:line="254" w:lineRule="auto"/>
        <w:ind w:left="38" w:right="50" w:hanging="3"/>
        <w:jc w:val="both"/>
        <w:rPr>
          <w:sz w:val="24"/>
        </w:rPr>
      </w:pPr>
      <w:r>
        <w:rPr>
          <w:sz w:val="24"/>
        </w:rPr>
        <w:t>Obchodní a p</w:t>
      </w:r>
      <w:r w:rsidR="007E53DF">
        <w:rPr>
          <w:sz w:val="24"/>
        </w:rPr>
        <w:t>la</w:t>
      </w:r>
      <w:r>
        <w:rPr>
          <w:sz w:val="24"/>
        </w:rPr>
        <w:t>tební</w:t>
      </w:r>
      <w:r w:rsidR="007E53DF">
        <w:rPr>
          <w:sz w:val="24"/>
        </w:rPr>
        <w:t xml:space="preserve"> podmínky:</w:t>
      </w:r>
      <w:r>
        <w:rPr>
          <w:sz w:val="24"/>
        </w:rPr>
        <w:t xml:space="preserve">  Objednatel uhradí cenu jednorázovým bankovním p</w:t>
      </w:r>
      <w:r w:rsidR="007E53DF">
        <w:rPr>
          <w:sz w:val="24"/>
        </w:rPr>
        <w:t>řevodem na účet Dodavatele uvedený na faktuře, termín splatn</w:t>
      </w:r>
      <w:r>
        <w:rPr>
          <w:sz w:val="24"/>
        </w:rPr>
        <w:t>osti je stanoven na 30 dnů ode dne doručení faktury Objednateli</w:t>
      </w:r>
      <w:r w:rsidR="007E53DF">
        <w:rPr>
          <w:sz w:val="24"/>
        </w:rPr>
        <w:t>.  Fakt</w:t>
      </w:r>
      <w:r>
        <w:rPr>
          <w:sz w:val="24"/>
        </w:rPr>
        <w:t>uru lze před</w:t>
      </w:r>
      <w:r w:rsidR="007E53DF">
        <w:rPr>
          <w:sz w:val="24"/>
        </w:rPr>
        <w:t>ložit nejdří</w:t>
      </w:r>
      <w:r>
        <w:rPr>
          <w:sz w:val="24"/>
        </w:rPr>
        <w:t xml:space="preserve">ve po </w:t>
      </w:r>
      <w:r w:rsidRPr="007E53DF">
        <w:rPr>
          <w:sz w:val="24"/>
        </w:rPr>
        <w:t>protokol</w:t>
      </w:r>
      <w:r w:rsidR="007E53DF" w:rsidRPr="007E53DF">
        <w:rPr>
          <w:sz w:val="24"/>
        </w:rPr>
        <w:t>árn</w:t>
      </w:r>
      <w:r w:rsidRPr="007E53DF">
        <w:rPr>
          <w:sz w:val="24"/>
        </w:rPr>
        <w:t>ím</w:t>
      </w:r>
      <w:r>
        <w:rPr>
          <w:sz w:val="24"/>
        </w:rPr>
        <w:t xml:space="preserve"> převzetí služeb Objedn</w:t>
      </w:r>
      <w:r w:rsidR="007E53DF">
        <w:rPr>
          <w:sz w:val="24"/>
        </w:rPr>
        <w:t>atelem bez vad či nedodělků. Fakt</w:t>
      </w:r>
      <w:r>
        <w:rPr>
          <w:sz w:val="24"/>
        </w:rPr>
        <w:t xml:space="preserve">ura </w:t>
      </w:r>
      <w:r w:rsidR="007E53DF">
        <w:rPr>
          <w:sz w:val="24"/>
        </w:rPr>
        <w:t>musí obsahovat veškeré náležitosti</w:t>
      </w:r>
      <w:r>
        <w:rPr>
          <w:sz w:val="24"/>
        </w:rPr>
        <w:t xml:space="preserve"> stanovené platnými právními předpisy, číslo objednávky a místo </w:t>
      </w:r>
      <w:r w:rsidR="007E53DF">
        <w:rPr>
          <w:sz w:val="24"/>
        </w:rPr>
        <w:t xml:space="preserve">dodání. Objednatel neposkytuje žádné zálohy na cenu, ani dílčí platby ceny. </w:t>
      </w:r>
      <w:r>
        <w:rPr>
          <w:sz w:val="24"/>
        </w:rPr>
        <w:t xml:space="preserve"> </w:t>
      </w:r>
      <w:r w:rsidR="007E53DF">
        <w:rPr>
          <w:noProof/>
        </w:rPr>
        <w:t>Potvrzením</w:t>
      </w:r>
      <w:r w:rsidR="007E53DF">
        <w:rPr>
          <w:sz w:val="24"/>
        </w:rPr>
        <w:t xml:space="preserve"> přijetí</w:t>
      </w:r>
      <w:r>
        <w:rPr>
          <w:sz w:val="24"/>
        </w:rPr>
        <w:t xml:space="preserve"> (akceptací</w:t>
      </w:r>
      <w:r w:rsidR="007E53DF">
        <w:rPr>
          <w:sz w:val="24"/>
        </w:rPr>
        <w:t>) této objednávky se Dodavatel za</w:t>
      </w:r>
      <w:r>
        <w:rPr>
          <w:sz w:val="24"/>
        </w:rPr>
        <w:t xml:space="preserve">vazuje plnit veškeré </w:t>
      </w:r>
      <w:r w:rsidR="007E53DF">
        <w:rPr>
          <w:noProof/>
        </w:rPr>
        <w:t>povinnosti</w:t>
      </w:r>
      <w:r w:rsidR="007E53DF">
        <w:rPr>
          <w:sz w:val="24"/>
        </w:rPr>
        <w:t xml:space="preserve"> v této objednávce uvedené. Objednatel výslovně </w:t>
      </w:r>
      <w:r w:rsidR="00887119">
        <w:rPr>
          <w:sz w:val="24"/>
        </w:rPr>
        <w:t>vylučuje</w:t>
      </w:r>
      <w:r>
        <w:rPr>
          <w:sz w:val="24"/>
        </w:rPr>
        <w:t xml:space="preserve"> akceptaci</w:t>
      </w:r>
      <w:r w:rsidR="00887119">
        <w:rPr>
          <w:sz w:val="24"/>
        </w:rPr>
        <w:t xml:space="preserve"> objednávky Dodavatelem s jakýmikoliv zm</w:t>
      </w:r>
      <w:r>
        <w:rPr>
          <w:sz w:val="24"/>
        </w:rPr>
        <w:t>ěnami jejího k takovému prá</w:t>
      </w:r>
      <w:r w:rsidR="00887119">
        <w:rPr>
          <w:sz w:val="24"/>
        </w:rPr>
        <w:t>vnímu jednání Dodavatele se nepři</w:t>
      </w:r>
      <w:r>
        <w:rPr>
          <w:sz w:val="24"/>
        </w:rPr>
        <w:t>hlíží. Dodavatel poskytuje souhlas s uveřejněním objednávky a jej</w:t>
      </w:r>
      <w:r w:rsidR="00887119">
        <w:rPr>
          <w:sz w:val="24"/>
        </w:rPr>
        <w:t>ího potvrzení v registru smluv zřízeným zákonem č. 340/2015 Sb.,</w:t>
      </w:r>
      <w:r>
        <w:rPr>
          <w:sz w:val="24"/>
        </w:rPr>
        <w:t xml:space="preserve"> o zvláštních podmínkách účinnosti některých smluv, </w:t>
      </w:r>
      <w:r w:rsidR="00887119">
        <w:rPr>
          <w:noProof/>
        </w:rPr>
        <w:t xml:space="preserve">uveřejňování </w:t>
      </w:r>
      <w:r>
        <w:rPr>
          <w:sz w:val="24"/>
        </w:rPr>
        <w:t>těchto smluv a o regis</w:t>
      </w:r>
      <w:r w:rsidR="00887119">
        <w:rPr>
          <w:sz w:val="24"/>
        </w:rPr>
        <w:t>tru s</w:t>
      </w:r>
      <w:r>
        <w:rPr>
          <w:sz w:val="24"/>
        </w:rPr>
        <w:t>e mění pozdějších předpisů (dále jako „</w:t>
      </w:r>
      <w:r w:rsidR="00887119">
        <w:rPr>
          <w:sz w:val="24"/>
        </w:rPr>
        <w:t>zákon o registru sm</w:t>
      </w:r>
      <w:r>
        <w:rPr>
          <w:sz w:val="24"/>
        </w:rPr>
        <w:t>luv”), Objednatelem. Objednávka</w:t>
      </w:r>
      <w:r w:rsidR="00887119">
        <w:rPr>
          <w:sz w:val="24"/>
        </w:rPr>
        <w:t xml:space="preserve"> je účinná okamžikem zveřejnění v registru</w:t>
      </w:r>
      <w:r>
        <w:rPr>
          <w:sz w:val="24"/>
        </w:rPr>
        <w:t xml:space="preserve"> smluv, </w:t>
      </w:r>
      <w:r w:rsidR="00887119">
        <w:rPr>
          <w:noProof/>
        </w:rPr>
        <w:t xml:space="preserve">přičemž </w:t>
      </w:r>
      <w:r w:rsidR="00887119">
        <w:rPr>
          <w:sz w:val="24"/>
        </w:rPr>
        <w:t>Objednatel o této skutečnosti Dodavatele informuje. Objednatel je oprávněn kdykoliv po uzav</w:t>
      </w:r>
      <w:r>
        <w:rPr>
          <w:sz w:val="24"/>
        </w:rPr>
        <w:t>ření obj</w:t>
      </w:r>
      <w:r w:rsidR="00887119">
        <w:rPr>
          <w:sz w:val="24"/>
        </w:rPr>
        <w:t>ednáv</w:t>
      </w:r>
      <w:r>
        <w:rPr>
          <w:sz w:val="24"/>
        </w:rPr>
        <w:t>ky tuto obj</w:t>
      </w:r>
      <w:r w:rsidR="00887119">
        <w:rPr>
          <w:sz w:val="24"/>
        </w:rPr>
        <w:t>ednávku vypovědět s účinky od do</w:t>
      </w:r>
      <w:r>
        <w:rPr>
          <w:sz w:val="24"/>
        </w:rPr>
        <w:t>ručení písemné výpovědi Dodava</w:t>
      </w:r>
      <w:r w:rsidR="00887119">
        <w:rPr>
          <w:sz w:val="24"/>
        </w:rPr>
        <w:t>teli, a to i bez uvedení důvodu.  Výpověď objednávky dle př</w:t>
      </w:r>
      <w:r>
        <w:rPr>
          <w:sz w:val="24"/>
        </w:rPr>
        <w:t>edcházející vě</w:t>
      </w:r>
      <w:r w:rsidR="00887119">
        <w:rPr>
          <w:sz w:val="24"/>
        </w:rPr>
        <w:t>ty nemá vliv na již řádně poskytn</w:t>
      </w:r>
      <w:r>
        <w:rPr>
          <w:sz w:val="24"/>
        </w:rPr>
        <w:t xml:space="preserve">uté plnění včetně práv a </w:t>
      </w:r>
      <w:r w:rsidR="00887119">
        <w:rPr>
          <w:noProof/>
        </w:rPr>
        <w:t xml:space="preserve">povinností </w:t>
      </w:r>
      <w:r>
        <w:rPr>
          <w:sz w:val="24"/>
        </w:rPr>
        <w:t>z něj vyplývajících</w:t>
      </w:r>
      <w:r w:rsidR="00887119">
        <w:rPr>
          <w:sz w:val="24"/>
        </w:rPr>
        <w:t>.</w:t>
      </w:r>
    </w:p>
    <w:p w:rsidR="00887119" w:rsidRDefault="00887119">
      <w:pPr>
        <w:spacing w:after="164" w:line="254" w:lineRule="auto"/>
        <w:ind w:left="38" w:right="50" w:hanging="3"/>
        <w:jc w:val="both"/>
        <w:rPr>
          <w:sz w:val="24"/>
        </w:rPr>
      </w:pPr>
    </w:p>
    <w:p w:rsidR="00887119" w:rsidRDefault="00887119">
      <w:pPr>
        <w:spacing w:after="164" w:line="254" w:lineRule="auto"/>
        <w:ind w:left="38" w:right="50" w:hanging="3"/>
        <w:jc w:val="both"/>
        <w:rPr>
          <w:sz w:val="24"/>
        </w:rPr>
      </w:pPr>
    </w:p>
    <w:p w:rsidR="00887119" w:rsidRDefault="00887119">
      <w:pPr>
        <w:spacing w:after="164" w:line="254" w:lineRule="auto"/>
        <w:ind w:left="38" w:right="50" w:hanging="3"/>
        <w:jc w:val="both"/>
      </w:pPr>
    </w:p>
    <w:p w:rsidR="00710811" w:rsidRDefault="00887119">
      <w:pPr>
        <w:spacing w:after="51" w:line="266" w:lineRule="auto"/>
        <w:ind w:left="21" w:firstLine="4"/>
      </w:pPr>
      <w:r>
        <w:rPr>
          <w:sz w:val="24"/>
        </w:rPr>
        <w:t>Záruční lhůta: záručn</w:t>
      </w:r>
      <w:r w:rsidR="00C01DF9">
        <w:rPr>
          <w:sz w:val="24"/>
        </w:rPr>
        <w:t>í doba po dobu 36 měsíců</w:t>
      </w:r>
    </w:p>
    <w:p w:rsidR="00710811" w:rsidRDefault="00887119">
      <w:pPr>
        <w:tabs>
          <w:tab w:val="center" w:pos="6231"/>
        </w:tabs>
        <w:spacing w:after="81" w:line="266" w:lineRule="auto"/>
      </w:pPr>
      <w:r>
        <w:rPr>
          <w:sz w:val="24"/>
        </w:rPr>
        <w:t>Objedná</w:t>
      </w:r>
      <w:r w:rsidR="00C01DF9">
        <w:rPr>
          <w:sz w:val="24"/>
        </w:rPr>
        <w:t xml:space="preserve">váme u Vás: náhradní výsadbu při </w:t>
      </w:r>
      <w:r>
        <w:rPr>
          <w:sz w:val="24"/>
        </w:rPr>
        <w:t xml:space="preserve">silnici </w:t>
      </w:r>
      <w:r>
        <w:rPr>
          <w:sz w:val="24"/>
        </w:rPr>
        <w:tab/>
        <w:t>III/0222a v okrese Domažl</w:t>
      </w:r>
      <w:r w:rsidR="00C01DF9">
        <w:rPr>
          <w:sz w:val="24"/>
        </w:rPr>
        <w:t>ice</w:t>
      </w:r>
    </w:p>
    <w:p w:rsidR="00710811" w:rsidRDefault="00887119">
      <w:pPr>
        <w:spacing w:after="37"/>
        <w:ind w:left="60" w:hanging="10"/>
      </w:pPr>
      <w:r>
        <w:rPr>
          <w:sz w:val="26"/>
        </w:rPr>
        <w:t>Lhůta pro dodání</w:t>
      </w:r>
      <w:r w:rsidR="00C01DF9">
        <w:rPr>
          <w:sz w:val="26"/>
        </w:rPr>
        <w:t xml:space="preserve"> termín dodání: do 31.05.2018</w:t>
      </w:r>
    </w:p>
    <w:p w:rsidR="00710811" w:rsidRDefault="00C01DF9">
      <w:pPr>
        <w:spacing w:after="0"/>
        <w:ind w:left="60" w:hanging="10"/>
      </w:pPr>
      <w:r>
        <w:rPr>
          <w:sz w:val="26"/>
        </w:rPr>
        <w:t xml:space="preserve">Celková hodnota </w:t>
      </w:r>
      <w:r w:rsidR="00887119">
        <w:rPr>
          <w:noProof/>
        </w:rPr>
        <w:t xml:space="preserve">objednávky </w:t>
      </w:r>
      <w:r>
        <w:rPr>
          <w:sz w:val="26"/>
        </w:rPr>
        <w:t>v Kč:</w:t>
      </w:r>
    </w:p>
    <w:tbl>
      <w:tblPr>
        <w:tblStyle w:val="TableGrid"/>
        <w:tblW w:w="3825" w:type="dxa"/>
        <w:tblInd w:w="2979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2158"/>
        <w:gridCol w:w="1667"/>
      </w:tblGrid>
      <w:tr w:rsidR="00710811" w:rsidRPr="00887119" w:rsidTr="00887119">
        <w:trPr>
          <w:trHeight w:val="395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710811" w:rsidRPr="00887119" w:rsidRDefault="00C01DF9">
            <w:pPr>
              <w:ind w:left="36"/>
              <w:rPr>
                <w:sz w:val="24"/>
                <w:szCs w:val="24"/>
              </w:rPr>
            </w:pPr>
            <w:r w:rsidRPr="00887119">
              <w:rPr>
                <w:sz w:val="24"/>
                <w:szCs w:val="24"/>
              </w:rPr>
              <w:t>Cena bez DPH: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10811" w:rsidRPr="00887119" w:rsidRDefault="00887119">
            <w:pPr>
              <w:jc w:val="both"/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  </w:t>
            </w:r>
            <w:r w:rsidR="00C01DF9" w:rsidRPr="00887119">
              <w:rPr>
                <w:rFonts w:eastAsia="Courier New"/>
                <w:sz w:val="24"/>
                <w:szCs w:val="24"/>
              </w:rPr>
              <w:t>67 202,00 Kč</w:t>
            </w:r>
          </w:p>
        </w:tc>
      </w:tr>
      <w:tr w:rsidR="00710811" w:rsidRPr="00887119" w:rsidTr="00887119">
        <w:trPr>
          <w:trHeight w:val="390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811" w:rsidRPr="00887119" w:rsidRDefault="00C01DF9">
            <w:pPr>
              <w:rPr>
                <w:sz w:val="24"/>
                <w:szCs w:val="24"/>
              </w:rPr>
            </w:pPr>
            <w:r w:rsidRPr="00887119">
              <w:rPr>
                <w:sz w:val="24"/>
                <w:szCs w:val="24"/>
              </w:rPr>
              <w:t>DPH 21%: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811" w:rsidRPr="00887119" w:rsidRDefault="00C01DF9">
            <w:pPr>
              <w:ind w:left="43"/>
              <w:jc w:val="both"/>
              <w:rPr>
                <w:sz w:val="24"/>
                <w:szCs w:val="24"/>
              </w:rPr>
            </w:pPr>
            <w:r w:rsidRPr="00887119">
              <w:rPr>
                <w:sz w:val="24"/>
                <w:szCs w:val="24"/>
              </w:rPr>
              <w:t>14 112,42 Kč</w:t>
            </w:r>
          </w:p>
        </w:tc>
      </w:tr>
    </w:tbl>
    <w:p w:rsidR="00887119" w:rsidRDefault="00887119" w:rsidP="00887119">
      <w:pPr>
        <w:spacing w:after="327"/>
        <w:ind w:right="1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710811" w:rsidRPr="00887119" w:rsidRDefault="00887119" w:rsidP="00887119">
      <w:pPr>
        <w:spacing w:after="327"/>
        <w:ind w:right="1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C01DF9" w:rsidRPr="00887119">
        <w:rPr>
          <w:sz w:val="24"/>
          <w:szCs w:val="24"/>
        </w:rPr>
        <w:t xml:space="preserve">Cena celkem s DPH: </w:t>
      </w:r>
      <w:r>
        <w:rPr>
          <w:sz w:val="24"/>
          <w:szCs w:val="24"/>
        </w:rPr>
        <w:t xml:space="preserve">   </w:t>
      </w:r>
      <w:r w:rsidR="00C01DF9" w:rsidRPr="00887119">
        <w:rPr>
          <w:sz w:val="24"/>
          <w:szCs w:val="24"/>
        </w:rPr>
        <w:t>81</w:t>
      </w:r>
      <w:r>
        <w:rPr>
          <w:sz w:val="24"/>
          <w:szCs w:val="24"/>
        </w:rPr>
        <w:t xml:space="preserve"> </w:t>
      </w:r>
      <w:r w:rsidR="00C01DF9" w:rsidRPr="00887119">
        <w:rPr>
          <w:sz w:val="24"/>
          <w:szCs w:val="24"/>
        </w:rPr>
        <w:t>314,42 Kč</w:t>
      </w:r>
    </w:p>
    <w:p w:rsidR="00710811" w:rsidRDefault="00C01DF9">
      <w:pPr>
        <w:spacing w:after="124" w:line="266" w:lineRule="auto"/>
        <w:ind w:left="21" w:firstLine="4"/>
      </w:pPr>
      <w:r>
        <w:rPr>
          <w:sz w:val="24"/>
        </w:rPr>
        <w:t>V</w:t>
      </w:r>
      <w:r w:rsidR="00887119">
        <w:rPr>
          <w:sz w:val="24"/>
        </w:rPr>
        <w:t xml:space="preserve"> pří</w:t>
      </w:r>
      <w:r>
        <w:rPr>
          <w:sz w:val="24"/>
        </w:rPr>
        <w:t>pa</w:t>
      </w:r>
      <w:r w:rsidR="00887119">
        <w:rPr>
          <w:sz w:val="24"/>
        </w:rPr>
        <w:t>dě akceptace objednávky Objednate</w:t>
      </w:r>
      <w:r>
        <w:rPr>
          <w:sz w:val="24"/>
        </w:rPr>
        <w:t xml:space="preserve">le </w:t>
      </w:r>
      <w:r w:rsidR="00887119">
        <w:rPr>
          <w:noProof/>
        </w:rPr>
        <w:t>Dodavatel</w:t>
      </w:r>
      <w:r>
        <w:rPr>
          <w:sz w:val="24"/>
        </w:rPr>
        <w:t xml:space="preserve"> </w:t>
      </w:r>
      <w:r w:rsidR="00887119">
        <w:rPr>
          <w:sz w:val="24"/>
        </w:rPr>
        <w:t>objednávku písemně potvrdí prostřednictvím e-mailu zaslanéh</w:t>
      </w:r>
      <w:r>
        <w:rPr>
          <w:sz w:val="24"/>
        </w:rPr>
        <w:t>o do e-mai</w:t>
      </w:r>
      <w:r w:rsidR="00887119">
        <w:rPr>
          <w:sz w:val="24"/>
        </w:rPr>
        <w:t>lové schránky Objednatel</w:t>
      </w:r>
      <w:r>
        <w:rPr>
          <w:sz w:val="24"/>
        </w:rPr>
        <w:t xml:space="preserve">e </w:t>
      </w:r>
      <w:r w:rsidRPr="000D08A5">
        <w:rPr>
          <w:sz w:val="24"/>
          <w:highlight w:val="black"/>
          <w:u w:val="single" w:color="000000"/>
        </w:rPr>
        <w:t xml:space="preserve">ladislava.martmkova@sd.cz </w:t>
      </w:r>
      <w:r w:rsidRPr="000D08A5">
        <w:rPr>
          <w:noProof/>
          <w:highlight w:val="black"/>
        </w:rPr>
        <w:drawing>
          <wp:inline distT="0" distB="0" distL="0" distR="0">
            <wp:extent cx="22843" cy="18273"/>
            <wp:effectExtent l="0" t="0" r="0" b="0"/>
            <wp:docPr id="3519" name="Picture 3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" name="Picture 35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59D6">
        <w:rPr>
          <w:sz w:val="24"/>
        </w:rPr>
        <w:t xml:space="preserve"> V pří</w:t>
      </w:r>
      <w:r>
        <w:rPr>
          <w:sz w:val="24"/>
        </w:rPr>
        <w:t xml:space="preserve">padě </w:t>
      </w:r>
      <w:r w:rsidR="006859D6">
        <w:rPr>
          <w:noProof/>
        </w:rPr>
        <w:t>nepotvrzení akceptace</w:t>
      </w:r>
      <w:r>
        <w:rPr>
          <w:sz w:val="24"/>
        </w:rPr>
        <w:t xml:space="preserve"> objedná</w:t>
      </w:r>
      <w:r w:rsidR="006859D6">
        <w:rPr>
          <w:sz w:val="24"/>
        </w:rPr>
        <w:t>vky Objednatele Dodavatelem platí</w:t>
      </w:r>
      <w:r>
        <w:rPr>
          <w:sz w:val="24"/>
        </w:rPr>
        <w:t>, že Dodavatel objednávku neakceptoval a objednáv</w:t>
      </w:r>
      <w:r w:rsidR="006859D6">
        <w:rPr>
          <w:sz w:val="24"/>
        </w:rPr>
        <w:t>ka je bez dalšího zne</w:t>
      </w:r>
      <w:r>
        <w:rPr>
          <w:sz w:val="24"/>
        </w:rPr>
        <w:t>platněna.</w:t>
      </w:r>
    </w:p>
    <w:p w:rsidR="00710811" w:rsidRDefault="006859D6">
      <w:pPr>
        <w:spacing w:after="573" w:line="266" w:lineRule="auto"/>
        <w:ind w:left="21" w:firstLine="4"/>
      </w:pPr>
      <w:r>
        <w:rPr>
          <w:sz w:val="24"/>
        </w:rPr>
        <w:t>Pokud není ve Smlouvě a jejích přílohách jinak, řídí se právn</w:t>
      </w:r>
      <w:r w:rsidR="00C01DF9">
        <w:rPr>
          <w:sz w:val="24"/>
        </w:rPr>
        <w:t>í vztah zal</w:t>
      </w:r>
      <w:r>
        <w:rPr>
          <w:sz w:val="24"/>
        </w:rPr>
        <w:t>ožený touto Smlouvou Občanským zá</w:t>
      </w:r>
      <w:r w:rsidR="00C01DF9">
        <w:rPr>
          <w:sz w:val="24"/>
        </w:rPr>
        <w:t>koníkem</w:t>
      </w:r>
      <w:r w:rsidR="00C01DF9">
        <w:rPr>
          <w:noProof/>
        </w:rPr>
        <w:drawing>
          <wp:inline distT="0" distB="0" distL="0" distR="0">
            <wp:extent cx="18274" cy="18273"/>
            <wp:effectExtent l="0" t="0" r="0" b="0"/>
            <wp:docPr id="3520" name="Picture 3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" name="Picture 35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811" w:rsidRDefault="00C01DF9">
      <w:pPr>
        <w:tabs>
          <w:tab w:val="center" w:pos="3630"/>
        </w:tabs>
        <w:spacing w:after="110" w:line="266" w:lineRule="auto"/>
      </w:pPr>
      <w:r>
        <w:rPr>
          <w:sz w:val="24"/>
        </w:rPr>
        <w:t xml:space="preserve">Nedílnou </w:t>
      </w:r>
      <w:r w:rsidR="006859D6">
        <w:rPr>
          <w:sz w:val="24"/>
        </w:rPr>
        <w:t xml:space="preserve">součástí </w:t>
      </w:r>
      <w:r w:rsidR="006859D6">
        <w:rPr>
          <w:sz w:val="24"/>
        </w:rPr>
        <w:tab/>
        <w:t>této objednávky jsou násl</w:t>
      </w:r>
      <w:r>
        <w:rPr>
          <w:sz w:val="24"/>
        </w:rPr>
        <w:t>edující p</w:t>
      </w:r>
      <w:r w:rsidR="006859D6">
        <w:rPr>
          <w:sz w:val="24"/>
        </w:rPr>
        <w:t>ř</w:t>
      </w:r>
      <w:r>
        <w:rPr>
          <w:sz w:val="24"/>
        </w:rPr>
        <w:t>ílohy:</w:t>
      </w:r>
    </w:p>
    <w:p w:rsidR="00710811" w:rsidRDefault="006859D6">
      <w:pPr>
        <w:spacing w:after="51" w:line="266" w:lineRule="auto"/>
        <w:ind w:left="21" w:firstLine="4"/>
      </w:pPr>
      <w:r>
        <w:rPr>
          <w:sz w:val="24"/>
        </w:rPr>
        <w:t>Pří</w:t>
      </w:r>
      <w:r w:rsidR="00C01DF9">
        <w:rPr>
          <w:sz w:val="24"/>
        </w:rPr>
        <w:t>loha č. 1 — Specifikace služeb</w:t>
      </w:r>
    </w:p>
    <w:p w:rsidR="00710811" w:rsidRDefault="006859D6">
      <w:pPr>
        <w:spacing w:after="413" w:line="266" w:lineRule="auto"/>
        <w:ind w:left="21" w:firstLine="4"/>
      </w:pPr>
      <w:r>
        <w:rPr>
          <w:sz w:val="24"/>
        </w:rPr>
        <w:t>Pří</w:t>
      </w:r>
      <w:r w:rsidR="00C01DF9">
        <w:rPr>
          <w:sz w:val="24"/>
        </w:rPr>
        <w:t xml:space="preserve">loha č. 2 — </w:t>
      </w:r>
      <w:r>
        <w:rPr>
          <w:sz w:val="24"/>
        </w:rPr>
        <w:t>Položkový rozpis</w:t>
      </w:r>
      <w:r w:rsidR="00C01DF9">
        <w:rPr>
          <w:sz w:val="24"/>
        </w:rPr>
        <w:t xml:space="preserve"> ceny</w:t>
      </w:r>
    </w:p>
    <w:p w:rsidR="007E53DF" w:rsidRDefault="007E53DF">
      <w:pPr>
        <w:pStyle w:val="Nadpis2"/>
        <w:spacing w:after="0"/>
        <w:ind w:left="7"/>
        <w:jc w:val="left"/>
        <w:rPr>
          <w:rFonts w:ascii="Calibri" w:eastAsia="Calibri" w:hAnsi="Calibri" w:cs="Calibri"/>
          <w:sz w:val="36"/>
        </w:rPr>
      </w:pPr>
    </w:p>
    <w:p w:rsidR="006859D6" w:rsidRDefault="006859D6" w:rsidP="006859D6">
      <w:pPr>
        <w:rPr>
          <w:rFonts w:eastAsia="Calibri"/>
        </w:rPr>
      </w:pPr>
    </w:p>
    <w:p w:rsidR="006859D6" w:rsidRDefault="006859D6" w:rsidP="006859D6">
      <w:pPr>
        <w:rPr>
          <w:rFonts w:eastAsia="Calibri"/>
        </w:rPr>
      </w:pPr>
    </w:p>
    <w:p w:rsidR="006859D6" w:rsidRDefault="006859D6" w:rsidP="006859D6">
      <w:pPr>
        <w:rPr>
          <w:rFonts w:eastAsia="Calibri"/>
        </w:rPr>
      </w:pPr>
    </w:p>
    <w:p w:rsidR="006859D6" w:rsidRPr="006859D6" w:rsidRDefault="006859D6" w:rsidP="006859D6">
      <w:pPr>
        <w:rPr>
          <w:rFonts w:eastAsia="Calibri"/>
        </w:rPr>
      </w:pPr>
      <w:r>
        <w:rPr>
          <w:rFonts w:eastAsia="Calibri"/>
        </w:rPr>
        <w:t>V Plzni dne 03-05-2018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V Klenčí 03-05-2018</w:t>
      </w:r>
    </w:p>
    <w:p w:rsidR="007E53DF" w:rsidRDefault="007E53DF" w:rsidP="007E53DF">
      <w:pPr>
        <w:rPr>
          <w:rFonts w:eastAsia="Calibri"/>
        </w:rPr>
      </w:pPr>
    </w:p>
    <w:p w:rsidR="007E53DF" w:rsidRDefault="007E53DF" w:rsidP="007E53DF">
      <w:pPr>
        <w:rPr>
          <w:rFonts w:eastAsia="Calibri"/>
        </w:rPr>
      </w:pPr>
    </w:p>
    <w:p w:rsidR="007E53DF" w:rsidRDefault="007E53DF" w:rsidP="007E53DF">
      <w:pPr>
        <w:rPr>
          <w:rFonts w:eastAsia="Calibri"/>
        </w:rPr>
      </w:pPr>
    </w:p>
    <w:p w:rsidR="007E53DF" w:rsidRDefault="007E53DF" w:rsidP="007E53DF">
      <w:pPr>
        <w:rPr>
          <w:rFonts w:eastAsia="Calibri"/>
        </w:rPr>
      </w:pPr>
    </w:p>
    <w:p w:rsidR="007E53DF" w:rsidRDefault="007E53DF" w:rsidP="007E53DF">
      <w:pPr>
        <w:rPr>
          <w:rFonts w:eastAsia="Calibri"/>
        </w:rPr>
      </w:pPr>
    </w:p>
    <w:p w:rsidR="007E53DF" w:rsidRPr="007E53DF" w:rsidRDefault="007E53DF" w:rsidP="007E53DF">
      <w:pPr>
        <w:rPr>
          <w:rFonts w:eastAsia="Calibri"/>
        </w:rPr>
      </w:pPr>
    </w:p>
    <w:p w:rsidR="007E53DF" w:rsidRDefault="007E53DF">
      <w:pPr>
        <w:pStyle w:val="Nadpis2"/>
        <w:spacing w:after="0"/>
        <w:ind w:left="7"/>
        <w:jc w:val="left"/>
        <w:rPr>
          <w:rFonts w:ascii="Calibri" w:eastAsia="Calibri" w:hAnsi="Calibri" w:cs="Calibri"/>
          <w:sz w:val="36"/>
        </w:rPr>
      </w:pPr>
    </w:p>
    <w:p w:rsidR="00710811" w:rsidRDefault="00C01DF9">
      <w:pPr>
        <w:pStyle w:val="Nadpis2"/>
        <w:spacing w:after="0"/>
        <w:ind w:left="7"/>
        <w:jc w:val="left"/>
      </w:pPr>
      <w:r>
        <w:rPr>
          <w:rFonts w:ascii="Calibri" w:eastAsia="Calibri" w:hAnsi="Calibri" w:cs="Calibri"/>
          <w:sz w:val="36"/>
        </w:rPr>
        <w:t>Příloha č. 1 - Specifikace služeb</w:t>
      </w:r>
    </w:p>
    <w:p w:rsidR="00710811" w:rsidRDefault="006859D6">
      <w:pPr>
        <w:spacing w:after="182" w:line="250" w:lineRule="auto"/>
        <w:ind w:left="7" w:firstLine="4"/>
        <w:jc w:val="both"/>
      </w:pPr>
      <w:r>
        <w:rPr>
          <w:rFonts w:ascii="Calibri" w:eastAsia="Calibri" w:hAnsi="Calibri" w:cs="Calibri"/>
          <w:sz w:val="24"/>
        </w:rPr>
        <w:t>Jedná se o provedení náhradní</w:t>
      </w:r>
      <w:r w:rsidR="00C01DF9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výsadby uložené OŮ Kout na Šumavě v závazn</w:t>
      </w:r>
      <w:r w:rsidR="00C01DF9">
        <w:rPr>
          <w:rFonts w:ascii="Calibri" w:eastAsia="Calibri" w:hAnsi="Calibri" w:cs="Calibri"/>
          <w:sz w:val="24"/>
        </w:rPr>
        <w:t>ém stanovisku č.j.</w:t>
      </w:r>
      <w:r>
        <w:rPr>
          <w:rFonts w:ascii="Calibri" w:eastAsia="Calibri" w:hAnsi="Calibri" w:cs="Calibri"/>
          <w:sz w:val="24"/>
        </w:rPr>
        <w:t xml:space="preserve"> </w:t>
      </w:r>
      <w:r w:rsidR="00C01DF9">
        <w:rPr>
          <w:rFonts w:ascii="Calibri" w:eastAsia="Calibri" w:hAnsi="Calibri" w:cs="Calibri"/>
          <w:sz w:val="24"/>
        </w:rPr>
        <w:t>39/2018 za pokácené náleto</w:t>
      </w:r>
      <w:r>
        <w:rPr>
          <w:rFonts w:ascii="Calibri" w:eastAsia="Calibri" w:hAnsi="Calibri" w:cs="Calibri"/>
          <w:sz w:val="24"/>
        </w:rPr>
        <w:t>vé dřeviny v ploše 2 900 m2 včetně 22 ks náletových st</w:t>
      </w:r>
      <w:r w:rsidR="00C01DF9">
        <w:rPr>
          <w:rFonts w:ascii="Calibri" w:eastAsia="Calibri" w:hAnsi="Calibri" w:cs="Calibri"/>
          <w:sz w:val="24"/>
        </w:rPr>
        <w:t>rom</w:t>
      </w:r>
      <w:r>
        <w:rPr>
          <w:rFonts w:ascii="Calibri" w:eastAsia="Calibri" w:hAnsi="Calibri" w:cs="Calibri"/>
          <w:sz w:val="24"/>
        </w:rPr>
        <w:t>ů.</w:t>
      </w:r>
      <w:r w:rsidR="00C01DF9">
        <w:rPr>
          <w:rFonts w:ascii="Calibri" w:eastAsia="Calibri" w:hAnsi="Calibri" w:cs="Calibri"/>
          <w:sz w:val="24"/>
        </w:rPr>
        <w:t xml:space="preserve"> Tato </w:t>
      </w:r>
      <w:r>
        <w:rPr>
          <w:noProof/>
        </w:rPr>
        <w:t xml:space="preserve">zeleň </w:t>
      </w:r>
      <w:r w:rsidR="00C01DF9">
        <w:rPr>
          <w:rFonts w:ascii="Calibri" w:eastAsia="Calibri" w:hAnsi="Calibri" w:cs="Calibri"/>
          <w:sz w:val="24"/>
        </w:rPr>
        <w:t>se nacházela na silničním pozemku p</w:t>
      </w:r>
      <w:r>
        <w:rPr>
          <w:rFonts w:ascii="Calibri" w:eastAsia="Calibri" w:hAnsi="Calibri" w:cs="Calibri"/>
          <w:sz w:val="24"/>
        </w:rPr>
        <w:t>ři</w:t>
      </w:r>
      <w:r w:rsidR="00C01DF9">
        <w:rPr>
          <w:rFonts w:ascii="Calibri" w:eastAsia="Calibri" w:hAnsi="Calibri" w:cs="Calibri"/>
          <w:sz w:val="24"/>
        </w:rPr>
        <w:t xml:space="preserve"> si</w:t>
      </w:r>
      <w:r>
        <w:rPr>
          <w:rFonts w:ascii="Calibri" w:eastAsia="Calibri" w:hAnsi="Calibri" w:cs="Calibri"/>
          <w:sz w:val="24"/>
        </w:rPr>
        <w:t>l</w:t>
      </w:r>
      <w:r w:rsidR="00C01DF9">
        <w:rPr>
          <w:rFonts w:ascii="Calibri" w:eastAsia="Calibri" w:hAnsi="Calibri" w:cs="Calibri"/>
          <w:sz w:val="24"/>
        </w:rPr>
        <w:t>. I/22 v okr. Domaž</w:t>
      </w:r>
      <w:r>
        <w:rPr>
          <w:rFonts w:ascii="Calibri" w:eastAsia="Calibri" w:hAnsi="Calibri" w:cs="Calibri"/>
          <w:sz w:val="24"/>
        </w:rPr>
        <w:t>lice v prostoru</w:t>
      </w:r>
      <w:r w:rsidR="00C01DF9">
        <w:rPr>
          <w:rFonts w:ascii="Calibri" w:eastAsia="Calibri" w:hAnsi="Calibri" w:cs="Calibri"/>
          <w:sz w:val="24"/>
        </w:rPr>
        <w:t xml:space="preserve"> x Kout na Šumavě v místě budoucí stavby odbočovac</w:t>
      </w:r>
      <w:r>
        <w:rPr>
          <w:rFonts w:ascii="Calibri" w:eastAsia="Calibri" w:hAnsi="Calibri" w:cs="Calibri"/>
          <w:sz w:val="24"/>
        </w:rPr>
        <w:t>íh</w:t>
      </w:r>
      <w:r w:rsidR="00C01DF9">
        <w:rPr>
          <w:rFonts w:ascii="Calibri" w:eastAsia="Calibri" w:hAnsi="Calibri" w:cs="Calibri"/>
          <w:sz w:val="24"/>
        </w:rPr>
        <w:t>o pruhu OÚ Kout na Šumavě urči pozemek k výsadbě p.č. 3379/8, který se nachá</w:t>
      </w:r>
      <w:r>
        <w:rPr>
          <w:rFonts w:ascii="Calibri" w:eastAsia="Calibri" w:hAnsi="Calibri" w:cs="Calibri"/>
          <w:sz w:val="24"/>
        </w:rPr>
        <w:t>zí při sil.  III</w:t>
      </w:r>
      <w:r w:rsidR="00C01DF9">
        <w:rPr>
          <w:rFonts w:ascii="Calibri" w:eastAsia="Calibri" w:hAnsi="Calibri" w:cs="Calibri"/>
          <w:sz w:val="24"/>
        </w:rPr>
        <w:t xml:space="preserve">/0222a. Jedná se 0 14 </w:t>
      </w:r>
      <w:r>
        <w:rPr>
          <w:rFonts w:ascii="Calibri" w:eastAsia="Calibri" w:hAnsi="Calibri" w:cs="Calibri"/>
          <w:sz w:val="24"/>
        </w:rPr>
        <w:t xml:space="preserve">ks </w:t>
      </w:r>
      <w:r w:rsidR="00C01DF9">
        <w:rPr>
          <w:rFonts w:ascii="Calibri" w:eastAsia="Calibri" w:hAnsi="Calibri" w:cs="Calibri"/>
          <w:sz w:val="24"/>
        </w:rPr>
        <w:t>lip srdčitých s</w:t>
      </w:r>
      <w:r>
        <w:rPr>
          <w:rFonts w:ascii="Calibri" w:eastAsia="Calibri" w:hAnsi="Calibri" w:cs="Calibri"/>
          <w:sz w:val="24"/>
        </w:rPr>
        <w:t> </w:t>
      </w:r>
      <w:r w:rsidR="00C01DF9">
        <w:rPr>
          <w:rFonts w:ascii="Calibri" w:eastAsia="Calibri" w:hAnsi="Calibri" w:cs="Calibri"/>
          <w:sz w:val="24"/>
        </w:rPr>
        <w:t>obvodem</w:t>
      </w:r>
      <w:r>
        <w:rPr>
          <w:rFonts w:ascii="Calibri" w:eastAsia="Calibri" w:hAnsi="Calibri" w:cs="Calibri"/>
          <w:sz w:val="24"/>
        </w:rPr>
        <w:t xml:space="preserve"> kmene</w:t>
      </w:r>
      <w:r w:rsidR="00C01DF9">
        <w:rPr>
          <w:rFonts w:ascii="Calibri" w:eastAsia="Calibri" w:hAnsi="Calibri" w:cs="Calibri"/>
          <w:sz w:val="24"/>
        </w:rPr>
        <w:t xml:space="preserve"> 12 — 14 cm.</w:t>
      </w:r>
    </w:p>
    <w:p w:rsidR="006859D6" w:rsidRDefault="006859D6" w:rsidP="006859D6">
      <w:pPr>
        <w:spacing w:after="960" w:line="250" w:lineRule="auto"/>
        <w:ind w:left="7" w:firstLine="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Záruka na dílo je poža</w:t>
      </w:r>
      <w:r w:rsidR="00C01DF9">
        <w:rPr>
          <w:rFonts w:ascii="Calibri" w:eastAsia="Calibri" w:hAnsi="Calibri" w:cs="Calibri"/>
          <w:sz w:val="24"/>
        </w:rPr>
        <w:t>dována 3 roky.</w:t>
      </w:r>
    </w:p>
    <w:p w:rsidR="00710811" w:rsidRDefault="006859D6" w:rsidP="006859D6">
      <w:pPr>
        <w:spacing w:after="960" w:line="250" w:lineRule="auto"/>
        <w:ind w:left="7" w:firstLine="4"/>
        <w:jc w:val="both"/>
      </w:pPr>
      <w:r>
        <w:rPr>
          <w:noProof/>
        </w:rPr>
        <w:t xml:space="preserve">Soupis </w:t>
      </w:r>
      <w:r w:rsidR="00C01DF9">
        <w:rPr>
          <w:rFonts w:ascii="Calibri" w:eastAsia="Calibri" w:hAnsi="Calibri" w:cs="Calibri"/>
          <w:sz w:val="24"/>
        </w:rPr>
        <w:t>prací:</w:t>
      </w:r>
    </w:p>
    <w:tbl>
      <w:tblPr>
        <w:tblStyle w:val="TableGrid"/>
        <w:tblW w:w="9411" w:type="dxa"/>
        <w:tblInd w:w="4" w:type="dxa"/>
        <w:tblCellMar>
          <w:top w:w="3" w:type="dxa"/>
          <w:left w:w="76" w:type="dxa"/>
          <w:right w:w="43" w:type="dxa"/>
        </w:tblCellMar>
        <w:tblLook w:val="04A0" w:firstRow="1" w:lastRow="0" w:firstColumn="1" w:lastColumn="0" w:noHBand="0" w:noVBand="1"/>
      </w:tblPr>
      <w:tblGrid>
        <w:gridCol w:w="986"/>
        <w:gridCol w:w="3741"/>
        <w:gridCol w:w="996"/>
        <w:gridCol w:w="1172"/>
        <w:gridCol w:w="1131"/>
        <w:gridCol w:w="1385"/>
      </w:tblGrid>
      <w:tr w:rsidR="00710811">
        <w:trPr>
          <w:trHeight w:val="652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811" w:rsidRDefault="00C01DF9">
            <w:pPr>
              <w:ind w:left="72"/>
            </w:pPr>
            <w:r>
              <w:rPr>
                <w:sz w:val="26"/>
              </w:rPr>
              <w:t>Polož(a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811" w:rsidRDefault="00C01DF9">
            <w:pPr>
              <w:ind w:left="13"/>
              <w:jc w:val="center"/>
            </w:pPr>
            <w:r>
              <w:rPr>
                <w:sz w:val="26"/>
              </w:rPr>
              <w:t>Název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811" w:rsidRDefault="006859D6">
            <w:pPr>
              <w:ind w:left="10"/>
              <w:jc w:val="both"/>
            </w:pPr>
            <w:r>
              <w:rPr>
                <w:sz w:val="24"/>
              </w:rPr>
              <w:t>Jedno</w:t>
            </w:r>
            <w:r w:rsidR="00C01DF9">
              <w:rPr>
                <w:sz w:val="24"/>
              </w:rPr>
              <w:t>tky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811" w:rsidRDefault="00C01DF9">
            <w:pPr>
              <w:ind w:left="104"/>
            </w:pPr>
            <w:r>
              <w:rPr>
                <w:sz w:val="24"/>
              </w:rPr>
              <w:t>Množství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811" w:rsidRDefault="006859D6" w:rsidP="006859D6">
            <w:pPr>
              <w:jc w:val="center"/>
            </w:pPr>
            <w:r>
              <w:rPr>
                <w:sz w:val="24"/>
              </w:rPr>
              <w:t>Cena za jedn</w:t>
            </w:r>
            <w:r w:rsidR="00C01DF9">
              <w:rPr>
                <w:sz w:val="24"/>
              </w:rPr>
              <w:t>otku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811" w:rsidRDefault="00C01DF9">
            <w:pPr>
              <w:ind w:left="15"/>
              <w:jc w:val="both"/>
            </w:pPr>
            <w:r>
              <w:rPr>
                <w:sz w:val="26"/>
              </w:rPr>
              <w:t>Celková cena</w:t>
            </w:r>
          </w:p>
        </w:tc>
      </w:tr>
      <w:tr w:rsidR="00710811">
        <w:trPr>
          <w:trHeight w:val="909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811" w:rsidRDefault="00C01DF9">
            <w:pPr>
              <w:ind w:left="11"/>
              <w:jc w:val="center"/>
            </w:pPr>
            <w:r>
              <w:rPr>
                <w:rFonts w:ascii="Calibri" w:eastAsia="Calibri" w:hAnsi="Calibri" w:cs="Calibri"/>
              </w:rPr>
              <w:t>8112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6859D6">
            <w:pPr>
              <w:ind w:left="14"/>
            </w:pPr>
            <w:r>
              <w:rPr>
                <w:sz w:val="24"/>
              </w:rPr>
              <w:t xml:space="preserve">náhradní výsadba </w:t>
            </w:r>
            <w:r w:rsidR="00C01DF9">
              <w:rPr>
                <w:sz w:val="24"/>
              </w:rPr>
              <w:t>- lípa</w:t>
            </w:r>
            <w:r>
              <w:rPr>
                <w:sz w:val="24"/>
              </w:rPr>
              <w:t xml:space="preserve"> srdčitá</w:t>
            </w:r>
          </w:p>
          <w:p w:rsidR="00710811" w:rsidRDefault="00C01DF9">
            <w:pPr>
              <w:numPr>
                <w:ilvl w:val="0"/>
                <w:numId w:val="1"/>
              </w:numPr>
              <w:ind w:right="80" w:hanging="187"/>
            </w:pPr>
            <w:r>
              <w:t>obvod kmene 12-14 cm</w:t>
            </w:r>
          </w:p>
          <w:p w:rsidR="00710811" w:rsidRDefault="00C01DF9">
            <w:pPr>
              <w:numPr>
                <w:ilvl w:val="0"/>
                <w:numId w:val="1"/>
              </w:numPr>
              <w:ind w:right="80" w:hanging="187"/>
            </w:pPr>
            <w:r>
              <w:t xml:space="preserve">s následnou péčí - </w:t>
            </w:r>
            <w:r w:rsidR="006859D6">
              <w:t>zá</w:t>
            </w:r>
            <w:r>
              <w:t>rukou na dílo 3 ro</w:t>
            </w:r>
            <w:r w:rsidR="006859D6">
              <w:t>ky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811" w:rsidRDefault="00C01DF9">
            <w:pPr>
              <w:ind w:left="1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811" w:rsidRDefault="00C01DF9">
            <w:pPr>
              <w:ind w:left="12"/>
              <w:jc w:val="center"/>
            </w:pPr>
            <w:r>
              <w:rPr>
                <w:rFonts w:ascii="Calibri" w:eastAsia="Calibri" w:hAnsi="Calibri" w:cs="Calibri"/>
                <w:sz w:val="24"/>
              </w:rPr>
              <w:t>14,000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811" w:rsidRDefault="00710811">
            <w:pPr>
              <w:ind w:left="2"/>
              <w:jc w:val="center"/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811" w:rsidRDefault="00710811">
            <w:pPr>
              <w:ind w:right="18"/>
              <w:jc w:val="right"/>
            </w:pPr>
          </w:p>
        </w:tc>
      </w:tr>
      <w:tr w:rsidR="00710811">
        <w:trPr>
          <w:trHeight w:val="249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710811"/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C01DF9">
            <w:pPr>
              <w:ind w:left="14"/>
            </w:pPr>
            <w:r>
              <w:rPr>
                <w:sz w:val="26"/>
              </w:rPr>
              <w:t>cena bez DPH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710811"/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710811"/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710811"/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710811">
            <w:pPr>
              <w:ind w:right="25"/>
              <w:jc w:val="right"/>
            </w:pPr>
          </w:p>
        </w:tc>
      </w:tr>
      <w:tr w:rsidR="00710811">
        <w:trPr>
          <w:trHeight w:val="237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710811"/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C01DF9">
            <w:pPr>
              <w:ind w:left="14"/>
            </w:pPr>
            <w:r>
              <w:rPr>
                <w:sz w:val="26"/>
              </w:rPr>
              <w:t>DPH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710811"/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710811"/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710811"/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710811">
            <w:pPr>
              <w:ind w:right="18"/>
              <w:jc w:val="right"/>
            </w:pPr>
          </w:p>
        </w:tc>
      </w:tr>
      <w:tr w:rsidR="00710811">
        <w:trPr>
          <w:trHeight w:val="334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710811"/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C01DF9">
            <w:pPr>
              <w:ind w:left="14"/>
            </w:pPr>
            <w:r>
              <w:rPr>
                <w:sz w:val="30"/>
              </w:rPr>
              <w:t>CELKEM S DPH 21 %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710811"/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710811"/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710811"/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811" w:rsidRDefault="00710811">
            <w:pPr>
              <w:ind w:right="18"/>
              <w:jc w:val="right"/>
            </w:pPr>
          </w:p>
        </w:tc>
      </w:tr>
    </w:tbl>
    <w:p w:rsidR="006D0766" w:rsidRDefault="006D0766"/>
    <w:sectPr w:rsidR="006D0766">
      <w:footerReference w:type="even" r:id="rId10"/>
      <w:footerReference w:type="default" r:id="rId11"/>
      <w:footerReference w:type="first" r:id="rId12"/>
      <w:pgSz w:w="11900" w:h="16820"/>
      <w:pgMar w:top="453" w:right="1453" w:bottom="2279" w:left="1014" w:header="708" w:footer="18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66" w:rsidRDefault="00C01DF9">
      <w:pPr>
        <w:spacing w:after="0" w:line="240" w:lineRule="auto"/>
      </w:pPr>
      <w:r>
        <w:separator/>
      </w:r>
    </w:p>
  </w:endnote>
  <w:endnote w:type="continuationSeparator" w:id="0">
    <w:p w:rsidR="006D0766" w:rsidRDefault="00C0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11" w:rsidRDefault="00C01DF9">
    <w:pPr>
      <w:spacing w:after="0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11" w:rsidRDefault="00C01DF9">
    <w:pPr>
      <w:spacing w:after="0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59D6" w:rsidRPr="006859D6">
      <w:rPr>
        <w:noProof/>
        <w:sz w:val="24"/>
      </w:rPr>
      <w:t>3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11" w:rsidRDefault="00C01DF9">
    <w:pPr>
      <w:spacing w:after="0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66" w:rsidRDefault="00C01DF9">
      <w:pPr>
        <w:spacing w:after="0" w:line="240" w:lineRule="auto"/>
      </w:pPr>
      <w:r>
        <w:separator/>
      </w:r>
    </w:p>
  </w:footnote>
  <w:footnote w:type="continuationSeparator" w:id="0">
    <w:p w:rsidR="006D0766" w:rsidRDefault="00C01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93F4C"/>
    <w:multiLevelType w:val="hybridMultilevel"/>
    <w:tmpl w:val="EF48591C"/>
    <w:lvl w:ilvl="0" w:tplc="DDF6AB20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5C7C897C">
      <w:start w:val="1"/>
      <w:numFmt w:val="bullet"/>
      <w:lvlText w:val="o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FE655A0">
      <w:start w:val="1"/>
      <w:numFmt w:val="bullet"/>
      <w:lvlText w:val="▪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39BA16A0">
      <w:start w:val="1"/>
      <w:numFmt w:val="bullet"/>
      <w:lvlText w:val="•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6F022E5C">
      <w:start w:val="1"/>
      <w:numFmt w:val="bullet"/>
      <w:lvlText w:val="o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BF23CAA">
      <w:start w:val="1"/>
      <w:numFmt w:val="bullet"/>
      <w:lvlText w:val="▪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5944244">
      <w:start w:val="1"/>
      <w:numFmt w:val="bullet"/>
      <w:lvlText w:val="•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AA947C66">
      <w:start w:val="1"/>
      <w:numFmt w:val="bullet"/>
      <w:lvlText w:val="o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DEF617B6">
      <w:start w:val="1"/>
      <w:numFmt w:val="bullet"/>
      <w:lvlText w:val="▪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11"/>
    <w:rsid w:val="000D08A5"/>
    <w:rsid w:val="006859D6"/>
    <w:rsid w:val="006D0766"/>
    <w:rsid w:val="00710811"/>
    <w:rsid w:val="007E53DF"/>
    <w:rsid w:val="00887119"/>
    <w:rsid w:val="00C0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C909"/>
  <w15:docId w15:val="{5A2515A7-9411-41CF-9810-C80A43CF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51"/>
      <w:jc w:val="center"/>
      <w:outlineLvl w:val="0"/>
    </w:pPr>
    <w:rPr>
      <w:rFonts w:ascii="Times New Roman" w:eastAsia="Times New Roman" w:hAnsi="Times New Roman" w:cs="Times New Roman"/>
      <w:color w:val="000000"/>
      <w:sz w:val="5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625"/>
      <w:ind w:left="94"/>
      <w:jc w:val="center"/>
      <w:outlineLvl w:val="1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KMBT_C224e-20180503083432</vt:lpstr>
    </vt:vector>
  </TitlesOfParts>
  <Company>RSD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KMBT_C224e-20180503083432</dc:title>
  <dc:subject/>
  <dc:creator>Horová Hana</dc:creator>
  <cp:keywords/>
  <cp:lastModifiedBy>Horová Hana</cp:lastModifiedBy>
  <cp:revision>3</cp:revision>
  <dcterms:created xsi:type="dcterms:W3CDTF">2018-05-04T06:40:00Z</dcterms:created>
  <dcterms:modified xsi:type="dcterms:W3CDTF">2018-05-04T06:48:00Z</dcterms:modified>
</cp:coreProperties>
</file>