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1C217261"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471802">
        <w:rPr>
          <w:sz w:val="24"/>
          <w:szCs w:val="24"/>
        </w:rPr>
        <w:t>xxxxxxxxxxxxxxx</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54C067E2" w:rsidR="00A66240" w:rsidRPr="00A66240" w:rsidRDefault="00A66240" w:rsidP="00A66240">
      <w:pPr>
        <w:spacing w:line="100" w:lineRule="atLeast"/>
        <w:jc w:val="both"/>
        <w:rPr>
          <w:sz w:val="24"/>
          <w:szCs w:val="24"/>
        </w:rPr>
      </w:pPr>
      <w:r w:rsidRPr="00A66240">
        <w:rPr>
          <w:sz w:val="24"/>
          <w:szCs w:val="24"/>
        </w:rPr>
        <w:t>Bankovní spojení</w:t>
      </w:r>
      <w:r w:rsidR="00471802">
        <w:rPr>
          <w:sz w:val="24"/>
          <w:szCs w:val="24"/>
        </w:rPr>
        <w:t xml:space="preserve">: </w:t>
      </w:r>
      <w:r w:rsidR="00471802">
        <w:rPr>
          <w:sz w:val="24"/>
          <w:szCs w:val="24"/>
        </w:rPr>
        <w:tab/>
      </w:r>
      <w:r w:rsidR="00471802">
        <w:rPr>
          <w:sz w:val="24"/>
          <w:szCs w:val="24"/>
        </w:rPr>
        <w:tab/>
        <w:t>xxxxxxxxxxxxxxx</w:t>
      </w:r>
    </w:p>
    <w:p w14:paraId="71BA997E" w14:textId="5CFBCBDD" w:rsidR="00A66240" w:rsidRPr="00A66240" w:rsidRDefault="00471802" w:rsidP="00A66240">
      <w:pPr>
        <w:spacing w:line="100" w:lineRule="atLeast"/>
        <w:jc w:val="both"/>
        <w:rPr>
          <w:sz w:val="24"/>
          <w:szCs w:val="24"/>
        </w:rPr>
      </w:pPr>
      <w:r>
        <w:rPr>
          <w:sz w:val="24"/>
          <w:szCs w:val="24"/>
        </w:rPr>
        <w:t>Číslo účtu:</w:t>
      </w:r>
      <w:r>
        <w:rPr>
          <w:sz w:val="24"/>
          <w:szCs w:val="24"/>
        </w:rPr>
        <w:tab/>
      </w:r>
      <w:r>
        <w:rPr>
          <w:sz w:val="24"/>
          <w:szCs w:val="24"/>
        </w:rPr>
        <w:tab/>
      </w:r>
      <w:r>
        <w:rPr>
          <w:sz w:val="24"/>
          <w:szCs w:val="24"/>
        </w:rPr>
        <w:tab/>
        <w:t>xxxxxxxxxxxxxxx</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3EC32F1B"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 xml:space="preserve">ve věcech </w:t>
      </w:r>
      <w:r w:rsidR="00471802">
        <w:rPr>
          <w:rFonts w:ascii="Times New Roman" w:hAnsi="Times New Roman"/>
          <w:sz w:val="24"/>
          <w:szCs w:val="24"/>
        </w:rPr>
        <w:t>smluvních:</w:t>
      </w:r>
      <w:r w:rsidR="00471802">
        <w:rPr>
          <w:rFonts w:ascii="Times New Roman" w:hAnsi="Times New Roman"/>
          <w:sz w:val="24"/>
          <w:szCs w:val="24"/>
        </w:rPr>
        <w:tab/>
        <w:t>xxxxxxxxxxxxxxxx</w:t>
      </w:r>
      <w:r w:rsidRPr="002A3430">
        <w:rPr>
          <w:rFonts w:ascii="Times New Roman" w:hAnsi="Times New Roman"/>
          <w:sz w:val="24"/>
          <w:szCs w:val="24"/>
        </w:rPr>
        <w:tab/>
      </w:r>
    </w:p>
    <w:p w14:paraId="195CCDDD" w14:textId="51B548DC" w:rsidR="00A66240" w:rsidRPr="002A3430" w:rsidRDefault="00A66240" w:rsidP="00260DFB">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471802">
        <w:rPr>
          <w:rFonts w:ascii="Times New Roman" w:hAnsi="Times New Roman"/>
          <w:sz w:val="24"/>
          <w:szCs w:val="24"/>
        </w:rPr>
        <w:t>xxxxxxxxxxxxxxxx</w:t>
      </w:r>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5AB20992"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8E716E" w:rsidRPr="008E716E">
        <w:rPr>
          <w:b/>
          <w:sz w:val="24"/>
          <w:szCs w:val="24"/>
        </w:rPr>
        <w:t>STOPIN spol. s</w:t>
      </w:r>
      <w:r w:rsidR="008E716E">
        <w:rPr>
          <w:b/>
          <w:sz w:val="24"/>
          <w:szCs w:val="24"/>
        </w:rPr>
        <w:t xml:space="preserve"> </w:t>
      </w:r>
      <w:r w:rsidR="008E716E" w:rsidRPr="008E716E">
        <w:rPr>
          <w:b/>
          <w:sz w:val="24"/>
          <w:szCs w:val="24"/>
        </w:rPr>
        <w:t>r.o.</w:t>
      </w:r>
    </w:p>
    <w:p w14:paraId="7643940F" w14:textId="7C886463"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008E716E" w:rsidRPr="008E716E">
        <w:rPr>
          <w:sz w:val="24"/>
          <w:szCs w:val="24"/>
        </w:rPr>
        <w:t>Klečaty 33, 391 81 Veselí nad Lužnicí</w:t>
      </w:r>
    </w:p>
    <w:p w14:paraId="1994083A" w14:textId="2CC16FA5"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008E716E" w:rsidRPr="008E716E">
        <w:rPr>
          <w:sz w:val="24"/>
          <w:szCs w:val="24"/>
        </w:rPr>
        <w:t>KS Č. Budějovice, oddíl C, vložka 10691</w:t>
      </w:r>
    </w:p>
    <w:p w14:paraId="5F0C4773" w14:textId="2F7486AC"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471802">
        <w:rPr>
          <w:sz w:val="24"/>
          <w:szCs w:val="24"/>
        </w:rPr>
        <w:t>xxxxxxxxxxxxxxxxx</w:t>
      </w:r>
    </w:p>
    <w:p w14:paraId="751DF153" w14:textId="5BF15276"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008E716E" w:rsidRPr="008E716E">
        <w:rPr>
          <w:sz w:val="24"/>
          <w:szCs w:val="24"/>
        </w:rPr>
        <w:t>26040042</w:t>
      </w:r>
    </w:p>
    <w:p w14:paraId="18BFE23C" w14:textId="0A55232C"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008E716E" w:rsidRPr="008E716E">
        <w:rPr>
          <w:sz w:val="24"/>
          <w:szCs w:val="24"/>
        </w:rPr>
        <w:t>CZ26040042</w:t>
      </w:r>
    </w:p>
    <w:p w14:paraId="1456CCA0" w14:textId="64708956"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008E716E" w:rsidRPr="008E716E">
        <w:rPr>
          <w:sz w:val="24"/>
          <w:szCs w:val="24"/>
        </w:rPr>
        <w:t>edivw72</w:t>
      </w:r>
    </w:p>
    <w:p w14:paraId="60F4CBC6" w14:textId="77AE536D"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00471802">
        <w:rPr>
          <w:sz w:val="24"/>
          <w:szCs w:val="24"/>
        </w:rPr>
        <w:t>xxxxxxxxxxxxxxxx</w:t>
      </w:r>
    </w:p>
    <w:p w14:paraId="2A3A46DE" w14:textId="63C64230"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00471802">
        <w:rPr>
          <w:sz w:val="24"/>
          <w:szCs w:val="24"/>
        </w:rPr>
        <w:t>xxxxxxxxxxxxxxxx</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2796A85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00471802">
        <w:rPr>
          <w:rFonts w:ascii="Times New Roman" w:hAnsi="Times New Roman"/>
          <w:sz w:val="24"/>
          <w:szCs w:val="24"/>
        </w:rPr>
        <w:t>xxxxxxxxxxxxxxxx</w:t>
      </w:r>
    </w:p>
    <w:p w14:paraId="75C2411F" w14:textId="61C0A7E5"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471802">
        <w:rPr>
          <w:rFonts w:ascii="Times New Roman" w:hAnsi="Times New Roman"/>
          <w:sz w:val="24"/>
          <w:szCs w:val="24"/>
        </w:rPr>
        <w:t>xxxxxxxxxxxxxxxx</w:t>
      </w:r>
    </w:p>
    <w:p w14:paraId="384944DD" w14:textId="77777777" w:rsidR="00A66240" w:rsidRPr="00A66240" w:rsidRDefault="00A66240" w:rsidP="00A66240">
      <w:pPr>
        <w:suppressAutoHyphens/>
        <w:spacing w:line="100" w:lineRule="atLeast"/>
        <w:rPr>
          <w:sz w:val="24"/>
          <w:szCs w:val="24"/>
          <w:lang w:eastAsia="zh-CN"/>
        </w:rPr>
      </w:pPr>
    </w:p>
    <w:p w14:paraId="6DE39CD6"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14:paraId="5004B3AE" w14:textId="77777777" w:rsidR="00A66240" w:rsidRPr="00176E21"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24D4C92A" w14:textId="37B81D96"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w:t>
      </w:r>
      <w:r w:rsidR="00692ECE" w:rsidRPr="00D67F87">
        <w:rPr>
          <w:sz w:val="24"/>
        </w:rPr>
        <w:t>akce</w:t>
      </w:r>
      <w:r w:rsidR="00D67F87">
        <w:rPr>
          <w:sz w:val="24"/>
        </w:rPr>
        <w:t xml:space="preserve"> „</w:t>
      </w:r>
      <w:r w:rsidR="000700E0">
        <w:rPr>
          <w:sz w:val="24"/>
        </w:rPr>
        <w:t>Vojenské ubytovací zařízení</w:t>
      </w:r>
      <w:r w:rsidR="00D67F87">
        <w:rPr>
          <w:sz w:val="24"/>
        </w:rPr>
        <w:t xml:space="preserve"> Tábor, Kpt. Nálepky – stavební úpravy“.</w:t>
      </w:r>
      <w:r w:rsidR="00D67F87" w:rsidRPr="00D67F87" w:rsidDel="00D67F87">
        <w:rPr>
          <w:sz w:val="24"/>
        </w:rPr>
        <w:t xml:space="preserve"> </w:t>
      </w:r>
    </w:p>
    <w:p w14:paraId="1236224F" w14:textId="77777777" w:rsidR="00692ECE" w:rsidRDefault="00692ECE" w:rsidP="00692ECE">
      <w:pPr>
        <w:spacing w:beforeLines="20" w:before="48"/>
        <w:ind w:firstLine="720"/>
        <w:jc w:val="both"/>
        <w:rPr>
          <w:sz w:val="24"/>
        </w:rPr>
      </w:pPr>
    </w:p>
    <w:p w14:paraId="387C0AE0" w14:textId="255E9E44" w:rsidR="000B70BA" w:rsidRPr="00985A97"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28F54E2E" w14:textId="3F4BD029" w:rsidR="00985A97" w:rsidRPr="00985A97" w:rsidRDefault="000700E0" w:rsidP="00985A97">
      <w:pPr>
        <w:jc w:val="both"/>
        <w:rPr>
          <w:sz w:val="24"/>
          <w:szCs w:val="24"/>
        </w:rPr>
      </w:pPr>
      <w:r>
        <w:rPr>
          <w:sz w:val="24"/>
          <w:szCs w:val="24"/>
        </w:rPr>
        <w:t>Oprava elektroinstalace dle t</w:t>
      </w:r>
      <w:r w:rsidR="00985A97" w:rsidRPr="00985A97">
        <w:rPr>
          <w:sz w:val="24"/>
          <w:szCs w:val="24"/>
        </w:rPr>
        <w:t>echnické zprávy</w:t>
      </w:r>
      <w:r w:rsidR="00376A04">
        <w:rPr>
          <w:sz w:val="24"/>
          <w:szCs w:val="24"/>
        </w:rPr>
        <w:t xml:space="preserve"> el. instalace + fotodokumentace</w:t>
      </w:r>
      <w:r>
        <w:rPr>
          <w:sz w:val="24"/>
          <w:szCs w:val="24"/>
        </w:rPr>
        <w:t xml:space="preserve"> a s</w:t>
      </w:r>
      <w:r w:rsidR="00985A97" w:rsidRPr="00985A97">
        <w:rPr>
          <w:sz w:val="24"/>
          <w:szCs w:val="24"/>
        </w:rPr>
        <w:t>oupisu stavebních prací, dodávek a služeb.</w:t>
      </w:r>
      <w:r w:rsidR="00985A97" w:rsidRPr="00985A97">
        <w:rPr>
          <w:color w:val="FF0000"/>
          <w:sz w:val="24"/>
          <w:szCs w:val="24"/>
        </w:rPr>
        <w:t xml:space="preserve"> </w:t>
      </w:r>
    </w:p>
    <w:p w14:paraId="5064FFA0" w14:textId="65C4F527" w:rsidR="00985A97" w:rsidRPr="00985A97" w:rsidRDefault="00985A97" w:rsidP="00985A97">
      <w:pPr>
        <w:jc w:val="both"/>
        <w:rPr>
          <w:sz w:val="24"/>
          <w:szCs w:val="24"/>
        </w:rPr>
      </w:pPr>
      <w:r w:rsidRPr="00985A97">
        <w:rPr>
          <w:sz w:val="24"/>
          <w:szCs w:val="24"/>
        </w:rPr>
        <w:t>Další stavební opravy v rozsahu:</w:t>
      </w:r>
    </w:p>
    <w:p w14:paraId="4DAF6D26" w14:textId="5438F6E7" w:rsidR="00985A97" w:rsidRPr="00985A97" w:rsidRDefault="00390913" w:rsidP="00985A97">
      <w:pPr>
        <w:numPr>
          <w:ilvl w:val="0"/>
          <w:numId w:val="46"/>
        </w:numPr>
        <w:jc w:val="both"/>
        <w:rPr>
          <w:sz w:val="24"/>
          <w:szCs w:val="24"/>
        </w:rPr>
      </w:pPr>
      <w:r>
        <w:rPr>
          <w:sz w:val="24"/>
          <w:szCs w:val="24"/>
        </w:rPr>
        <w:t>p</w:t>
      </w:r>
      <w:r w:rsidR="00985A97" w:rsidRPr="00985A97">
        <w:rPr>
          <w:sz w:val="24"/>
          <w:szCs w:val="24"/>
        </w:rPr>
        <w:t xml:space="preserve">řesun a zakrytí nábytku a vybavení pokojů – budova částečně vystěhovaná, zbylo 20 % nábytku; </w:t>
      </w:r>
    </w:p>
    <w:p w14:paraId="5DFB2FCE" w14:textId="1BC5CBE6"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p</w:t>
      </w:r>
      <w:r w:rsidR="00985A97" w:rsidRPr="00A84DBE">
        <w:rPr>
          <w:rFonts w:ascii="Times New Roman" w:hAnsi="Times New Roman"/>
          <w:sz w:val="24"/>
          <w:szCs w:val="24"/>
        </w:rPr>
        <w:t>odlahové krytiny</w:t>
      </w:r>
      <w:r w:rsidR="002004EF">
        <w:rPr>
          <w:rFonts w:ascii="Times New Roman" w:hAnsi="Times New Roman"/>
          <w:sz w:val="24"/>
          <w:szCs w:val="24"/>
        </w:rPr>
        <w:t>:</w:t>
      </w:r>
    </w:p>
    <w:p w14:paraId="0865EC59" w14:textId="44F1EFC3"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Odstranění stávajících krytin (koberce a PVC), zbroušení podkladu, vyrovnání a příprava pod stěrku, hloubková penetrace, stěrkování – vyrovnání povrchů do 2 cm včetně potřebné penetrace, pokládka lepící vrstvy, pokládka PVC včetně nalepení obvodových lišt. Dekor PVC dřevo, </w:t>
      </w:r>
      <w:r w:rsidR="000700E0">
        <w:rPr>
          <w:rFonts w:ascii="Times New Roman" w:hAnsi="Times New Roman"/>
          <w:sz w:val="24"/>
          <w:szCs w:val="24"/>
        </w:rPr>
        <w:t>objednatel</w:t>
      </w:r>
      <w:r w:rsidRPr="00A84DBE">
        <w:rPr>
          <w:rFonts w:ascii="Times New Roman" w:hAnsi="Times New Roman"/>
          <w:sz w:val="24"/>
          <w:szCs w:val="24"/>
        </w:rPr>
        <w:t xml:space="preserve"> upřesní dle vzorníku, včetně obvodových lišt. Na recepci instalovat </w:t>
      </w:r>
      <w:r w:rsidRPr="00A84DBE">
        <w:rPr>
          <w:rFonts w:ascii="Times New Roman" w:hAnsi="Times New Roman"/>
          <w:sz w:val="24"/>
          <w:szCs w:val="24"/>
        </w:rPr>
        <w:lastRenderedPageBreak/>
        <w:t>ochranou, průhlednou podložku pod kancelářskou židli. Výměna prahů 200 ks dubových prahů lakovaných</w:t>
      </w:r>
      <w:r>
        <w:rPr>
          <w:rFonts w:ascii="Times New Roman" w:hAnsi="Times New Roman"/>
          <w:sz w:val="24"/>
          <w:szCs w:val="24"/>
        </w:rPr>
        <w:t xml:space="preserve"> a jejich zakotvení</w:t>
      </w:r>
      <w:r w:rsidRPr="00A84DBE">
        <w:rPr>
          <w:rFonts w:ascii="Times New Roman" w:hAnsi="Times New Roman"/>
          <w:sz w:val="24"/>
          <w:szCs w:val="24"/>
        </w:rPr>
        <w:t>.</w:t>
      </w:r>
    </w:p>
    <w:p w14:paraId="4928C522" w14:textId="40F4F00E"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m</w:t>
      </w:r>
      <w:r w:rsidR="00985A97" w:rsidRPr="00A84DBE">
        <w:rPr>
          <w:rFonts w:ascii="Times New Roman" w:hAnsi="Times New Roman"/>
          <w:sz w:val="24"/>
          <w:szCs w:val="24"/>
        </w:rPr>
        <w:t>alby:</w:t>
      </w:r>
    </w:p>
    <w:p w14:paraId="3C1F8909" w14:textId="0FAA1810"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Ometení, očištění a omytí omítek, tmelení spár a rohů, oprava omítek, penetrace </w:t>
      </w:r>
      <w:r w:rsidR="00613C3A">
        <w:rPr>
          <w:rFonts w:ascii="Times New Roman" w:hAnsi="Times New Roman"/>
          <w:sz w:val="24"/>
          <w:szCs w:val="24"/>
        </w:rPr>
        <w:br/>
      </w:r>
      <w:r w:rsidRPr="00A84DBE">
        <w:rPr>
          <w:rFonts w:ascii="Times New Roman" w:hAnsi="Times New Roman"/>
          <w:sz w:val="24"/>
          <w:szCs w:val="24"/>
        </w:rPr>
        <w:t xml:space="preserve">a dvojnásobná výmalba místností za sucha dobře otěruvzdorná, bělost (% BaSO4) min. </w:t>
      </w:r>
      <w:r w:rsidR="000700E0">
        <w:rPr>
          <w:rFonts w:ascii="Times New Roman" w:hAnsi="Times New Roman"/>
          <w:sz w:val="24"/>
          <w:szCs w:val="24"/>
        </w:rPr>
        <w:br/>
      </w:r>
      <w:r w:rsidRPr="00A84DBE">
        <w:rPr>
          <w:rFonts w:ascii="Times New Roman" w:hAnsi="Times New Roman"/>
          <w:sz w:val="24"/>
          <w:szCs w:val="24"/>
        </w:rPr>
        <w:t>92 %.</w:t>
      </w:r>
    </w:p>
    <w:p w14:paraId="20D8F663" w14:textId="4390D54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d</w:t>
      </w:r>
      <w:r w:rsidR="00985A97" w:rsidRPr="00A84DBE">
        <w:rPr>
          <w:rFonts w:ascii="Times New Roman" w:hAnsi="Times New Roman"/>
          <w:sz w:val="24"/>
          <w:szCs w:val="24"/>
        </w:rPr>
        <w:t>odání a montáž bezpečnostních únikových tabulek</w:t>
      </w:r>
      <w:r w:rsidR="00985A97">
        <w:rPr>
          <w:rFonts w:ascii="Times New Roman" w:hAnsi="Times New Roman"/>
          <w:sz w:val="24"/>
          <w:szCs w:val="24"/>
        </w:rPr>
        <w:t xml:space="preserve"> dle stávajícího stavu;</w:t>
      </w:r>
    </w:p>
    <w:p w14:paraId="3E70FED2" w14:textId="7256E369"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rozvodů Út včetně radiátorů</w:t>
      </w:r>
      <w:r w:rsidR="00985A97">
        <w:rPr>
          <w:rFonts w:ascii="Times New Roman" w:hAnsi="Times New Roman"/>
          <w:sz w:val="24"/>
          <w:szCs w:val="24"/>
        </w:rPr>
        <w:t>;</w:t>
      </w:r>
    </w:p>
    <w:p w14:paraId="0FEC8360" w14:textId="7F590510" w:rsidR="00985A97"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200 ks zárubní</w:t>
      </w:r>
      <w:r w:rsidR="00985A97">
        <w:rPr>
          <w:rFonts w:ascii="Times New Roman" w:hAnsi="Times New Roman"/>
          <w:sz w:val="24"/>
          <w:szCs w:val="24"/>
        </w:rPr>
        <w:t>;</w:t>
      </w:r>
    </w:p>
    <w:p w14:paraId="7F78BF7B" w14:textId="261AEBC3"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Pr>
          <w:rFonts w:ascii="Times New Roman" w:hAnsi="Times New Roman"/>
          <w:sz w:val="24"/>
          <w:szCs w:val="24"/>
        </w:rPr>
        <w:t>átěr dřevěných dvířek – u výlezu na střechu š 50 cm a v 300 cm;</w:t>
      </w:r>
    </w:p>
    <w:p w14:paraId="5656C812" w14:textId="536A43A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46 ks protipožárních dveří</w:t>
      </w:r>
      <w:r w:rsidR="00985A97">
        <w:rPr>
          <w:rFonts w:ascii="Times New Roman" w:hAnsi="Times New Roman"/>
          <w:sz w:val="24"/>
          <w:szCs w:val="24"/>
        </w:rPr>
        <w:t>;</w:t>
      </w:r>
    </w:p>
    <w:p w14:paraId="5A463414" w14:textId="24C6A5CE"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72 ks plných dveří k</w:t>
      </w:r>
      <w:r w:rsidR="00985A97">
        <w:rPr>
          <w:rFonts w:ascii="Times New Roman" w:hAnsi="Times New Roman"/>
          <w:sz w:val="24"/>
          <w:szCs w:val="24"/>
        </w:rPr>
        <w:t> </w:t>
      </w:r>
      <w:r w:rsidR="00985A97" w:rsidRPr="00A84DBE">
        <w:rPr>
          <w:rFonts w:ascii="Times New Roman" w:hAnsi="Times New Roman"/>
          <w:sz w:val="24"/>
          <w:szCs w:val="24"/>
        </w:rPr>
        <w:t>pokojům</w:t>
      </w:r>
      <w:r w:rsidR="00985A97">
        <w:rPr>
          <w:rFonts w:ascii="Times New Roman" w:hAnsi="Times New Roman"/>
          <w:sz w:val="24"/>
          <w:szCs w:val="24"/>
        </w:rPr>
        <w:t>;</w:t>
      </w:r>
    </w:p>
    <w:p w14:paraId="5248BF6D" w14:textId="195DAC51"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75 ks garnyží – související oprava omítek a maleb</w:t>
      </w:r>
      <w:r w:rsidR="00985A97">
        <w:rPr>
          <w:rFonts w:ascii="Times New Roman" w:hAnsi="Times New Roman"/>
          <w:sz w:val="24"/>
          <w:szCs w:val="24"/>
        </w:rPr>
        <w:t>;</w:t>
      </w:r>
    </w:p>
    <w:p w14:paraId="4BE4A279" w14:textId="21B1538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8 ks dřevěných plných stěn </w:t>
      </w:r>
      <w:r w:rsidR="00985A97" w:rsidRPr="003D0C77">
        <w:rPr>
          <w:rFonts w:ascii="Times New Roman" w:hAnsi="Times New Roman"/>
          <w:sz w:val="24"/>
          <w:szCs w:val="24"/>
        </w:rPr>
        <w:t>š 330 x v 260 cm</w:t>
      </w:r>
      <w:r w:rsidR="00985A97">
        <w:rPr>
          <w:rFonts w:ascii="Times New Roman" w:hAnsi="Times New Roman"/>
          <w:sz w:val="24"/>
          <w:szCs w:val="24"/>
        </w:rPr>
        <w:t xml:space="preserve"> </w:t>
      </w:r>
      <w:r w:rsidR="00985A97" w:rsidRPr="00DF3B8E">
        <w:rPr>
          <w:rFonts w:ascii="Times New Roman" w:hAnsi="Times New Roman"/>
          <w:sz w:val="24"/>
          <w:szCs w:val="24"/>
        </w:rPr>
        <w:t>za plastové, včetně dvou</w:t>
      </w:r>
      <w:r w:rsidR="00985A97">
        <w:rPr>
          <w:rFonts w:ascii="Times New Roman" w:hAnsi="Times New Roman"/>
          <w:sz w:val="24"/>
          <w:szCs w:val="24"/>
        </w:rPr>
        <w:t>křídlých</w:t>
      </w:r>
      <w:r w:rsidR="00985A97" w:rsidRPr="00DF3B8E">
        <w:rPr>
          <w:rFonts w:ascii="Times New Roman" w:hAnsi="Times New Roman"/>
          <w:sz w:val="24"/>
          <w:szCs w:val="24"/>
        </w:rPr>
        <w:t xml:space="preserve"> prosklených dveří</w:t>
      </w:r>
      <w:r w:rsidR="00985A97">
        <w:rPr>
          <w:rFonts w:ascii="Times New Roman" w:hAnsi="Times New Roman"/>
          <w:sz w:val="24"/>
          <w:szCs w:val="24"/>
        </w:rPr>
        <w:t xml:space="preserve"> (lítačky)</w:t>
      </w:r>
      <w:r w:rsidR="00985A97" w:rsidRPr="00DF3B8E">
        <w:rPr>
          <w:rFonts w:ascii="Times New Roman" w:hAnsi="Times New Roman"/>
          <w:sz w:val="24"/>
          <w:szCs w:val="24"/>
        </w:rPr>
        <w:t xml:space="preserv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82 x </w:t>
      </w:r>
      <w:r w:rsidR="00985A97">
        <w:rPr>
          <w:rFonts w:ascii="Times New Roman" w:hAnsi="Times New Roman"/>
          <w:sz w:val="24"/>
          <w:szCs w:val="24"/>
        </w:rPr>
        <w:t>v </w:t>
      </w:r>
      <w:r w:rsidR="00985A97" w:rsidRPr="00DF3B8E">
        <w:rPr>
          <w:rFonts w:ascii="Times New Roman" w:hAnsi="Times New Roman"/>
          <w:sz w:val="24"/>
          <w:szCs w:val="24"/>
        </w:rPr>
        <w:t>196</w:t>
      </w:r>
      <w:r w:rsidR="00985A97">
        <w:rPr>
          <w:rFonts w:ascii="Times New Roman" w:hAnsi="Times New Roman"/>
          <w:sz w:val="24"/>
          <w:szCs w:val="24"/>
        </w:rPr>
        <w:t xml:space="preserve"> cm</w:t>
      </w:r>
      <w:r w:rsidR="00985A97" w:rsidRPr="00DF3B8E">
        <w:rPr>
          <w:rFonts w:ascii="Times New Roman" w:hAnsi="Times New Roman"/>
          <w:sz w:val="24"/>
          <w:szCs w:val="24"/>
        </w:rPr>
        <w:t>, v každé stěně. U 7 dveří budou použity dveře ze 2/3 prosklené – sklo čiré a jedny dveře</w:t>
      </w:r>
      <w:r w:rsidR="00985A97">
        <w:rPr>
          <w:rFonts w:ascii="Times New Roman" w:hAnsi="Times New Roman"/>
          <w:sz w:val="24"/>
          <w:szCs w:val="24"/>
        </w:rPr>
        <w:t xml:space="preserve"> </w:t>
      </w:r>
      <w:r w:rsidR="00985A97" w:rsidRPr="00DF3B8E">
        <w:rPr>
          <w:rFonts w:ascii="Times New Roman" w:hAnsi="Times New Roman"/>
          <w:sz w:val="24"/>
          <w:szCs w:val="24"/>
        </w:rPr>
        <w:t xml:space="preserve">budou </w:t>
      </w:r>
      <w:r w:rsidR="00BA5945">
        <w:rPr>
          <w:rFonts w:ascii="Times New Roman" w:hAnsi="Times New Roman"/>
          <w:sz w:val="24"/>
          <w:szCs w:val="24"/>
        </w:rPr>
        <w:t>mít sklo ornament – neprůhledné;</w:t>
      </w:r>
    </w:p>
    <w:p w14:paraId="1D39C8B0" w14:textId="14EFF0E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prosklených stěn s dveřmi u skladů </w:t>
      </w:r>
      <w:r w:rsidR="00985A97">
        <w:rPr>
          <w:rFonts w:ascii="Times New Roman" w:hAnsi="Times New Roman"/>
          <w:sz w:val="24"/>
          <w:szCs w:val="24"/>
        </w:rPr>
        <w:t xml:space="preserve">š </w:t>
      </w:r>
      <w:r w:rsidR="00985A97" w:rsidRPr="003D0C77">
        <w:rPr>
          <w:rFonts w:ascii="Times New Roman" w:hAnsi="Times New Roman"/>
          <w:sz w:val="24"/>
          <w:szCs w:val="24"/>
        </w:rPr>
        <w:t>330 x v 260 cm,</w:t>
      </w:r>
      <w:r w:rsidR="00985A97" w:rsidRPr="00DF3B8E">
        <w:rPr>
          <w:rFonts w:ascii="Times New Roman" w:hAnsi="Times New Roman"/>
          <w:sz w:val="24"/>
          <w:szCs w:val="24"/>
        </w:rPr>
        <w:t xml:space="preserve"> dveře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160 x </w:t>
      </w:r>
      <w:r w:rsidR="00985A97">
        <w:rPr>
          <w:rFonts w:ascii="Times New Roman" w:hAnsi="Times New Roman"/>
          <w:sz w:val="24"/>
          <w:szCs w:val="24"/>
        </w:rPr>
        <w:t>v </w:t>
      </w:r>
      <w:r w:rsidR="00985A97" w:rsidRPr="00DF3B8E">
        <w:rPr>
          <w:rFonts w:ascii="Times New Roman" w:hAnsi="Times New Roman"/>
          <w:sz w:val="24"/>
          <w:szCs w:val="24"/>
        </w:rPr>
        <w:t>212</w:t>
      </w:r>
      <w:r w:rsidR="00985A97">
        <w:rPr>
          <w:rFonts w:ascii="Times New Roman" w:hAnsi="Times New Roman"/>
          <w:sz w:val="24"/>
          <w:szCs w:val="24"/>
        </w:rPr>
        <w:t xml:space="preserve"> cm</w:t>
      </w:r>
      <w:r w:rsidR="00985A97" w:rsidRPr="00DF3B8E">
        <w:rPr>
          <w:rFonts w:ascii="Times New Roman" w:hAnsi="Times New Roman"/>
          <w:sz w:val="24"/>
          <w:szCs w:val="24"/>
        </w:rPr>
        <w:t xml:space="preserve"> za plastová, zámek FAB, sklo ornament</w:t>
      </w:r>
      <w:r w:rsidR="00985A97">
        <w:rPr>
          <w:rFonts w:ascii="Times New Roman" w:hAnsi="Times New Roman"/>
          <w:sz w:val="24"/>
          <w:szCs w:val="24"/>
        </w:rPr>
        <w:t>;</w:t>
      </w:r>
    </w:p>
    <w:p w14:paraId="4CD4BB6A" w14:textId="57CC12A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dvířek u vestavěných skříní na chodbách</w:t>
      </w:r>
      <w:r w:rsidR="00985A97">
        <w:rPr>
          <w:rFonts w:ascii="Times New Roman" w:hAnsi="Times New Roman"/>
          <w:sz w:val="24"/>
          <w:szCs w:val="24"/>
        </w:rPr>
        <w:t xml:space="preserve"> </w:t>
      </w:r>
      <w:r w:rsidR="00985A97" w:rsidRPr="00DF3B8E">
        <w:rPr>
          <w:rFonts w:ascii="Times New Roman" w:hAnsi="Times New Roman"/>
          <w:sz w:val="24"/>
          <w:szCs w:val="24"/>
        </w:rPr>
        <w:t>- zámek FAB, univerzální klíč</w:t>
      </w:r>
      <w:r w:rsidR="00985A97">
        <w:rPr>
          <w:rFonts w:ascii="Times New Roman" w:hAnsi="Times New Roman"/>
          <w:sz w:val="24"/>
          <w:szCs w:val="24"/>
        </w:rPr>
        <w:t>, upevnění stávajících polic:</w:t>
      </w:r>
    </w:p>
    <w:p w14:paraId="1D4EF51A" w14:textId="1DC0B16C" w:rsidR="00985A97" w:rsidRPr="00613C3A" w:rsidRDefault="00985A97" w:rsidP="00DE5316">
      <w:pPr>
        <w:pStyle w:val="Odstavecseseznamem"/>
        <w:numPr>
          <w:ilvl w:val="0"/>
          <w:numId w:val="46"/>
        </w:numPr>
        <w:spacing w:after="0" w:line="240" w:lineRule="auto"/>
        <w:contextualSpacing/>
        <w:jc w:val="both"/>
        <w:rPr>
          <w:rFonts w:ascii="Times New Roman" w:hAnsi="Times New Roman"/>
          <w:sz w:val="24"/>
          <w:szCs w:val="24"/>
        </w:rPr>
      </w:pPr>
      <w:r w:rsidRPr="00DF3B8E">
        <w:rPr>
          <w:rFonts w:ascii="Times New Roman" w:hAnsi="Times New Roman"/>
          <w:sz w:val="24"/>
          <w:szCs w:val="24"/>
        </w:rPr>
        <w:t>3</w:t>
      </w:r>
      <w:r>
        <w:rPr>
          <w:rFonts w:ascii="Times New Roman" w:hAnsi="Times New Roman"/>
          <w:sz w:val="24"/>
          <w:szCs w:val="24"/>
        </w:rPr>
        <w:t xml:space="preserve"> ks</w:t>
      </w:r>
      <w:r w:rsidRPr="00DF3B8E">
        <w:rPr>
          <w:rFonts w:ascii="Times New Roman" w:hAnsi="Times New Roman"/>
          <w:sz w:val="24"/>
          <w:szCs w:val="24"/>
        </w:rPr>
        <w:t xml:space="preserve"> x dvoukřídlá: v 198 x š 115</w:t>
      </w:r>
      <w:r>
        <w:rPr>
          <w:rFonts w:ascii="Times New Roman" w:hAnsi="Times New Roman"/>
          <w:sz w:val="24"/>
          <w:szCs w:val="24"/>
        </w:rPr>
        <w:t xml:space="preserve"> cm</w:t>
      </w:r>
      <w:r w:rsidRPr="00DF3B8E">
        <w:rPr>
          <w:rFonts w:ascii="Times New Roman" w:hAnsi="Times New Roman"/>
          <w:sz w:val="24"/>
          <w:szCs w:val="24"/>
        </w:rPr>
        <w:t xml:space="preserve"> (obě</w:t>
      </w:r>
      <w:r>
        <w:rPr>
          <w:rFonts w:ascii="Times New Roman" w:hAnsi="Times New Roman"/>
          <w:sz w:val="24"/>
          <w:szCs w:val="24"/>
        </w:rPr>
        <w:t xml:space="preserve"> křídla) + horní dvoukřídlá skříň:</w:t>
      </w:r>
      <w:r w:rsidRPr="00DF3B8E">
        <w:rPr>
          <w:rFonts w:ascii="Times New Roman" w:hAnsi="Times New Roman"/>
          <w:sz w:val="24"/>
          <w:szCs w:val="24"/>
        </w:rPr>
        <w:t xml:space="preserve"> v</w:t>
      </w:r>
      <w:r>
        <w:rPr>
          <w:rFonts w:ascii="Times New Roman" w:hAnsi="Times New Roman"/>
          <w:sz w:val="24"/>
          <w:szCs w:val="24"/>
        </w:rPr>
        <w:t> </w:t>
      </w:r>
      <w:r w:rsidRPr="00DF3B8E">
        <w:rPr>
          <w:rFonts w:ascii="Times New Roman" w:hAnsi="Times New Roman"/>
          <w:sz w:val="24"/>
          <w:szCs w:val="24"/>
        </w:rPr>
        <w:t>48</w:t>
      </w:r>
      <w:r>
        <w:rPr>
          <w:rFonts w:ascii="Times New Roman" w:hAnsi="Times New Roman"/>
          <w:sz w:val="24"/>
          <w:szCs w:val="24"/>
        </w:rPr>
        <w:t xml:space="preserve"> </w:t>
      </w:r>
      <w:r w:rsidRPr="00DF3B8E">
        <w:rPr>
          <w:rFonts w:ascii="Times New Roman" w:hAnsi="Times New Roman"/>
          <w:sz w:val="24"/>
          <w:szCs w:val="24"/>
        </w:rPr>
        <w:t>x š</w:t>
      </w:r>
      <w:r>
        <w:rPr>
          <w:rFonts w:ascii="Times New Roman" w:hAnsi="Times New Roman"/>
          <w:sz w:val="24"/>
          <w:szCs w:val="24"/>
        </w:rPr>
        <w:t xml:space="preserve"> </w:t>
      </w:r>
      <w:r w:rsidRPr="00DF3B8E">
        <w:rPr>
          <w:rFonts w:ascii="Times New Roman" w:hAnsi="Times New Roman"/>
          <w:sz w:val="24"/>
          <w:szCs w:val="24"/>
        </w:rPr>
        <w:t xml:space="preserve">115 cm </w:t>
      </w:r>
      <w:r>
        <w:rPr>
          <w:rFonts w:ascii="Times New Roman" w:hAnsi="Times New Roman"/>
          <w:sz w:val="24"/>
          <w:szCs w:val="24"/>
        </w:rPr>
        <w:t>(</w:t>
      </w:r>
      <w:r w:rsidRPr="00DF3B8E">
        <w:rPr>
          <w:rFonts w:ascii="Times New Roman" w:hAnsi="Times New Roman"/>
          <w:sz w:val="24"/>
          <w:szCs w:val="24"/>
        </w:rPr>
        <w:t>3</w:t>
      </w:r>
      <w:r>
        <w:rPr>
          <w:rFonts w:ascii="Times New Roman" w:hAnsi="Times New Roman"/>
          <w:sz w:val="24"/>
          <w:szCs w:val="24"/>
        </w:rPr>
        <w:t xml:space="preserve"> ks),</w:t>
      </w:r>
      <w:r w:rsidR="00613C3A">
        <w:rPr>
          <w:rFonts w:ascii="Times New Roman" w:hAnsi="Times New Roman"/>
          <w:sz w:val="24"/>
          <w:szCs w:val="24"/>
        </w:rPr>
        <w:t xml:space="preserve"> </w:t>
      </w:r>
      <w:r w:rsidRPr="00613C3A">
        <w:rPr>
          <w:rFonts w:ascii="Times New Roman" w:hAnsi="Times New Roman"/>
          <w:sz w:val="24"/>
          <w:szCs w:val="24"/>
        </w:rPr>
        <w:t>9 ks x jednokřídlá: v 198 x š 55 cm + horní jednokřídlá skříň: v 48 x 55 cm (9 ks);</w:t>
      </w:r>
    </w:p>
    <w:p w14:paraId="791DB4AB" w14:textId="0A22EFA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dveří </w:t>
      </w:r>
      <w:r w:rsidR="00985A97">
        <w:rPr>
          <w:rFonts w:ascii="Times New Roman" w:hAnsi="Times New Roman"/>
          <w:sz w:val="24"/>
          <w:szCs w:val="24"/>
        </w:rPr>
        <w:t xml:space="preserve">dvoukřídlá </w:t>
      </w:r>
      <w:r w:rsidR="00985A97" w:rsidRPr="00DF3B8E">
        <w:rPr>
          <w:rFonts w:ascii="Times New Roman" w:hAnsi="Times New Roman"/>
          <w:sz w:val="24"/>
          <w:szCs w:val="24"/>
        </w:rPr>
        <w:t>-</w:t>
      </w:r>
      <w:r w:rsidR="00985A97">
        <w:rPr>
          <w:rFonts w:ascii="Times New Roman" w:hAnsi="Times New Roman"/>
          <w:sz w:val="24"/>
          <w:szCs w:val="24"/>
        </w:rPr>
        <w:t xml:space="preserve"> učebna: zárubeň – š 145 x </w:t>
      </w:r>
      <w:r w:rsidR="00985A97" w:rsidRPr="00DF3B8E">
        <w:rPr>
          <w:rFonts w:ascii="Times New Roman" w:hAnsi="Times New Roman"/>
          <w:sz w:val="24"/>
          <w:szCs w:val="24"/>
        </w:rPr>
        <w:t>v</w:t>
      </w:r>
      <w:r w:rsidR="00985A97">
        <w:rPr>
          <w:rFonts w:ascii="Times New Roman" w:hAnsi="Times New Roman"/>
          <w:sz w:val="24"/>
          <w:szCs w:val="24"/>
        </w:rPr>
        <w:t> </w:t>
      </w:r>
      <w:r w:rsidR="00985A97" w:rsidRPr="00DF3B8E">
        <w:rPr>
          <w:rFonts w:ascii="Times New Roman" w:hAnsi="Times New Roman"/>
          <w:sz w:val="24"/>
          <w:szCs w:val="24"/>
        </w:rPr>
        <w:t>197</w:t>
      </w:r>
      <w:r w:rsidR="00985A97">
        <w:rPr>
          <w:rFonts w:ascii="Times New Roman" w:hAnsi="Times New Roman"/>
          <w:sz w:val="24"/>
          <w:szCs w:val="24"/>
        </w:rPr>
        <w:t xml:space="preserve"> </w:t>
      </w:r>
      <w:r w:rsidR="00985A97" w:rsidRPr="00DF3B8E">
        <w:rPr>
          <w:rFonts w:ascii="Times New Roman" w:hAnsi="Times New Roman"/>
          <w:sz w:val="24"/>
          <w:szCs w:val="24"/>
        </w:rPr>
        <w:t xml:space="preserve">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v 197,5 cm x 148,5 cm – plné</w:t>
      </w:r>
      <w:r w:rsidR="00985A97">
        <w:rPr>
          <w:rFonts w:ascii="Times New Roman" w:hAnsi="Times New Roman"/>
          <w:sz w:val="24"/>
          <w:szCs w:val="24"/>
        </w:rPr>
        <w:t>;</w:t>
      </w:r>
    </w:p>
    <w:p w14:paraId="03A8F63E" w14:textId="3D365FB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prosklené stěny vstupu </w:t>
      </w:r>
      <w:r w:rsidR="00985A97">
        <w:rPr>
          <w:rFonts w:ascii="Times New Roman" w:hAnsi="Times New Roman"/>
          <w:sz w:val="24"/>
          <w:szCs w:val="24"/>
        </w:rPr>
        <w:t xml:space="preserve">do </w:t>
      </w:r>
      <w:r w:rsidR="00985A97" w:rsidRPr="00AF258A">
        <w:rPr>
          <w:rFonts w:ascii="Times New Roman" w:hAnsi="Times New Roman"/>
          <w:sz w:val="24"/>
          <w:szCs w:val="24"/>
        </w:rPr>
        <w:t>TV místnosti</w:t>
      </w:r>
      <w:r w:rsidR="00985A97">
        <w:rPr>
          <w:rFonts w:ascii="Times New Roman" w:hAnsi="Times New Roman"/>
          <w:sz w:val="24"/>
          <w:szCs w:val="24"/>
        </w:rPr>
        <w:t xml:space="preserve"> -</w:t>
      </w:r>
      <w:r w:rsidR="00985A97" w:rsidRPr="00DF3B8E">
        <w:rPr>
          <w:rFonts w:ascii="Times New Roman" w:hAnsi="Times New Roman"/>
          <w:sz w:val="24"/>
          <w:szCs w:val="24"/>
        </w:rPr>
        <w:t xml:space="preserve"> v 269 cm x </w:t>
      </w:r>
      <w:r w:rsidR="00985A97">
        <w:rPr>
          <w:rFonts w:ascii="Times New Roman" w:hAnsi="Times New Roman"/>
          <w:sz w:val="24"/>
          <w:szCs w:val="24"/>
        </w:rPr>
        <w:t xml:space="preserve">š </w:t>
      </w:r>
      <w:r w:rsidR="00985A97" w:rsidRPr="00DF3B8E">
        <w:rPr>
          <w:rFonts w:ascii="Times New Roman" w:hAnsi="Times New Roman"/>
          <w:sz w:val="24"/>
          <w:szCs w:val="24"/>
        </w:rPr>
        <w:t xml:space="preserve">260 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š</w:t>
      </w:r>
      <w:r w:rsidR="00985A97">
        <w:rPr>
          <w:rFonts w:ascii="Times New Roman" w:hAnsi="Times New Roman"/>
          <w:sz w:val="24"/>
          <w:szCs w:val="24"/>
        </w:rPr>
        <w:t xml:space="preserve"> </w:t>
      </w:r>
      <w:r w:rsidR="00985A97" w:rsidRPr="00DF3B8E">
        <w:rPr>
          <w:rFonts w:ascii="Times New Roman" w:hAnsi="Times New Roman"/>
          <w:sz w:val="24"/>
          <w:szCs w:val="24"/>
        </w:rPr>
        <w:t>133 cm x 210 cm za plastová, sklo ornament</w:t>
      </w:r>
      <w:r w:rsidR="00985A97">
        <w:rPr>
          <w:rFonts w:ascii="Times New Roman" w:hAnsi="Times New Roman"/>
          <w:sz w:val="24"/>
          <w:szCs w:val="24"/>
        </w:rPr>
        <w:t>;</w:t>
      </w:r>
    </w:p>
    <w:p w14:paraId="03FB4E37" w14:textId="1FF98BB5"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všech dveří bude provede</w:t>
      </w:r>
      <w:r w:rsidR="00985A97">
        <w:rPr>
          <w:rFonts w:ascii="Times New Roman" w:hAnsi="Times New Roman"/>
          <w:sz w:val="24"/>
          <w:szCs w:val="24"/>
        </w:rPr>
        <w:t>na včetně opravy omítek a maleb;</w:t>
      </w:r>
    </w:p>
    <w:p w14:paraId="5AF45577" w14:textId="6E07AC1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DF3B8E">
        <w:rPr>
          <w:rFonts w:ascii="Times New Roman" w:hAnsi="Times New Roman"/>
          <w:sz w:val="24"/>
          <w:szCs w:val="24"/>
        </w:rPr>
        <w:t>átěr schodišťového zábradlí a výměna dřevěných madel</w:t>
      </w:r>
      <w:r w:rsidR="00985A97">
        <w:rPr>
          <w:rFonts w:ascii="Times New Roman" w:hAnsi="Times New Roman"/>
          <w:sz w:val="24"/>
          <w:szCs w:val="24"/>
        </w:rPr>
        <w:t>;</w:t>
      </w:r>
    </w:p>
    <w:p w14:paraId="6A7FACFD" w14:textId="579D518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i</w:t>
      </w:r>
      <w:r w:rsidR="00985A97" w:rsidRPr="00DF3B8E">
        <w:rPr>
          <w:rFonts w:ascii="Times New Roman" w:hAnsi="Times New Roman"/>
          <w:sz w:val="24"/>
          <w:szCs w:val="24"/>
        </w:rPr>
        <w:t>nstalace bílé vertikální žaluzie do recepce</w:t>
      </w:r>
      <w:r w:rsidR="00985A97">
        <w:rPr>
          <w:rFonts w:ascii="Times New Roman" w:hAnsi="Times New Roman"/>
          <w:sz w:val="24"/>
          <w:szCs w:val="24"/>
        </w:rPr>
        <w:t xml:space="preserve"> š</w:t>
      </w:r>
      <w:r w:rsidR="00985A97" w:rsidRPr="00DF3B8E">
        <w:rPr>
          <w:rFonts w:ascii="Times New Roman" w:hAnsi="Times New Roman"/>
          <w:sz w:val="24"/>
          <w:szCs w:val="24"/>
        </w:rPr>
        <w:t xml:space="preserve"> </w:t>
      </w:r>
      <w:r w:rsidR="00985A97" w:rsidRPr="003D0C77">
        <w:rPr>
          <w:rFonts w:ascii="Times New Roman" w:hAnsi="Times New Roman"/>
          <w:sz w:val="24"/>
          <w:szCs w:val="24"/>
        </w:rPr>
        <w:t>350 cm x v 260</w:t>
      </w:r>
      <w:r w:rsidR="00F23CFE">
        <w:rPr>
          <w:rFonts w:ascii="Times New Roman" w:hAnsi="Times New Roman"/>
          <w:sz w:val="24"/>
          <w:szCs w:val="24"/>
        </w:rPr>
        <w:t xml:space="preserve"> cm;</w:t>
      </w:r>
    </w:p>
    <w:p w14:paraId="3F1C624B" w14:textId="189AF09E"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39 ks čtv</w:t>
      </w:r>
      <w:r w:rsidR="00985A97">
        <w:rPr>
          <w:rFonts w:ascii="Times New Roman" w:hAnsi="Times New Roman"/>
          <w:sz w:val="24"/>
          <w:szCs w:val="24"/>
        </w:rPr>
        <w:t>ercový</w:t>
      </w:r>
      <w:r w:rsidR="00985A97" w:rsidRPr="00DF3B8E">
        <w:rPr>
          <w:rFonts w:ascii="Times New Roman" w:hAnsi="Times New Roman"/>
          <w:sz w:val="24"/>
          <w:szCs w:val="24"/>
        </w:rPr>
        <w:t>ch sprchových koutů 90 x 90 cm (instalace samonosných sprchových vaniček včetně skleněných zástěn o síle skla 6 mm s povrchovou úpravou proti vod. kameni</w:t>
      </w:r>
      <w:r w:rsidR="00985A97">
        <w:rPr>
          <w:rFonts w:ascii="Times New Roman" w:hAnsi="Times New Roman"/>
          <w:sz w:val="24"/>
          <w:szCs w:val="24"/>
        </w:rPr>
        <w:t>;</w:t>
      </w:r>
    </w:p>
    <w:p w14:paraId="3EF39ECE" w14:textId="2398463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sprchových baterií a instalace nerezových sprchových držáků 39 ks</w:t>
      </w:r>
      <w:r w:rsidR="00985A97">
        <w:rPr>
          <w:rFonts w:ascii="Times New Roman" w:hAnsi="Times New Roman"/>
          <w:sz w:val="24"/>
          <w:szCs w:val="24"/>
        </w:rPr>
        <w:t>;</w:t>
      </w:r>
    </w:p>
    <w:p w14:paraId="23200A39" w14:textId="55C3140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39 ks umyvadlových </w:t>
      </w:r>
      <w:r w:rsidR="00985A97">
        <w:rPr>
          <w:rFonts w:ascii="Times New Roman" w:hAnsi="Times New Roman"/>
          <w:sz w:val="24"/>
          <w:szCs w:val="24"/>
        </w:rPr>
        <w:t xml:space="preserve">stojánkových </w:t>
      </w:r>
      <w:r w:rsidR="00985A97" w:rsidRPr="00DF3B8E">
        <w:rPr>
          <w:rFonts w:ascii="Times New Roman" w:hAnsi="Times New Roman"/>
          <w:sz w:val="24"/>
          <w:szCs w:val="24"/>
        </w:rPr>
        <w:t>baterií</w:t>
      </w:r>
      <w:r w:rsidR="00985A97">
        <w:rPr>
          <w:rFonts w:ascii="Times New Roman" w:hAnsi="Times New Roman"/>
          <w:sz w:val="24"/>
          <w:szCs w:val="24"/>
        </w:rPr>
        <w:t>;</w:t>
      </w:r>
    </w:p>
    <w:p w14:paraId="1F34E7D4" w14:textId="671B741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yříznutí a osazení ventilační mřížky do dveří koupelny včetně případné opravy nátěru – 39 ks</w:t>
      </w:r>
      <w:r w:rsidR="00985A97">
        <w:rPr>
          <w:rFonts w:ascii="Times New Roman" w:hAnsi="Times New Roman"/>
          <w:sz w:val="24"/>
          <w:szCs w:val="24"/>
        </w:rPr>
        <w:t>;</w:t>
      </w:r>
    </w:p>
    <w:p w14:paraId="4BAE6F8E" w14:textId="48D20F2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WC Combi včetně sedátek - 39 ks</w:t>
      </w:r>
      <w:r w:rsidR="00985A97">
        <w:rPr>
          <w:rFonts w:ascii="Times New Roman" w:hAnsi="Times New Roman"/>
          <w:sz w:val="24"/>
          <w:szCs w:val="24"/>
        </w:rPr>
        <w:t>;</w:t>
      </w:r>
    </w:p>
    <w:p w14:paraId="7DFA759F" w14:textId="5F093DE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 ks prac</w:t>
      </w:r>
      <w:r w:rsidR="00985A97">
        <w:rPr>
          <w:rFonts w:ascii="Times New Roman" w:hAnsi="Times New Roman"/>
          <w:sz w:val="24"/>
          <w:szCs w:val="24"/>
        </w:rPr>
        <w:t>ovních desek u stávajících kuchyňských</w:t>
      </w:r>
      <w:r w:rsidR="00985A97" w:rsidRPr="00DF3B8E">
        <w:rPr>
          <w:rFonts w:ascii="Times New Roman" w:hAnsi="Times New Roman"/>
          <w:sz w:val="24"/>
          <w:szCs w:val="24"/>
        </w:rPr>
        <w:t xml:space="preserve"> linek za desky tl. 4 cm</w:t>
      </w:r>
      <w:r w:rsidR="00985A97">
        <w:rPr>
          <w:rFonts w:ascii="Times New Roman" w:hAnsi="Times New Roman"/>
          <w:sz w:val="24"/>
          <w:szCs w:val="24"/>
        </w:rPr>
        <w:t>,</w:t>
      </w:r>
      <w:r w:rsidR="00985A97" w:rsidRPr="00DF3B8E">
        <w:rPr>
          <w:rFonts w:ascii="Times New Roman" w:hAnsi="Times New Roman"/>
          <w:sz w:val="24"/>
          <w:szCs w:val="24"/>
        </w:rPr>
        <w:t xml:space="preserve"> 161 x 61 </w:t>
      </w:r>
      <w:r w:rsidR="00985A97">
        <w:rPr>
          <w:rFonts w:ascii="Times New Roman" w:hAnsi="Times New Roman"/>
          <w:sz w:val="24"/>
          <w:szCs w:val="24"/>
        </w:rPr>
        <w:t xml:space="preserve">cm </w:t>
      </w:r>
      <w:r w:rsidR="001C1C82">
        <w:rPr>
          <w:rFonts w:ascii="Times New Roman" w:hAnsi="Times New Roman"/>
          <w:sz w:val="24"/>
          <w:szCs w:val="24"/>
        </w:rPr>
        <w:br/>
      </w:r>
      <w:r w:rsidR="00985A97" w:rsidRPr="00DF3B8E">
        <w:rPr>
          <w:rFonts w:ascii="Times New Roman" w:hAnsi="Times New Roman"/>
          <w:sz w:val="24"/>
          <w:szCs w:val="24"/>
        </w:rPr>
        <w:t>a osazení stávajícího nerezového dřezu z původní desky. Osazení okrajových lišt</w:t>
      </w:r>
      <w:r w:rsidR="00985A97">
        <w:rPr>
          <w:rFonts w:ascii="Times New Roman" w:hAnsi="Times New Roman"/>
          <w:sz w:val="24"/>
          <w:szCs w:val="24"/>
        </w:rPr>
        <w:t xml:space="preserve"> 161 cm</w:t>
      </w:r>
      <w:r>
        <w:rPr>
          <w:rFonts w:ascii="Times New Roman" w:hAnsi="Times New Roman"/>
          <w:sz w:val="24"/>
          <w:szCs w:val="24"/>
        </w:rPr>
        <w:t>. v</w:t>
      </w:r>
      <w:r w:rsidR="00985A97">
        <w:rPr>
          <w:rFonts w:ascii="Times New Roman" w:hAnsi="Times New Roman"/>
          <w:sz w:val="24"/>
          <w:szCs w:val="24"/>
        </w:rPr>
        <w:t>yčištění odpadu od dřezu;</w:t>
      </w:r>
    </w:p>
    <w:p w14:paraId="0C7F4934" w14:textId="09EFD039"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stojánkových baterií </w:t>
      </w:r>
      <w:r w:rsidR="00985A97">
        <w:rPr>
          <w:rFonts w:ascii="Times New Roman" w:hAnsi="Times New Roman"/>
          <w:sz w:val="24"/>
          <w:szCs w:val="24"/>
        </w:rPr>
        <w:t>na</w:t>
      </w:r>
      <w:r w:rsidR="00985A97" w:rsidRPr="00DF3B8E">
        <w:rPr>
          <w:rFonts w:ascii="Times New Roman" w:hAnsi="Times New Roman"/>
          <w:sz w:val="24"/>
          <w:szCs w:val="24"/>
        </w:rPr>
        <w:t> kuch</w:t>
      </w:r>
      <w:r w:rsidR="00985A97">
        <w:rPr>
          <w:rFonts w:ascii="Times New Roman" w:hAnsi="Times New Roman"/>
          <w:sz w:val="24"/>
          <w:szCs w:val="24"/>
        </w:rPr>
        <w:t>yňských</w:t>
      </w:r>
      <w:r w:rsidR="00985A97" w:rsidRPr="00DF3B8E">
        <w:rPr>
          <w:rFonts w:ascii="Times New Roman" w:hAnsi="Times New Roman"/>
          <w:sz w:val="24"/>
          <w:szCs w:val="24"/>
        </w:rPr>
        <w:t xml:space="preserve"> des</w:t>
      </w:r>
      <w:r w:rsidR="00985A97">
        <w:rPr>
          <w:rFonts w:ascii="Times New Roman" w:hAnsi="Times New Roman"/>
          <w:sz w:val="24"/>
          <w:szCs w:val="24"/>
        </w:rPr>
        <w:t>kách</w:t>
      </w:r>
      <w:r w:rsidR="00985A97" w:rsidRPr="00DF3B8E">
        <w:rPr>
          <w:rFonts w:ascii="Times New Roman" w:hAnsi="Times New Roman"/>
          <w:sz w:val="24"/>
          <w:szCs w:val="24"/>
        </w:rPr>
        <w:t>.</w:t>
      </w:r>
    </w:p>
    <w:p w14:paraId="6BC1179D" w14:textId="77777777" w:rsidR="00AB1D32" w:rsidRPr="00C80DC9" w:rsidRDefault="00AB1D32" w:rsidP="002004EF">
      <w:pPr>
        <w:spacing w:line="288" w:lineRule="auto"/>
        <w:jc w:val="both"/>
        <w:rPr>
          <w:color w:val="FF0000"/>
          <w:sz w:val="24"/>
          <w:szCs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1E4F8ECF"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FF4182">
        <w:rPr>
          <w:sz w:val="24"/>
          <w:szCs w:val="24"/>
        </w:rPr>
        <w:t xml:space="preserve"> XII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r w:rsidR="000B70BA">
        <w:rPr>
          <w:sz w:val="24"/>
          <w:szCs w:val="24"/>
        </w:rPr>
        <w:t xml:space="preserve"> </w:t>
      </w:r>
    </w:p>
    <w:p w14:paraId="2FCC2174" w14:textId="77777777" w:rsidR="00472729" w:rsidRDefault="00472729" w:rsidP="00852925">
      <w:pPr>
        <w:rPr>
          <w:sz w:val="24"/>
          <w:szCs w:val="24"/>
        </w:rPr>
      </w:pPr>
    </w:p>
    <w:p w14:paraId="452C2AF8" w14:textId="4BDCC628"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FA400E">
        <w:rPr>
          <w:sz w:val="24"/>
          <w:szCs w:val="24"/>
        </w:rPr>
        <w:t>do 120 dní od zahájení plnění</w:t>
      </w:r>
    </w:p>
    <w:p w14:paraId="4A793F0A" w14:textId="77777777" w:rsidR="00472729" w:rsidRDefault="00472729" w:rsidP="00852925">
      <w:pPr>
        <w:rPr>
          <w:sz w:val="24"/>
          <w:szCs w:val="24"/>
        </w:rPr>
      </w:pPr>
    </w:p>
    <w:p w14:paraId="7718168E" w14:textId="71E15E3C" w:rsidR="00497FFB" w:rsidRDefault="00852925" w:rsidP="0008284D">
      <w:pPr>
        <w:ind w:left="1440" w:hanging="1440"/>
        <w:rPr>
          <w:sz w:val="24"/>
          <w:szCs w:val="24"/>
        </w:rPr>
      </w:pPr>
      <w:r w:rsidRPr="00852925">
        <w:rPr>
          <w:sz w:val="24"/>
          <w:szCs w:val="24"/>
        </w:rPr>
        <w:t xml:space="preserve">Místo plnění: </w:t>
      </w:r>
      <w:r w:rsidR="00472729">
        <w:rPr>
          <w:sz w:val="24"/>
          <w:szCs w:val="24"/>
        </w:rPr>
        <w:tab/>
      </w:r>
      <w:r w:rsidR="00472729">
        <w:rPr>
          <w:sz w:val="24"/>
          <w:szCs w:val="24"/>
        </w:rPr>
        <w:tab/>
      </w:r>
      <w:r w:rsidR="00472729">
        <w:rPr>
          <w:sz w:val="24"/>
          <w:szCs w:val="24"/>
        </w:rPr>
        <w:tab/>
      </w:r>
      <w:r w:rsidR="00472729">
        <w:rPr>
          <w:sz w:val="24"/>
          <w:szCs w:val="24"/>
        </w:rPr>
        <w:tab/>
      </w:r>
      <w:r w:rsidR="00497FFB">
        <w:rPr>
          <w:sz w:val="24"/>
          <w:szCs w:val="24"/>
        </w:rPr>
        <w:t>Vojenské ubytovací zařízení, ul. Kpt. Nálepky č.p.</w:t>
      </w:r>
      <w:r w:rsidR="000131DC">
        <w:rPr>
          <w:sz w:val="24"/>
          <w:szCs w:val="24"/>
        </w:rPr>
        <w:t xml:space="preserve"> </w:t>
      </w:r>
      <w:r w:rsidR="00497FFB">
        <w:rPr>
          <w:sz w:val="24"/>
          <w:szCs w:val="24"/>
        </w:rPr>
        <w:t xml:space="preserve">2395, </w:t>
      </w:r>
    </w:p>
    <w:p w14:paraId="28743F65" w14:textId="2BBFCD9E" w:rsidR="00C042BD" w:rsidRPr="00852925" w:rsidRDefault="00497FFB" w:rsidP="0008284D">
      <w:pPr>
        <w:ind w:left="2880" w:firstLine="720"/>
        <w:rPr>
          <w:sz w:val="24"/>
          <w:szCs w:val="24"/>
        </w:rPr>
      </w:pPr>
      <w:r>
        <w:rPr>
          <w:sz w:val="24"/>
          <w:szCs w:val="24"/>
        </w:rPr>
        <w:t>390 05 Tábor</w:t>
      </w:r>
    </w:p>
    <w:p w14:paraId="0EB0DA97" w14:textId="77777777" w:rsidR="00EA3BE5" w:rsidRDefault="00EA3BE5" w:rsidP="00EA3BE5">
      <w:pPr>
        <w:rPr>
          <w:sz w:val="24"/>
          <w:szCs w:val="24"/>
        </w:rPr>
      </w:pPr>
    </w:p>
    <w:p w14:paraId="31BE7E9D" w14:textId="77777777" w:rsidR="00500F4B" w:rsidRDefault="00500F4B" w:rsidP="00EA3BE5">
      <w:pPr>
        <w:rPr>
          <w:sz w:val="24"/>
          <w:szCs w:val="24"/>
        </w:rPr>
      </w:pPr>
    </w:p>
    <w:p w14:paraId="5DD82235" w14:textId="77777777" w:rsidR="0051730F" w:rsidRPr="00C042BD" w:rsidRDefault="0051730F" w:rsidP="00EA3BE5">
      <w:pPr>
        <w:rPr>
          <w:sz w:val="24"/>
          <w:szCs w:val="24"/>
        </w:rPr>
      </w:pPr>
    </w:p>
    <w:p w14:paraId="0832FE87" w14:textId="59202F79" w:rsidR="00C042BD" w:rsidRPr="000E7B95" w:rsidRDefault="00A66240" w:rsidP="00300ADC">
      <w:pPr>
        <w:spacing w:after="120"/>
        <w:jc w:val="center"/>
        <w:rPr>
          <w:b/>
          <w:sz w:val="24"/>
          <w:szCs w:val="24"/>
        </w:rPr>
      </w:pPr>
      <w:r w:rsidRPr="000E7B95">
        <w:rPr>
          <w:b/>
          <w:sz w:val="24"/>
        </w:rPr>
        <w:lastRenderedPageBreak/>
        <w:t>III.  Cena díla</w:t>
      </w:r>
    </w:p>
    <w:p w14:paraId="275B45D4" w14:textId="73AE4CD5"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0131DC" w:rsidRPr="000131DC">
        <w:rPr>
          <w:b/>
          <w:sz w:val="24"/>
        </w:rPr>
        <w:t>5</w:t>
      </w:r>
      <w:r w:rsidR="000131DC">
        <w:rPr>
          <w:b/>
          <w:sz w:val="24"/>
        </w:rPr>
        <w:t> </w:t>
      </w:r>
      <w:r w:rsidR="000131DC" w:rsidRPr="000131DC">
        <w:rPr>
          <w:b/>
          <w:sz w:val="24"/>
        </w:rPr>
        <w:t>221</w:t>
      </w:r>
      <w:r w:rsidR="000131DC">
        <w:rPr>
          <w:b/>
          <w:sz w:val="24"/>
        </w:rPr>
        <w:t xml:space="preserve"> </w:t>
      </w:r>
      <w:r w:rsidR="000131DC" w:rsidRPr="000131DC">
        <w:rPr>
          <w:b/>
          <w:sz w:val="24"/>
        </w:rPr>
        <w:t>915</w:t>
      </w:r>
      <w:r w:rsidR="000131DC">
        <w:rPr>
          <w:b/>
          <w:sz w:val="24"/>
        </w:rPr>
        <w:t>, 98</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2037FCA9"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0131DC" w:rsidRPr="00F03444">
        <w:rPr>
          <w:sz w:val="24"/>
        </w:rPr>
        <w:t>pětmilionůdvěstědvacetjednatisícdevětsetpatnáct</w:t>
      </w:r>
      <w:r w:rsidR="007B3C1E">
        <w:rPr>
          <w:sz w:val="24"/>
        </w:rPr>
        <w:t xml:space="preserve"> </w:t>
      </w:r>
      <w:r w:rsidR="00472729">
        <w:rPr>
          <w:sz w:val="24"/>
        </w:rPr>
        <w:t>korun</w:t>
      </w:r>
      <w:r w:rsidR="007B3C1E">
        <w:rPr>
          <w:sz w:val="24"/>
        </w:rPr>
        <w:t xml:space="preserve"> </w:t>
      </w:r>
      <w:r w:rsidR="00472729">
        <w:rPr>
          <w:sz w:val="24"/>
        </w:rPr>
        <w:t>českých</w:t>
      </w:r>
      <w:r w:rsidR="00F03444">
        <w:rPr>
          <w:sz w:val="24"/>
        </w:rPr>
        <w:t xml:space="preserve"> devadesátosm haléřů</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136A55EA"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Zhotovitel se zavazuje vystavovat dílčí faktury jednou měsíčně podle objemu skutečně provedených prací v kalendářním měsíci a to nejpozději do 10 dnů od u</w:t>
      </w:r>
      <w:r w:rsidR="009729B0">
        <w:rPr>
          <w:rFonts w:ascii="Times New Roman" w:hAnsi="Times New Roman"/>
          <w:b w:val="0"/>
          <w:i w:val="0"/>
        </w:rPr>
        <w:t>skutečnění zdanitelného plnění.</w:t>
      </w:r>
      <w:r w:rsidRPr="0093306C">
        <w:rPr>
          <w:rFonts w:ascii="Times New Roman" w:hAnsi="Times New Roman"/>
          <w:b w:val="0"/>
          <w:i w:val="0"/>
        </w:rPr>
        <w:t xml:space="preserve">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710D89F1" w:rsidR="003B6F68" w:rsidRPr="0093306C"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Na každé faktuře bude vyznačena pozastávka ve výši 10%, která bude zhotoviteli uhrazena po</w:t>
      </w:r>
      <w:r w:rsidR="00472729">
        <w:rPr>
          <w:rFonts w:ascii="Times New Roman" w:hAnsi="Times New Roman"/>
          <w:b w:val="0"/>
          <w:i w:val="0"/>
        </w:rPr>
        <w:t xml:space="preserve"> </w:t>
      </w:r>
      <w:r w:rsidR="003B6F68" w:rsidRPr="003B6F68">
        <w:rPr>
          <w:rFonts w:ascii="Times New Roman" w:hAnsi="Times New Roman"/>
          <w:b w:val="0"/>
          <w:i w:val="0"/>
        </w:rPr>
        <w:t xml:space="preserve">odstranění případných vad </w:t>
      </w:r>
      <w:r w:rsidR="00AB1D32" w:rsidRPr="003B6F68">
        <w:rPr>
          <w:rFonts w:ascii="Times New Roman" w:hAnsi="Times New Roman"/>
          <w:b w:val="0"/>
          <w:i w:val="0"/>
        </w:rPr>
        <w:t>a</w:t>
      </w:r>
      <w:r w:rsidR="00BD7F73">
        <w:rPr>
          <w:rFonts w:ascii="Times New Roman" w:hAnsi="Times New Roman"/>
          <w:b w:val="0"/>
          <w:i w:val="0"/>
        </w:rPr>
        <w:t xml:space="preserve"> </w:t>
      </w:r>
      <w:r w:rsidR="003B6F68" w:rsidRPr="003B6F68">
        <w:rPr>
          <w:rFonts w:ascii="Times New Roman" w:hAnsi="Times New Roman"/>
          <w:b w:val="0"/>
          <w:i w:val="0"/>
        </w:rPr>
        <w:t>nedodělků</w:t>
      </w:r>
      <w:r w:rsidR="00BD7F73">
        <w:rPr>
          <w:rFonts w:ascii="Times New Roman" w:hAnsi="Times New Roman"/>
          <w:b w:val="0"/>
          <w:i w:val="0"/>
        </w:rPr>
        <w:t xml:space="preserve">. </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lastRenderedPageBreak/>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49E4933B"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14:paraId="0BF7B40C" w14:textId="0F22F433"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w:t>
      </w:r>
      <w:r w:rsidR="007B19CA">
        <w:rPr>
          <w:sz w:val="24"/>
        </w:rPr>
        <w:t xml:space="preserve">en písemně vyzvat objednatele k </w:t>
      </w:r>
      <w:r w:rsidRPr="009C42A7">
        <w:rPr>
          <w:sz w:val="24"/>
        </w:rPr>
        <w:t>převzetí konstrukcí, které budou zakryty, minimálně 3 pracovní dny předem. O převzetí konstrukcí bude učiněn zápis ve stavebním deníku.</w:t>
      </w:r>
    </w:p>
    <w:p w14:paraId="08B3DDE3" w14:textId="4D60DB0B" w:rsidR="009C42A7" w:rsidRPr="000C7F2A" w:rsidRDefault="00C30097" w:rsidP="002A3430">
      <w:pPr>
        <w:numPr>
          <w:ilvl w:val="0"/>
          <w:numId w:val="5"/>
        </w:numPr>
        <w:tabs>
          <w:tab w:val="clear" w:pos="851"/>
          <w:tab w:val="left" w:pos="0"/>
          <w:tab w:val="num" w:pos="284"/>
        </w:tabs>
        <w:spacing w:after="120"/>
        <w:ind w:left="284" w:hanging="284"/>
        <w:jc w:val="both"/>
        <w:rPr>
          <w:sz w:val="24"/>
        </w:rPr>
      </w:pPr>
      <w:r w:rsidRPr="000C7F2A">
        <w:rPr>
          <w:sz w:val="24"/>
        </w:rPr>
        <w:t xml:space="preserve">V případě, že dojde ke změně </w:t>
      </w:r>
      <w:r w:rsidR="004F604D" w:rsidRPr="000C7F2A">
        <w:rPr>
          <w:sz w:val="24"/>
        </w:rPr>
        <w:t>poddodavatele</w:t>
      </w:r>
      <w:r w:rsidRPr="000C7F2A">
        <w:rPr>
          <w:sz w:val="24"/>
        </w:rPr>
        <w:t>, prostřednictvím kterého zhotovitel prokazoval v zadávacím řízení kvalifikaci, je zhotovitel povinen před jeho změnou objednatele písemně informovat a vyžádat si jeho souhlasné stanovisko.</w:t>
      </w:r>
      <w:r w:rsidR="00144D7E" w:rsidRPr="000C7F2A">
        <w:rPr>
          <w:sz w:val="24"/>
        </w:rPr>
        <w:t xml:space="preserve"> </w:t>
      </w:r>
    </w:p>
    <w:p w14:paraId="3201B739" w14:textId="19001D14" w:rsidR="009C42A7" w:rsidRPr="00300ADC" w:rsidRDefault="00C30097" w:rsidP="002A3430">
      <w:pPr>
        <w:numPr>
          <w:ilvl w:val="0"/>
          <w:numId w:val="5"/>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65E046C0" w14:textId="5E996297" w:rsidR="00605DE4" w:rsidRPr="00AB1D32"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administrativní poplatky hradí zhotovitel.</w:t>
      </w:r>
    </w:p>
    <w:p w14:paraId="70BB3ABA" w14:textId="77777777" w:rsidR="007A55BA" w:rsidRPr="007A55BA" w:rsidRDefault="007A55BA" w:rsidP="00385092"/>
    <w:p w14:paraId="738FF7F7" w14:textId="77777777"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59C8E3E9" w14:textId="77777777" w:rsidR="007A55BA" w:rsidRPr="007A55BA" w:rsidRDefault="007A55BA" w:rsidP="00385092"/>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3B7FAB46" w14:textId="72EA70F8" w:rsidR="007A55BA" w:rsidRPr="00B54AA7" w:rsidRDefault="007A55BA" w:rsidP="002A3430">
      <w:pPr>
        <w:numPr>
          <w:ilvl w:val="0"/>
          <w:numId w:val="6"/>
        </w:numPr>
        <w:tabs>
          <w:tab w:val="clear" w:pos="851"/>
          <w:tab w:val="num" w:pos="567"/>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 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336182B" w14:textId="77777777" w:rsidR="00421634" w:rsidRDefault="00421634" w:rsidP="00B46B1D">
      <w:pPr>
        <w:rPr>
          <w:sz w:val="24"/>
          <w:szCs w:val="24"/>
        </w:rPr>
      </w:pPr>
    </w:p>
    <w:p w14:paraId="69B3C503" w14:textId="77777777" w:rsidR="00AB1D32" w:rsidRDefault="00AB1D32" w:rsidP="00B46B1D">
      <w:pPr>
        <w:rPr>
          <w:sz w:val="24"/>
          <w:szCs w:val="24"/>
        </w:rPr>
      </w:pPr>
    </w:p>
    <w:p w14:paraId="70E63672" w14:textId="77777777" w:rsidR="00685052" w:rsidRDefault="00685052" w:rsidP="00B46B1D">
      <w:pPr>
        <w:rPr>
          <w:sz w:val="24"/>
          <w:szCs w:val="24"/>
        </w:rPr>
      </w:pPr>
    </w:p>
    <w:p w14:paraId="4AC3B8B6" w14:textId="77777777" w:rsidR="00685052" w:rsidRDefault="00685052" w:rsidP="00B46B1D">
      <w:pPr>
        <w:rPr>
          <w:sz w:val="24"/>
          <w:szCs w:val="24"/>
        </w:rPr>
      </w:pPr>
    </w:p>
    <w:p w14:paraId="31231CCA" w14:textId="77777777" w:rsidR="004A122E" w:rsidRDefault="004A122E" w:rsidP="00B46B1D">
      <w:pPr>
        <w:rPr>
          <w:sz w:val="24"/>
          <w:szCs w:val="24"/>
        </w:rPr>
      </w:pPr>
    </w:p>
    <w:p w14:paraId="2B1442D5" w14:textId="77777777" w:rsidR="004A122E" w:rsidRDefault="004A122E" w:rsidP="00B46B1D">
      <w:pPr>
        <w:rPr>
          <w:sz w:val="24"/>
          <w:szCs w:val="24"/>
        </w:rPr>
      </w:pP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lastRenderedPageBreak/>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11781C34"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E76AC9" w:rsidRPr="00E76AC9">
        <w:rPr>
          <w:rFonts w:ascii="Times New Roman" w:hAnsi="Times New Roman"/>
          <w:sz w:val="24"/>
          <w:szCs w:val="24"/>
        </w:rPr>
        <w:t>5</w:t>
      </w:r>
      <w:r w:rsidR="00E76AC9">
        <w:rPr>
          <w:rFonts w:ascii="Times New Roman" w:hAnsi="Times New Roman"/>
          <w:sz w:val="24"/>
          <w:szCs w:val="24"/>
        </w:rPr>
        <w:t xml:space="preserve"> </w:t>
      </w:r>
      <w:r w:rsidR="00E76AC9" w:rsidRPr="00E76AC9">
        <w:rPr>
          <w:rFonts w:ascii="Times New Roman" w:hAnsi="Times New Roman"/>
          <w:sz w:val="24"/>
          <w:szCs w:val="24"/>
        </w:rPr>
        <w:t>000 000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14:paraId="328DAE46" w14:textId="77777777" w:rsidR="00385092" w:rsidRPr="009319B8" w:rsidRDefault="00385092"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748A75E0"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0E7B95">
        <w:rPr>
          <w:rFonts w:ascii="Times New Roman" w:hAnsi="Times New Roman"/>
          <w:sz w:val="24"/>
          <w:szCs w:val="24"/>
        </w:rPr>
        <w:t>cepráce realizovány, snížené o 1</w:t>
      </w:r>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 xml:space="preserve">z postupu zakázky. Rozsah a cena víceprací musí být před jejich prováděním písemně odsouhlasena </w:t>
      </w:r>
      <w:r w:rsidRPr="002A3430">
        <w:rPr>
          <w:rFonts w:ascii="Times New Roman" w:hAnsi="Times New Roman"/>
          <w:sz w:val="24"/>
          <w:szCs w:val="20"/>
        </w:rPr>
        <w:lastRenderedPageBreak/>
        <w:t>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57BE4E4"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w:t>
      </w:r>
      <w:r w:rsidR="00471802">
        <w:rPr>
          <w:rFonts w:ascii="Times New Roman" w:hAnsi="Times New Roman"/>
          <w:sz w:val="24"/>
        </w:rPr>
        <w:t>teli smluvní pokutu ve výši xxx</w:t>
      </w:r>
      <w:r w:rsidRPr="002A3430">
        <w:rPr>
          <w:rFonts w:ascii="Times New Roman" w:hAnsi="Times New Roman"/>
          <w:sz w:val="24"/>
        </w:rPr>
        <w:t xml:space="preserve">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65FA1A79"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471802">
        <w:rPr>
          <w:rFonts w:ascii="Times New Roman" w:hAnsi="Times New Roman"/>
          <w:sz w:val="24"/>
          <w:szCs w:val="20"/>
        </w:rPr>
        <w:t>xxx</w:t>
      </w:r>
      <w:r w:rsidR="0008284D">
        <w:rPr>
          <w:rFonts w:ascii="Times New Roman" w:hAnsi="Times New Roman"/>
          <w:sz w:val="24"/>
          <w:szCs w:val="20"/>
        </w:rPr>
        <w:t xml:space="preserve"> Kč </w:t>
      </w:r>
      <w:r w:rsidRPr="00B54AA7">
        <w:rPr>
          <w:rFonts w:ascii="Times New Roman" w:hAnsi="Times New Roman"/>
          <w:sz w:val="24"/>
          <w:szCs w:val="20"/>
        </w:rPr>
        <w:t>za každý den prodlení s předáním díla. Předáním díla se pro účely této smlouvy rozumí jeho před</w:t>
      </w:r>
      <w:r w:rsidR="00362B9C">
        <w:rPr>
          <w:rFonts w:ascii="Times New Roman" w:hAnsi="Times New Roman"/>
          <w:sz w:val="24"/>
          <w:szCs w:val="20"/>
        </w:rPr>
        <w:t>ání</w:t>
      </w:r>
      <w:r w:rsidRPr="00B54AA7">
        <w:rPr>
          <w:rFonts w:ascii="Times New Roman" w:hAnsi="Times New Roman"/>
          <w:sz w:val="24"/>
          <w:szCs w:val="20"/>
        </w:rPr>
        <w:t>.</w:t>
      </w:r>
      <w:r w:rsidR="007976B8" w:rsidRPr="00B54AA7">
        <w:rPr>
          <w:rFonts w:ascii="Times New Roman" w:hAnsi="Times New Roman"/>
          <w:sz w:val="24"/>
          <w:szCs w:val="20"/>
        </w:rPr>
        <w:t xml:space="preserve"> </w:t>
      </w:r>
    </w:p>
    <w:p w14:paraId="3C7C35F9" w14:textId="301BA4C9" w:rsidR="00AE2642" w:rsidRPr="00B54AA7" w:rsidRDefault="0022536D"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Pr>
          <w:rFonts w:ascii="Times New Roman" w:hAnsi="Times New Roman"/>
          <w:sz w:val="24"/>
          <w:szCs w:val="20"/>
        </w:rPr>
        <w:t xml:space="preserve">Při prodlení zhotovitele s </w:t>
      </w:r>
      <w:r w:rsidR="00385092" w:rsidRPr="00B54AA7">
        <w:rPr>
          <w:rFonts w:ascii="Times New Roman" w:hAnsi="Times New Roman"/>
          <w:sz w:val="24"/>
          <w:szCs w:val="20"/>
        </w:rPr>
        <w:t>odstraněním vad a nedodělků</w:t>
      </w:r>
      <w:r w:rsidR="00E06B58">
        <w:rPr>
          <w:rFonts w:ascii="Times New Roman" w:hAnsi="Times New Roman"/>
          <w:sz w:val="24"/>
          <w:szCs w:val="20"/>
        </w:rPr>
        <w:t xml:space="preserve"> v </w:t>
      </w:r>
      <w:r>
        <w:rPr>
          <w:rFonts w:ascii="Times New Roman" w:hAnsi="Times New Roman"/>
          <w:sz w:val="24"/>
          <w:szCs w:val="20"/>
        </w:rPr>
        <w:t xml:space="preserve">termínech stanovených v </w:t>
      </w:r>
      <w:r w:rsidR="00AE2642" w:rsidRPr="00B54AA7">
        <w:rPr>
          <w:rFonts w:ascii="Times New Roman" w:hAnsi="Times New Roman"/>
          <w:sz w:val="24"/>
          <w:szCs w:val="20"/>
        </w:rPr>
        <w:t>zápise o předání</w:t>
      </w:r>
      <w:r w:rsidR="00385092" w:rsidRPr="00B54AA7">
        <w:rPr>
          <w:rFonts w:ascii="Times New Roman" w:hAnsi="Times New Roman"/>
          <w:sz w:val="24"/>
          <w:szCs w:val="20"/>
        </w:rPr>
        <w:t>, je objednatel oprávněn uplatnit smluvní poku</w:t>
      </w:r>
      <w:r w:rsidR="00E70FB7" w:rsidRPr="00B54AA7">
        <w:rPr>
          <w:rFonts w:ascii="Times New Roman" w:hAnsi="Times New Roman"/>
          <w:sz w:val="24"/>
          <w:szCs w:val="20"/>
        </w:rPr>
        <w:t>t</w:t>
      </w:r>
      <w:r w:rsidR="00385092" w:rsidRPr="00B54AA7">
        <w:rPr>
          <w:rFonts w:ascii="Times New Roman" w:hAnsi="Times New Roman"/>
          <w:sz w:val="24"/>
          <w:szCs w:val="20"/>
        </w:rPr>
        <w:t xml:space="preserve">u ve výši </w:t>
      </w:r>
      <w:r w:rsidR="00471802">
        <w:rPr>
          <w:rFonts w:ascii="Times New Roman" w:hAnsi="Times New Roman"/>
          <w:sz w:val="24"/>
          <w:szCs w:val="20"/>
        </w:rPr>
        <w:t>xxxx</w:t>
      </w:r>
      <w:r w:rsidR="0008284D">
        <w:rPr>
          <w:rFonts w:ascii="Times New Roman" w:hAnsi="Times New Roman"/>
          <w:sz w:val="24"/>
          <w:szCs w:val="20"/>
        </w:rPr>
        <w:t xml:space="preserve"> Kč </w:t>
      </w:r>
      <w:r w:rsidR="00E06B58">
        <w:rPr>
          <w:rFonts w:ascii="Times New Roman" w:hAnsi="Times New Roman"/>
          <w:sz w:val="24"/>
          <w:szCs w:val="20"/>
        </w:rPr>
        <w:t xml:space="preserve">za každý den prodlení s </w:t>
      </w:r>
      <w:r w:rsidR="00385092" w:rsidRPr="00B54AA7">
        <w:rPr>
          <w:rFonts w:ascii="Times New Roman" w:hAnsi="Times New Roman"/>
          <w:sz w:val="24"/>
          <w:szCs w:val="20"/>
        </w:rPr>
        <w:t>jejich odstraněním</w:t>
      </w:r>
      <w:r w:rsidR="00AE2642" w:rsidRPr="00B54AA7">
        <w:rPr>
          <w:rFonts w:ascii="Times New Roman" w:hAnsi="Times New Roman"/>
          <w:sz w:val="24"/>
          <w:szCs w:val="20"/>
        </w:rPr>
        <w:t>.</w:t>
      </w:r>
    </w:p>
    <w:p w14:paraId="042F5E43" w14:textId="311D4D05"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471802">
        <w:rPr>
          <w:rFonts w:ascii="Times New Roman" w:hAnsi="Times New Roman"/>
          <w:color w:val="000000"/>
          <w:sz w:val="24"/>
          <w:szCs w:val="20"/>
        </w:rPr>
        <w:t>xxxx</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90E840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 xml:space="preserve">499/2006 Sb., v platném </w:t>
      </w:r>
      <w:r w:rsidR="00471802">
        <w:rPr>
          <w:rFonts w:ascii="Times New Roman" w:hAnsi="Times New Roman"/>
          <w:sz w:val="24"/>
          <w:szCs w:val="20"/>
        </w:rPr>
        <w:t>znění je stanovena ve výši xxxx</w:t>
      </w:r>
      <w:r w:rsidRPr="00A27386">
        <w:rPr>
          <w:rFonts w:ascii="Times New Roman" w:hAnsi="Times New Roman"/>
          <w:sz w:val="24"/>
          <w:szCs w:val="20"/>
        </w:rPr>
        <w:t xml:space="preserve">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115CC0AA" w14:textId="77777777" w:rsidR="00AB1D32" w:rsidRPr="00B54AA7" w:rsidRDefault="00AB1D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4EEAA93E" w:rsidR="00AE2642" w:rsidRPr="00095FDB" w:rsidRDefault="0020254F" w:rsidP="002A3430">
      <w:pPr>
        <w:pStyle w:val="Zkladntext3"/>
        <w:numPr>
          <w:ilvl w:val="0"/>
          <w:numId w:val="3"/>
        </w:numPr>
        <w:tabs>
          <w:tab w:val="clear" w:pos="720"/>
        </w:tabs>
        <w:spacing w:before="0" w:after="120"/>
        <w:ind w:left="993" w:hanging="426"/>
        <w:jc w:val="both"/>
      </w:pPr>
      <w:r>
        <w:t xml:space="preserve">zhotovitel neprovede dílo v </w:t>
      </w:r>
      <w:r w:rsidR="00AE2642" w:rsidRPr="00095FDB">
        <w:t>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086D3BDB" w:rsidR="00AB1D32" w:rsidRPr="00D373BD"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w:t>
      </w:r>
      <w:r w:rsidR="0020254F">
        <w:rPr>
          <w:rFonts w:ascii="Times New Roman" w:hAnsi="Times New Roman"/>
          <w:sz w:val="24"/>
        </w:rPr>
        <w:t xml:space="preserve">uvy lze provést pouze písemně s </w:t>
      </w:r>
      <w:r w:rsidRPr="002A3430">
        <w:rPr>
          <w:rFonts w:ascii="Times New Roman" w:hAnsi="Times New Roman"/>
          <w:sz w:val="24"/>
        </w:rPr>
        <w:t>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47ACFEF3" w14:textId="3B3FE9C0" w:rsidR="00231BB5" w:rsidRPr="002A3430" w:rsidRDefault="00A66240" w:rsidP="00300ADC">
      <w:pPr>
        <w:spacing w:beforeLines="20" w:before="48" w:after="120"/>
        <w:jc w:val="center"/>
        <w:rPr>
          <w:b/>
          <w:sz w:val="24"/>
        </w:rPr>
      </w:pPr>
      <w:r w:rsidRPr="002A3430">
        <w:rPr>
          <w:b/>
          <w:sz w:val="24"/>
        </w:rPr>
        <w:lastRenderedPageBreak/>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300ADC">
      <w:pPr>
        <w:spacing w:after="120"/>
        <w:ind w:left="284" w:hanging="284"/>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035E9255" w14:textId="77777777" w:rsidR="00D8656A" w:rsidRDefault="00D8656A" w:rsidP="00806F68">
      <w:pPr>
        <w:pStyle w:val="Zkladntext3"/>
        <w:spacing w:before="0" w:after="120"/>
        <w:ind w:left="851"/>
        <w:jc w:val="both"/>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44BED634" w:rsidR="00C328DE" w:rsidRDefault="0024096C" w:rsidP="00EA3BE5">
      <w:pPr>
        <w:rPr>
          <w:sz w:val="24"/>
          <w:szCs w:val="24"/>
        </w:rPr>
      </w:pPr>
      <w:r>
        <w:rPr>
          <w:sz w:val="24"/>
          <w:szCs w:val="24"/>
        </w:rPr>
        <w:t>Příloha č. 1 – Sankce za porušení BOZP, PO a OŽP</w:t>
      </w:r>
      <w:r w:rsidR="00622603">
        <w:rPr>
          <w:sz w:val="24"/>
          <w:szCs w:val="24"/>
        </w:rPr>
        <w:t xml:space="preserve"> (1 list)</w:t>
      </w:r>
    </w:p>
    <w:p w14:paraId="65B1BBD0" w14:textId="3920B64A"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r w:rsidR="00622603">
        <w:rPr>
          <w:sz w:val="24"/>
          <w:szCs w:val="24"/>
        </w:rPr>
        <w:t xml:space="preserve"> (16 listů)</w:t>
      </w:r>
    </w:p>
    <w:p w14:paraId="6E7F12F8" w14:textId="77777777" w:rsidR="00EA3BE5" w:rsidRDefault="00EA3BE5" w:rsidP="00EA3BE5">
      <w:pPr>
        <w:rPr>
          <w:sz w:val="24"/>
          <w:szCs w:val="24"/>
        </w:rPr>
      </w:pPr>
    </w:p>
    <w:p w14:paraId="1C07B054" w14:textId="77777777" w:rsidR="00EA3BE5" w:rsidRPr="00EA3BE5" w:rsidRDefault="00EA3BE5" w:rsidP="00EA3BE5">
      <w:pPr>
        <w:rPr>
          <w:sz w:val="24"/>
          <w:szCs w:val="24"/>
        </w:rPr>
      </w:pPr>
    </w:p>
    <w:p w14:paraId="6E044048" w14:textId="77777777" w:rsidR="00806F68" w:rsidRDefault="00806F68" w:rsidP="00EA3BE5">
      <w:pPr>
        <w:pStyle w:val="Zkladntext3"/>
        <w:spacing w:before="0" w:after="120"/>
        <w:jc w:val="both"/>
      </w:pPr>
    </w:p>
    <w:p w14:paraId="1406E76B" w14:textId="77777777" w:rsidR="00AB1D32" w:rsidRPr="00095FDB" w:rsidRDefault="00AB1D32" w:rsidP="00EA3BE5">
      <w:pPr>
        <w:pStyle w:val="Zkladntext3"/>
        <w:spacing w:before="0" w:after="120"/>
        <w:jc w:val="both"/>
      </w:pPr>
    </w:p>
    <w:p w14:paraId="34230C15" w14:textId="1E18D009"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EF3895">
        <w:rPr>
          <w:sz w:val="24"/>
        </w:rPr>
        <w:t xml:space="preserve"> Táboře </w:t>
      </w:r>
      <w:r w:rsidR="009C1202">
        <w:rPr>
          <w:sz w:val="24"/>
        </w:rPr>
        <w:t>d</w:t>
      </w:r>
      <w:r w:rsidR="006A2A29" w:rsidRPr="00FE4A23">
        <w:rPr>
          <w:sz w:val="24"/>
        </w:rPr>
        <w:t>ne</w:t>
      </w:r>
      <w:r w:rsidR="00DA48BE">
        <w:rPr>
          <w:sz w:val="24"/>
          <w:highlight w:val="yellow"/>
        </w:rPr>
        <w:t xml:space="preserve"> </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5E508846" w:rsidR="009C5B53" w:rsidRPr="00EF3895"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EF3895" w:rsidRPr="00EF3895">
        <w:rPr>
          <w:rFonts w:ascii="Times New Roman" w:hAnsi="Times New Roman"/>
          <w:sz w:val="24"/>
          <w:szCs w:val="24"/>
        </w:rPr>
        <w:t>STOPIN spol. s r.o.</w:t>
      </w:r>
    </w:p>
    <w:p w14:paraId="2E50A4EA" w14:textId="5E58C84F" w:rsidR="009C5B53" w:rsidRPr="00EF3895"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sidRPr="00EF3895">
        <w:rPr>
          <w:rFonts w:ascii="Times New Roman" w:hAnsi="Times New Roman"/>
          <w:sz w:val="24"/>
        </w:rPr>
        <w:tab/>
      </w:r>
      <w:r w:rsidR="00471802">
        <w:rPr>
          <w:rFonts w:ascii="Times New Roman" w:hAnsi="Times New Roman"/>
          <w:sz w:val="24"/>
        </w:rPr>
        <w:t>xxxxxxxxx</w:t>
      </w:r>
      <w:r w:rsidRPr="00EF3895">
        <w:rPr>
          <w:rFonts w:ascii="Times New Roman" w:hAnsi="Times New Roman"/>
          <w:sz w:val="24"/>
        </w:rPr>
        <w:tab/>
      </w:r>
      <w:r w:rsidR="00471802">
        <w:rPr>
          <w:rFonts w:ascii="Times New Roman" w:hAnsi="Times New Roman"/>
          <w:sz w:val="24"/>
          <w:szCs w:val="24"/>
        </w:rPr>
        <w:t>xxxxxxx</w:t>
      </w:r>
    </w:p>
    <w:p w14:paraId="66D36D3D" w14:textId="75DE290F" w:rsidR="009C5B53" w:rsidRDefault="00DA48BE" w:rsidP="00DA48BE">
      <w:pPr>
        <w:shd w:val="clear" w:color="auto" w:fill="FFFFFF"/>
        <w:tabs>
          <w:tab w:val="center" w:pos="2127"/>
          <w:tab w:val="center" w:pos="6663"/>
        </w:tabs>
        <w:ind w:left="720" w:firstLine="720"/>
        <w:rPr>
          <w:sz w:val="24"/>
        </w:rPr>
      </w:pPr>
      <w:r w:rsidRPr="00EF3895">
        <w:rPr>
          <w:sz w:val="24"/>
        </w:rPr>
        <w:tab/>
      </w:r>
      <w:r w:rsidR="00471802">
        <w:rPr>
          <w:sz w:val="24"/>
        </w:rPr>
        <w:t>xxxxxxxxx</w:t>
      </w:r>
      <w:r w:rsidRPr="00EF3895">
        <w:rPr>
          <w:sz w:val="24"/>
        </w:rPr>
        <w:tab/>
      </w:r>
      <w:r w:rsidR="00471802">
        <w:rPr>
          <w:sz w:val="24"/>
          <w:szCs w:val="24"/>
        </w:rPr>
        <w:t>xxxxxxx</w:t>
      </w:r>
      <w:bookmarkStart w:id="0" w:name="_GoBack"/>
      <w:bookmarkEnd w:id="0"/>
    </w:p>
    <w:p w14:paraId="7A88774D" w14:textId="77777777" w:rsidR="0008284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14:paraId="54D36898"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4D60786B"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08F87B9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3FAAE83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1A9C3A7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67B939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DD9CFB5"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6B311E30"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565FFB17" w14:textId="77777777" w:rsidR="0008284D" w:rsidRPr="00A12374" w:rsidRDefault="0008284D" w:rsidP="0008284D">
      <w:pPr>
        <w:pageBreakBefore/>
        <w:autoSpaceDE w:val="0"/>
        <w:autoSpaceDN w:val="0"/>
        <w:adjustRightInd w:val="0"/>
        <w:spacing w:after="120"/>
        <w:rPr>
          <w:bCs/>
          <w:sz w:val="24"/>
        </w:rPr>
      </w:pPr>
      <w:r>
        <w:rPr>
          <w:bCs/>
          <w:sz w:val="24"/>
        </w:rPr>
        <w:lastRenderedPageBreak/>
        <w:t xml:space="preserve">Příloha </w:t>
      </w:r>
      <w:r w:rsidRPr="00A12374">
        <w:rPr>
          <w:bCs/>
          <w:sz w:val="24"/>
        </w:rPr>
        <w:t xml:space="preserve">č. </w:t>
      </w:r>
      <w:r>
        <w:rPr>
          <w:bCs/>
          <w:sz w:val="24"/>
        </w:rPr>
        <w:t>1</w:t>
      </w: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1C3CD47"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8"/>
      <w:headerReference w:type="default" r:id="rId9"/>
      <w:footerReference w:type="even" r:id="rId10"/>
      <w:footerReference w:type="default" r:id="rId11"/>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3BCB" w14:textId="77777777" w:rsidR="00587F5F" w:rsidRDefault="00587F5F">
      <w:r>
        <w:separator/>
      </w:r>
    </w:p>
  </w:endnote>
  <w:endnote w:type="continuationSeparator" w:id="0">
    <w:p w14:paraId="484F5D2B" w14:textId="77777777" w:rsidR="00587F5F" w:rsidRDefault="005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471802">
      <w:rPr>
        <w:rStyle w:val="slostrnky"/>
        <w:noProof/>
        <w:sz w:val="24"/>
        <w:szCs w:val="24"/>
      </w:rPr>
      <w:t>7</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C8B4" w14:textId="77777777" w:rsidR="00587F5F" w:rsidRDefault="00587F5F">
      <w:r>
        <w:separator/>
      </w:r>
    </w:p>
  </w:footnote>
  <w:footnote w:type="continuationSeparator" w:id="0">
    <w:p w14:paraId="6EBA2C89" w14:textId="77777777" w:rsidR="00587F5F" w:rsidRDefault="0058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2FB590F9" w:rsidR="00F76CCA" w:rsidRPr="00722094" w:rsidRDefault="00722094" w:rsidP="009C5B53">
    <w:pPr>
      <w:pStyle w:val="Zhlav"/>
      <w:rPr>
        <w:b/>
        <w:color w:val="000000" w:themeColor="text1"/>
        <w:sz w:val="24"/>
        <w:szCs w:val="24"/>
      </w:rPr>
    </w:pPr>
    <w:r>
      <w:rPr>
        <w:b/>
        <w:sz w:val="24"/>
        <w:szCs w:val="24"/>
      </w:rPr>
      <w:tab/>
    </w:r>
    <w:r>
      <w:rPr>
        <w:b/>
        <w:sz w:val="24"/>
        <w:szCs w:val="24"/>
      </w:rPr>
      <w:tab/>
    </w:r>
    <w:r w:rsidR="004E7097">
      <w:rPr>
        <w:b/>
        <w:sz w:val="24"/>
        <w:szCs w:val="24"/>
      </w:rPr>
      <w:t>Smlouva č. U</w:t>
    </w:r>
    <w:r w:rsidR="00265630">
      <w:rPr>
        <w:b/>
        <w:sz w:val="24"/>
        <w:szCs w:val="24"/>
      </w:rPr>
      <w:t>-142</w:t>
    </w:r>
    <w:r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675629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7F1E3472"/>
    <w:lvl w:ilvl="0" w:tplc="59186506">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1DC"/>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C7F2A"/>
    <w:rsid w:val="000D63FC"/>
    <w:rsid w:val="000D7975"/>
    <w:rsid w:val="000E12C3"/>
    <w:rsid w:val="000E7B95"/>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1C82"/>
    <w:rsid w:val="001C7089"/>
    <w:rsid w:val="001D4ACE"/>
    <w:rsid w:val="001E3085"/>
    <w:rsid w:val="001E3793"/>
    <w:rsid w:val="001F23B4"/>
    <w:rsid w:val="001F395B"/>
    <w:rsid w:val="002004EF"/>
    <w:rsid w:val="0020254F"/>
    <w:rsid w:val="00203EBD"/>
    <w:rsid w:val="002179A8"/>
    <w:rsid w:val="0022536D"/>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5630"/>
    <w:rsid w:val="002658A9"/>
    <w:rsid w:val="00265D44"/>
    <w:rsid w:val="0027267C"/>
    <w:rsid w:val="0027338A"/>
    <w:rsid w:val="002821D9"/>
    <w:rsid w:val="00286000"/>
    <w:rsid w:val="00287A1B"/>
    <w:rsid w:val="00296884"/>
    <w:rsid w:val="00297F57"/>
    <w:rsid w:val="002A3430"/>
    <w:rsid w:val="002A7706"/>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2B9C"/>
    <w:rsid w:val="0036638E"/>
    <w:rsid w:val="00366775"/>
    <w:rsid w:val="0037024E"/>
    <w:rsid w:val="003704D5"/>
    <w:rsid w:val="00373191"/>
    <w:rsid w:val="00376A04"/>
    <w:rsid w:val="00384C20"/>
    <w:rsid w:val="00385092"/>
    <w:rsid w:val="00390913"/>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21B1"/>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1802"/>
    <w:rsid w:val="00472729"/>
    <w:rsid w:val="00473AE3"/>
    <w:rsid w:val="0047460A"/>
    <w:rsid w:val="00474B5F"/>
    <w:rsid w:val="00481EBB"/>
    <w:rsid w:val="00482F7A"/>
    <w:rsid w:val="0048318A"/>
    <w:rsid w:val="004934DE"/>
    <w:rsid w:val="00495DE3"/>
    <w:rsid w:val="00497FFB"/>
    <w:rsid w:val="004A122E"/>
    <w:rsid w:val="004B3E4F"/>
    <w:rsid w:val="004D7537"/>
    <w:rsid w:val="004E0703"/>
    <w:rsid w:val="004E0FAE"/>
    <w:rsid w:val="004E45F2"/>
    <w:rsid w:val="004E4A35"/>
    <w:rsid w:val="004E7097"/>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4286E"/>
    <w:rsid w:val="0054337B"/>
    <w:rsid w:val="0054769E"/>
    <w:rsid w:val="00557C70"/>
    <w:rsid w:val="00560BF2"/>
    <w:rsid w:val="00561A21"/>
    <w:rsid w:val="005629D6"/>
    <w:rsid w:val="00566299"/>
    <w:rsid w:val="00566F27"/>
    <w:rsid w:val="00567814"/>
    <w:rsid w:val="00571ECA"/>
    <w:rsid w:val="0057338B"/>
    <w:rsid w:val="00586134"/>
    <w:rsid w:val="00587F5F"/>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234C"/>
    <w:rsid w:val="005F7EDB"/>
    <w:rsid w:val="00601843"/>
    <w:rsid w:val="00602BDB"/>
    <w:rsid w:val="00605DE4"/>
    <w:rsid w:val="00606C15"/>
    <w:rsid w:val="00613C3A"/>
    <w:rsid w:val="00615570"/>
    <w:rsid w:val="00621E02"/>
    <w:rsid w:val="00622603"/>
    <w:rsid w:val="0062556E"/>
    <w:rsid w:val="006344C1"/>
    <w:rsid w:val="00634780"/>
    <w:rsid w:val="0063584C"/>
    <w:rsid w:val="00636C4C"/>
    <w:rsid w:val="006375DA"/>
    <w:rsid w:val="00643F76"/>
    <w:rsid w:val="00654A49"/>
    <w:rsid w:val="0065782A"/>
    <w:rsid w:val="00660119"/>
    <w:rsid w:val="00660182"/>
    <w:rsid w:val="00663602"/>
    <w:rsid w:val="00672836"/>
    <w:rsid w:val="00681A23"/>
    <w:rsid w:val="00685052"/>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3E9"/>
    <w:rsid w:val="00750A54"/>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19CA"/>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E716E"/>
    <w:rsid w:val="008F59AC"/>
    <w:rsid w:val="008F6F60"/>
    <w:rsid w:val="00914F75"/>
    <w:rsid w:val="0092646A"/>
    <w:rsid w:val="009301F2"/>
    <w:rsid w:val="009319B8"/>
    <w:rsid w:val="0093306C"/>
    <w:rsid w:val="00933172"/>
    <w:rsid w:val="00934FCA"/>
    <w:rsid w:val="0093788A"/>
    <w:rsid w:val="00941F5F"/>
    <w:rsid w:val="009460F6"/>
    <w:rsid w:val="00946C23"/>
    <w:rsid w:val="00957072"/>
    <w:rsid w:val="00962665"/>
    <w:rsid w:val="00963BCA"/>
    <w:rsid w:val="009729B0"/>
    <w:rsid w:val="00981300"/>
    <w:rsid w:val="00985A97"/>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7B67"/>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6840"/>
    <w:rsid w:val="00AE745D"/>
    <w:rsid w:val="00AF092D"/>
    <w:rsid w:val="00B0365A"/>
    <w:rsid w:val="00B0703E"/>
    <w:rsid w:val="00B10CE7"/>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5945"/>
    <w:rsid w:val="00BB2180"/>
    <w:rsid w:val="00BB5573"/>
    <w:rsid w:val="00BC69C2"/>
    <w:rsid w:val="00BD463F"/>
    <w:rsid w:val="00BD7F73"/>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D15A7"/>
    <w:rsid w:val="00CE1C55"/>
    <w:rsid w:val="00CE3433"/>
    <w:rsid w:val="00CE5FEE"/>
    <w:rsid w:val="00CF4943"/>
    <w:rsid w:val="00D01650"/>
    <w:rsid w:val="00D0464B"/>
    <w:rsid w:val="00D13089"/>
    <w:rsid w:val="00D13974"/>
    <w:rsid w:val="00D13D50"/>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E5316"/>
    <w:rsid w:val="00DE5981"/>
    <w:rsid w:val="00DF049E"/>
    <w:rsid w:val="00DF0C95"/>
    <w:rsid w:val="00DF1831"/>
    <w:rsid w:val="00DF6657"/>
    <w:rsid w:val="00E06B58"/>
    <w:rsid w:val="00E147D4"/>
    <w:rsid w:val="00E152A7"/>
    <w:rsid w:val="00E25DEE"/>
    <w:rsid w:val="00E30091"/>
    <w:rsid w:val="00E3179B"/>
    <w:rsid w:val="00E34397"/>
    <w:rsid w:val="00E41848"/>
    <w:rsid w:val="00E43D89"/>
    <w:rsid w:val="00E51409"/>
    <w:rsid w:val="00E5417F"/>
    <w:rsid w:val="00E70FB7"/>
    <w:rsid w:val="00E71354"/>
    <w:rsid w:val="00E72798"/>
    <w:rsid w:val="00E75237"/>
    <w:rsid w:val="00E7635E"/>
    <w:rsid w:val="00E76541"/>
    <w:rsid w:val="00E76AC9"/>
    <w:rsid w:val="00E85099"/>
    <w:rsid w:val="00E869EB"/>
    <w:rsid w:val="00E873B3"/>
    <w:rsid w:val="00EA1D61"/>
    <w:rsid w:val="00EA3503"/>
    <w:rsid w:val="00EA3BE5"/>
    <w:rsid w:val="00EB1CB6"/>
    <w:rsid w:val="00EB2847"/>
    <w:rsid w:val="00EB5CC4"/>
    <w:rsid w:val="00EB7238"/>
    <w:rsid w:val="00EC3F4B"/>
    <w:rsid w:val="00ED62CE"/>
    <w:rsid w:val="00EE5368"/>
    <w:rsid w:val="00EE6B6A"/>
    <w:rsid w:val="00EE78A7"/>
    <w:rsid w:val="00EF2358"/>
    <w:rsid w:val="00EF3895"/>
    <w:rsid w:val="00EF3C51"/>
    <w:rsid w:val="00EF5E3C"/>
    <w:rsid w:val="00F001D3"/>
    <w:rsid w:val="00F03444"/>
    <w:rsid w:val="00F150A3"/>
    <w:rsid w:val="00F20B7B"/>
    <w:rsid w:val="00F23CFE"/>
    <w:rsid w:val="00F25311"/>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4B5"/>
    <w:rsid w:val="00FE4A23"/>
    <w:rsid w:val="00FE5640"/>
    <w:rsid w:val="00FE5E24"/>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7F181DAA"/>
  <w15:docId w15:val="{D9BDBB95-6C8E-45A8-A184-010624D3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B5A7-D92C-44BE-998F-A2DDC494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2997</Words>
  <Characters>17685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20641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OKAPOVA Eliska</cp:lastModifiedBy>
  <cp:revision>60</cp:revision>
  <cp:lastPrinted>2018-03-06T08:34:00Z</cp:lastPrinted>
  <dcterms:created xsi:type="dcterms:W3CDTF">2018-02-19T11:56:00Z</dcterms:created>
  <dcterms:modified xsi:type="dcterms:W3CDTF">2018-05-02T06:52:00Z</dcterms:modified>
</cp:coreProperties>
</file>