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D1" w:rsidRDefault="00BE6ED1">
      <w:pPr>
        <w:ind w:left="4968"/>
        <w:rPr>
          <w:rFonts w:ascii="Times New Roman" w:hAnsi="Times New Roman"/>
          <w:color w:val="807CDA"/>
          <w:spacing w:val="-38"/>
          <w:sz w:val="55"/>
          <w:lang w:val="cs-CZ"/>
        </w:rPr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2"/>
        <w:gridCol w:w="1034"/>
        <w:gridCol w:w="1771"/>
        <w:gridCol w:w="1130"/>
        <w:gridCol w:w="1811"/>
        <w:gridCol w:w="616"/>
        <w:gridCol w:w="417"/>
      </w:tblGrid>
      <w:tr w:rsidR="00BE6ED1" w:rsidRPr="00717CD0">
        <w:trPr>
          <w:trHeight w:hRule="exact" w:val="2477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2722">
            <w:pPr>
              <w:ind w:right="3150"/>
              <w:jc w:val="right"/>
              <w:rPr>
                <w:rFonts w:ascii="Times New Roman" w:hAnsi="Times New Roman"/>
                <w:b/>
                <w:color w:val="171A1D"/>
                <w:sz w:val="2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8"/>
                <w:lang w:val="cs-CZ"/>
              </w:rPr>
              <w:t>Ministerstvo kultury</w:t>
            </w:r>
          </w:p>
          <w:p w:rsidR="00BE6ED1" w:rsidRDefault="00BE2722">
            <w:pPr>
              <w:spacing w:line="292" w:lineRule="auto"/>
              <w:ind w:left="1692" w:right="1296" w:firstLine="1152"/>
              <w:rPr>
                <w:rFonts w:ascii="Times New Roman" w:hAnsi="Times New Roman"/>
                <w:b/>
                <w:color w:val="171A1D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 xml:space="preserve">Maltézské náměstí 471/1 Praha 1 - Malá Strana </w:t>
            </w:r>
            <w:r>
              <w:rPr>
                <w:rFonts w:ascii="Times New Roman" w:hAnsi="Times New Roman"/>
                <w:b/>
                <w:color w:val="171A1D"/>
                <w:spacing w:val="-1"/>
                <w:sz w:val="23"/>
                <w:lang w:val="cs-CZ"/>
              </w:rPr>
              <w:t>Vydává podle § 14 zákona č. 218/2000 Sb., rozpočtová pravidla</w:t>
            </w:r>
          </w:p>
          <w:p w:rsidR="00BE6ED1" w:rsidRDefault="00BE2722">
            <w:pPr>
              <w:spacing w:before="216" w:line="264" w:lineRule="auto"/>
              <w:ind w:left="396"/>
              <w:jc w:val="center"/>
              <w:rPr>
                <w:rFonts w:ascii="Times New Roman" w:hAnsi="Times New Roman"/>
                <w:b/>
                <w:color w:val="171A1D"/>
                <w:spacing w:val="2"/>
                <w:sz w:val="2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2"/>
                <w:sz w:val="28"/>
                <w:lang w:val="cs-CZ"/>
              </w:rPr>
              <w:t xml:space="preserve">Rozhodnutí č. </w:t>
            </w:r>
            <w:r>
              <w:rPr>
                <w:rFonts w:ascii="Times New Roman" w:hAnsi="Times New Roman"/>
                <w:b/>
                <w:color w:val="171A1D"/>
                <w:spacing w:val="2"/>
                <w:sz w:val="23"/>
                <w:lang w:val="cs-CZ"/>
              </w:rPr>
              <w:t xml:space="preserve">MK-S 13455/2017 </w:t>
            </w:r>
            <w:r>
              <w:rPr>
                <w:rFonts w:ascii="Times New Roman" w:hAnsi="Times New Roman"/>
                <w:b/>
                <w:color w:val="171A1D"/>
                <w:spacing w:val="2"/>
                <w:sz w:val="23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171A1D"/>
                <w:spacing w:val="4"/>
                <w:sz w:val="23"/>
                <w:lang w:val="cs-CZ"/>
              </w:rPr>
              <w:t xml:space="preserve">o poskytnutí neinvestiční dotace ze státního rozpočtu </w:t>
            </w:r>
            <w:r>
              <w:rPr>
                <w:rFonts w:ascii="Times New Roman" w:hAnsi="Times New Roman"/>
                <w:b/>
                <w:color w:val="171A1D"/>
                <w:spacing w:val="4"/>
                <w:sz w:val="25"/>
                <w:lang w:val="cs-CZ"/>
              </w:rPr>
              <w:t xml:space="preserve">ČR </w:t>
            </w:r>
            <w:r>
              <w:rPr>
                <w:rFonts w:ascii="Times New Roman" w:hAnsi="Times New Roman"/>
                <w:b/>
                <w:color w:val="171A1D"/>
                <w:spacing w:val="4"/>
                <w:sz w:val="25"/>
                <w:lang w:val="cs-CZ"/>
              </w:rPr>
              <w:br/>
            </w: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na rok 2018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Pr="002F4299" w:rsidRDefault="00BE6ED1">
            <w:pPr>
              <w:rPr>
                <w:rFonts w:ascii="Times New Roman" w:hAnsi="Times New Roman"/>
                <w:color w:val="000000"/>
                <w:sz w:val="20"/>
                <w:lang w:val="cs-CZ"/>
              </w:rPr>
            </w:pPr>
          </w:p>
        </w:tc>
      </w:tr>
      <w:tr w:rsidR="00BE6ED1">
        <w:trPr>
          <w:trHeight w:hRule="exact" w:val="259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600"/>
              <w:jc w:val="right"/>
              <w:rPr>
                <w:rFonts w:ascii="Times New Roman" w:hAnsi="Times New Roman"/>
                <w:b/>
                <w:color w:val="171A1D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0"/>
                <w:lang w:val="cs-CZ"/>
              </w:rPr>
              <w:t>Identifikační údaje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5"/>
        </w:trPr>
        <w:tc>
          <w:tcPr>
            <w:tcW w:w="2822" w:type="dxa"/>
            <w:tcBorders>
              <w:top w:val="single" w:sz="17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  <w:t>Příjemce dotace:</w:t>
            </w:r>
          </w:p>
        </w:tc>
        <w:tc>
          <w:tcPr>
            <w:tcW w:w="6362" w:type="dxa"/>
            <w:gridSpan w:val="5"/>
            <w:tcBorders>
              <w:top w:val="single" w:sz="17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spacing w:val="-8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sz w:val="23"/>
                <w:lang w:val="cs-CZ"/>
              </w:rPr>
              <w:t xml:space="preserve">příspěvková organizace </w:t>
            </w: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>města</w:t>
            </w:r>
          </w:p>
        </w:tc>
        <w:tc>
          <w:tcPr>
            <w:tcW w:w="417" w:type="dxa"/>
            <w:vMerge w:val="restart"/>
            <w:tcBorders>
              <w:top w:val="single" w:sz="17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88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Název žadatele: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Divadlo v</w:t>
            </w:r>
          </w:p>
        </w:tc>
        <w:tc>
          <w:tcPr>
            <w:tcW w:w="1771" w:type="dxa"/>
            <w:vMerge w:val="restart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6ED1" w:rsidRDefault="00BE2722">
            <w:pPr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Dlouhé</w:t>
            </w:r>
          </w:p>
        </w:tc>
        <w:tc>
          <w:tcPr>
            <w:tcW w:w="3557" w:type="dxa"/>
            <w:gridSpan w:val="3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vMerge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/>
        </w:tc>
      </w:tr>
      <w:tr w:rsidR="00BE6ED1">
        <w:trPr>
          <w:trHeight w:hRule="exact" w:val="288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2F4299">
            <w:pPr>
              <w:tabs>
                <w:tab w:val="right" w:pos="1930"/>
              </w:tabs>
              <w:ind w:left="58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IC:</w:t>
            </w:r>
            <w:r>
              <w:rPr>
                <w:rFonts w:ascii="Times New Roman" w:hAnsi="Times New Roman"/>
                <w:b/>
                <w:color w:val="171A1D"/>
                <w:lang w:val="cs-CZ"/>
              </w:rPr>
              <w:tab/>
            </w:r>
          </w:p>
        </w:tc>
        <w:tc>
          <w:tcPr>
            <w:tcW w:w="1034" w:type="dxa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sz w:val="20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0"/>
                <w:lang w:val="cs-CZ"/>
              </w:rPr>
              <w:t>64343</w:t>
            </w:r>
          </w:p>
        </w:tc>
        <w:tc>
          <w:tcPr>
            <w:tcW w:w="1771" w:type="dxa"/>
            <w:vMerge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E6ED1" w:rsidRDefault="00BE6ED1"/>
        </w:tc>
        <w:tc>
          <w:tcPr>
            <w:tcW w:w="3557" w:type="dxa"/>
            <w:gridSpan w:val="3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2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 xml:space="preserve">Ulice, </w:t>
            </w:r>
            <w:proofErr w:type="gramStart"/>
            <w:r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>č.p.</w:t>
            </w:r>
            <w:proofErr w:type="gramEnd"/>
            <w:r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 xml:space="preserve"> a orientační:</w:t>
            </w:r>
          </w:p>
        </w:tc>
        <w:tc>
          <w:tcPr>
            <w:tcW w:w="6362" w:type="dxa"/>
            <w:gridSpan w:val="5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Dlouhá 727/39</w:t>
            </w:r>
          </w:p>
        </w:tc>
        <w:tc>
          <w:tcPr>
            <w:tcW w:w="417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88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Město:</w:t>
            </w:r>
          </w:p>
        </w:tc>
        <w:tc>
          <w:tcPr>
            <w:tcW w:w="2805" w:type="dxa"/>
            <w:gridSpan w:val="2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Praha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Pr="002F4299" w:rsidRDefault="00BE2722">
            <w:pPr>
              <w:ind w:right="630"/>
              <w:jc w:val="right"/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</w:pPr>
            <w:r w:rsidRPr="002F4299"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>PSČ: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6ED1" w:rsidRPr="002F4299" w:rsidRDefault="002F4299" w:rsidP="002F4299">
            <w:pPr>
              <w:spacing w:line="223" w:lineRule="exact"/>
              <w:ind w:right="1800"/>
              <w:rPr>
                <w:rFonts w:ascii="Times New Roman" w:hAnsi="Times New Roman"/>
                <w:b/>
                <w:color w:val="171A1D"/>
                <w:w w:val="70"/>
                <w:sz w:val="21"/>
                <w:u w:val="single"/>
                <w:lang w:val="cs-CZ"/>
              </w:rPr>
            </w:pPr>
            <w:r w:rsidRPr="002F4299">
              <w:rPr>
                <w:rFonts w:ascii="Times New Roman" w:hAnsi="Times New Roman"/>
                <w:b/>
                <w:color w:val="171A1D"/>
                <w:w w:val="70"/>
                <w:sz w:val="21"/>
                <w:u w:val="single"/>
                <w:lang w:val="cs-CZ"/>
              </w:rPr>
              <w:t xml:space="preserve">110 </w:t>
            </w:r>
            <w:r w:rsidR="00BE2722" w:rsidRPr="002F4299">
              <w:rPr>
                <w:rFonts w:ascii="Times New Roman" w:hAnsi="Times New Roman"/>
                <w:b/>
                <w:color w:val="171A1D"/>
                <w:w w:val="70"/>
                <w:sz w:val="21"/>
                <w:u w:val="single"/>
                <w:lang w:val="cs-CZ"/>
              </w:rPr>
              <w:t>OO</w:t>
            </w:r>
          </w:p>
          <w:p w:rsidR="00BE6ED1" w:rsidRPr="002F4299" w:rsidRDefault="00BE2722" w:rsidP="00717CD0">
            <w:pPr>
              <w:rPr>
                <w:rFonts w:ascii="Times New Roman" w:hAnsi="Times New Roman"/>
                <w:b/>
                <w:color w:val="355366"/>
                <w:spacing w:val="399"/>
                <w:w w:val="80"/>
                <w:u w:val="single"/>
                <w:lang w:val="cs-CZ"/>
              </w:rPr>
            </w:pPr>
            <w:r w:rsidRPr="002F4299">
              <w:rPr>
                <w:rFonts w:ascii="Times New Roman" w:hAnsi="Times New Roman"/>
                <w:b/>
                <w:color w:val="171A1D"/>
                <w:lang w:val="cs-CZ"/>
              </w:rPr>
              <w:t>100</w:t>
            </w:r>
            <w:bookmarkStart w:id="0" w:name="_GoBack"/>
            <w:bookmarkEnd w:id="0"/>
          </w:p>
        </w:tc>
        <w:tc>
          <w:tcPr>
            <w:tcW w:w="417" w:type="dxa"/>
            <w:vMerge w:val="restart"/>
            <w:tcBorders>
              <w:top w:val="single" w:sz="1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1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Okres:</w:t>
            </w:r>
          </w:p>
        </w:tc>
        <w:tc>
          <w:tcPr>
            <w:tcW w:w="2805" w:type="dxa"/>
            <w:gridSpan w:val="2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single" w:sz="1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Kód okresu</w:t>
            </w:r>
          </w:p>
        </w:tc>
        <w:tc>
          <w:tcPr>
            <w:tcW w:w="2427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none" w:sz="0" w:space="0" w:color="000000"/>
            </w:tcBorders>
          </w:tcPr>
          <w:p w:rsidR="00BE6ED1" w:rsidRDefault="00BE6ED1"/>
        </w:tc>
        <w:tc>
          <w:tcPr>
            <w:tcW w:w="417" w:type="dxa"/>
            <w:vMerge/>
            <w:tcBorders>
              <w:top w:val="none" w:sz="0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/>
        </w:tc>
      </w:tr>
      <w:tr w:rsidR="00BE6ED1">
        <w:trPr>
          <w:trHeight w:hRule="exact" w:val="270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Telefon:</w:t>
            </w:r>
          </w:p>
        </w:tc>
        <w:tc>
          <w:tcPr>
            <w:tcW w:w="2805" w:type="dxa"/>
            <w:gridSpan w:val="2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6ED1">
            <w:pPr>
              <w:ind w:left="37"/>
              <w:rPr>
                <w:rFonts w:ascii="Times New Roman" w:hAnsi="Times New Roman"/>
                <w:b/>
                <w:color w:val="171A1D"/>
                <w:spacing w:val="-8"/>
                <w:sz w:val="20"/>
                <w:lang w:val="cs-CZ"/>
              </w:rPr>
            </w:pPr>
          </w:p>
        </w:tc>
        <w:tc>
          <w:tcPr>
            <w:tcW w:w="3557" w:type="dxa"/>
            <w:gridSpan w:val="3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6ED1">
            <w:pPr>
              <w:tabs>
                <w:tab w:val="right" w:pos="3625"/>
              </w:tabs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</w:p>
        </w:tc>
        <w:tc>
          <w:tcPr>
            <w:tcW w:w="417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03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>Statutární zástupce:</w:t>
            </w:r>
          </w:p>
        </w:tc>
        <w:tc>
          <w:tcPr>
            <w:tcW w:w="6362" w:type="dxa"/>
            <w:gridSpan w:val="5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>Mgr. Daniela Šálková</w:t>
            </w:r>
          </w:p>
        </w:tc>
        <w:tc>
          <w:tcPr>
            <w:tcW w:w="417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5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Číslo registrace:</w:t>
            </w:r>
          </w:p>
        </w:tc>
        <w:tc>
          <w:tcPr>
            <w:tcW w:w="6362" w:type="dxa"/>
            <w:gridSpan w:val="5"/>
            <w:tcBorders>
              <w:top w:val="single" w:sz="1" w:space="0" w:color="000000"/>
              <w:left w:val="single" w:sz="10" w:space="0" w:color="000000"/>
              <w:bottom w:val="single" w:sz="1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" w:space="0" w:color="000000"/>
              <w:left w:val="none" w:sz="0" w:space="0" w:color="000000"/>
              <w:bottom w:val="single" w:sz="1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06"/>
        </w:trPr>
        <w:tc>
          <w:tcPr>
            <w:tcW w:w="2822" w:type="dxa"/>
            <w:tcBorders>
              <w:top w:val="single" w:sz="1" w:space="0" w:color="000000"/>
              <w:left w:val="single" w:sz="17" w:space="0" w:color="000000"/>
              <w:bottom w:val="single" w:sz="17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Bankovní spojení:</w:t>
            </w:r>
          </w:p>
        </w:tc>
        <w:tc>
          <w:tcPr>
            <w:tcW w:w="6362" w:type="dxa"/>
            <w:gridSpan w:val="5"/>
            <w:tcBorders>
              <w:top w:val="single" w:sz="1" w:space="0" w:color="000000"/>
              <w:left w:val="single" w:sz="10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2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tabs>
                <w:tab w:val="right" w:pos="7809"/>
              </w:tabs>
              <w:ind w:left="58"/>
              <w:rPr>
                <w:rFonts w:ascii="Times New Roman" w:hAnsi="Times New Roman"/>
                <w:b/>
                <w:color w:val="171A1D"/>
                <w:spacing w:val="-10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10"/>
                <w:lang w:val="cs-CZ"/>
              </w:rPr>
              <w:t>Dotace bude poskytnuta:</w:t>
            </w:r>
            <w:r>
              <w:rPr>
                <w:rFonts w:ascii="Times New Roman" w:hAnsi="Times New Roman"/>
                <w:b/>
                <w:color w:val="171A1D"/>
                <w:spacing w:val="-10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transferem přes Magistrát hl. m. Prahy na účet příjemce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60"/>
        </w:trPr>
        <w:tc>
          <w:tcPr>
            <w:tcW w:w="2822" w:type="dxa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Výše dotace:</w:t>
            </w:r>
          </w:p>
        </w:tc>
        <w:tc>
          <w:tcPr>
            <w:tcW w:w="6362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left="37"/>
              <w:rPr>
                <w:rFonts w:ascii="Times New Roman" w:hAnsi="Times New Roman"/>
                <w:b/>
                <w:color w:val="171A1D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60.000 Kč</w:t>
            </w: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02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2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600"/>
              <w:jc w:val="right"/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>Název programu: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88"/>
        </w:trPr>
        <w:tc>
          <w:tcPr>
            <w:tcW w:w="9184" w:type="dxa"/>
            <w:gridSpan w:val="6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600"/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Kulturní aktivity</w:t>
            </w: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1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690"/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Název projektu: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88"/>
        </w:trPr>
        <w:tc>
          <w:tcPr>
            <w:tcW w:w="9184" w:type="dxa"/>
            <w:gridSpan w:val="6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690"/>
              <w:jc w:val="right"/>
              <w:rPr>
                <w:rFonts w:ascii="Times New Roman" w:hAnsi="Times New Roman"/>
                <w:b/>
                <w:color w:val="171A1D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 xml:space="preserve">Dítě </w:t>
            </w:r>
            <w:r>
              <w:rPr>
                <w:rFonts w:ascii="Times New Roman" w:hAnsi="Times New Roman"/>
                <w:b/>
                <w:color w:val="171A1D"/>
                <w:lang w:val="cs-CZ"/>
              </w:rPr>
              <w:t>v Dlouhé</w:t>
            </w: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88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870"/>
              <w:jc w:val="right"/>
              <w:rPr>
                <w:rFonts w:ascii="Times New Roman" w:hAnsi="Times New Roman"/>
                <w:color w:val="171A1D"/>
                <w:sz w:val="21"/>
                <w:lang w:val="cs-CZ"/>
              </w:rPr>
            </w:pPr>
            <w:r>
              <w:rPr>
                <w:rFonts w:ascii="Times New Roman" w:hAnsi="Times New Roman"/>
                <w:color w:val="171A1D"/>
                <w:sz w:val="21"/>
                <w:lang w:val="cs-CZ"/>
              </w:rPr>
              <w:t xml:space="preserve">Cíl </w:t>
            </w:r>
            <w:r>
              <w:rPr>
                <w:rFonts w:ascii="Times New Roman" w:hAnsi="Times New Roman"/>
                <w:b/>
                <w:color w:val="171A1D"/>
                <w:lang w:val="cs-CZ"/>
              </w:rPr>
              <w:t>dotace: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2"/>
        </w:trPr>
        <w:tc>
          <w:tcPr>
            <w:tcW w:w="9184" w:type="dxa"/>
            <w:gridSpan w:val="6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1800"/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Podpora subjektu poskytujícího veřejnou kulturní službu</w:t>
            </w: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1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3330"/>
              <w:jc w:val="right"/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>Účelové určení dotace: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88"/>
        </w:trPr>
        <w:tc>
          <w:tcPr>
            <w:tcW w:w="9184" w:type="dxa"/>
            <w:gridSpan w:val="6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2070"/>
              <w:jc w:val="right"/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4"/>
                <w:lang w:val="cs-CZ"/>
              </w:rPr>
              <w:t>Pořádání 20. ročníku divadelního festivalu pro děti</w:t>
            </w: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2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ind w:right="2790"/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Termín konání projektu: duben 2018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2"/>
        </w:trPr>
        <w:tc>
          <w:tcPr>
            <w:tcW w:w="9184" w:type="dxa"/>
            <w:gridSpan w:val="6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09"/>
        </w:trPr>
        <w:tc>
          <w:tcPr>
            <w:tcW w:w="3856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2722">
            <w:pPr>
              <w:ind w:left="58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Plánovaný rozpočet projektu:</w:t>
            </w:r>
          </w:p>
          <w:p w:rsidR="00BE6ED1" w:rsidRDefault="00BE2722">
            <w:pPr>
              <w:spacing w:before="72" w:line="199" w:lineRule="auto"/>
              <w:ind w:right="990"/>
              <w:jc w:val="right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828 654 Kč</w:t>
            </w:r>
          </w:p>
        </w:tc>
        <w:tc>
          <w:tcPr>
            <w:tcW w:w="290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tabs>
                <w:tab w:val="right" w:pos="2250"/>
              </w:tabs>
              <w:rPr>
                <w:rFonts w:ascii="Times New Roman" w:hAnsi="Times New Roman"/>
                <w:b/>
                <w:color w:val="171A1D"/>
                <w:spacing w:val="-10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10"/>
                <w:lang w:val="cs-CZ"/>
              </w:rPr>
              <w:t>Rozpočet dotace:</w:t>
            </w:r>
            <w:r>
              <w:rPr>
                <w:rFonts w:ascii="Times New Roman" w:hAnsi="Times New Roman"/>
                <w:b/>
                <w:color w:val="171A1D"/>
                <w:spacing w:val="-10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171A1D"/>
                <w:lang w:val="cs-CZ"/>
              </w:rPr>
              <w:t>Kč</w:t>
            </w:r>
          </w:p>
        </w:tc>
        <w:tc>
          <w:tcPr>
            <w:tcW w:w="242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tabs>
                <w:tab w:val="right" w:pos="2351"/>
              </w:tabs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>Platební kalendář:</w:t>
            </w: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171A1D"/>
                <w:lang w:val="cs-CZ"/>
              </w:rPr>
              <w:t>Kč</w:t>
            </w: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9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/>
        </w:tc>
        <w:tc>
          <w:tcPr>
            <w:tcW w:w="1771" w:type="dxa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>honoráře umělců</w:t>
            </w:r>
          </w:p>
        </w:tc>
        <w:tc>
          <w:tcPr>
            <w:tcW w:w="1130" w:type="dxa"/>
            <w:tcBorders>
              <w:top w:val="single" w:sz="17" w:space="0" w:color="000000"/>
              <w:left w:val="single" w:sz="1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1" w:type="dxa"/>
            <w:tcBorders>
              <w:top w:val="single" w:sz="17" w:space="0" w:color="000000"/>
              <w:left w:val="single" w:sz="17" w:space="0" w:color="000000"/>
              <w:bottom w:val="single" w:sz="10" w:space="0" w:color="000000"/>
              <w:right w:val="single" w:sz="1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7" w:space="0" w:color="000000"/>
              <w:left w:val="single" w:sz="10" w:space="0" w:color="000000"/>
              <w:bottom w:val="single" w:sz="10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10"/>
        </w:trPr>
        <w:tc>
          <w:tcPr>
            <w:tcW w:w="3856" w:type="dxa"/>
            <w:gridSpan w:val="2"/>
            <w:vMerge w:val="restart"/>
            <w:tcBorders>
              <w:top w:val="single" w:sz="10" w:space="0" w:color="000000"/>
              <w:left w:val="single" w:sz="17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71" w:type="dxa"/>
            <w:tcBorders>
              <w:top w:val="single" w:sz="10" w:space="0" w:color="000000"/>
              <w:left w:val="single" w:sz="17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včetně OON</w:t>
            </w:r>
          </w:p>
        </w:tc>
        <w:tc>
          <w:tcPr>
            <w:tcW w:w="11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jc w:val="right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 xml:space="preserve">50 </w:t>
            </w:r>
            <w:r w:rsidRPr="002F4299">
              <w:rPr>
                <w:rFonts w:ascii="Times New Roman" w:hAnsi="Times New Roman"/>
                <w:b/>
                <w:color w:val="171A1D"/>
                <w:sz w:val="21"/>
                <w:lang w:val="cs-CZ"/>
              </w:rPr>
              <w:t>000</w:t>
            </w:r>
          </w:p>
        </w:tc>
        <w:tc>
          <w:tcPr>
            <w:tcW w:w="1811" w:type="dxa"/>
            <w:tcBorders>
              <w:top w:val="single" w:sz="10" w:space="0" w:color="000000"/>
              <w:left w:val="single" w:sz="17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E6ED1" w:rsidRPr="002F4299" w:rsidRDefault="00BE2722">
            <w:pPr>
              <w:rPr>
                <w:rFonts w:ascii="Times New Roman" w:hAnsi="Times New Roman"/>
                <w:b/>
                <w:color w:val="171A1D"/>
                <w:sz w:val="21"/>
                <w:lang w:val="cs-CZ"/>
              </w:rPr>
            </w:pPr>
            <w:r w:rsidRPr="002F4299">
              <w:rPr>
                <w:rFonts w:ascii="Times New Roman" w:hAnsi="Times New Roman"/>
                <w:b/>
                <w:color w:val="171A1D"/>
                <w:sz w:val="21"/>
                <w:lang w:val="cs-CZ"/>
              </w:rPr>
              <w:t>duben</w:t>
            </w:r>
          </w:p>
        </w:tc>
        <w:tc>
          <w:tcPr>
            <w:tcW w:w="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000000"/>
            </w:tcBorders>
            <w:vAlign w:val="center"/>
          </w:tcPr>
          <w:p w:rsidR="00BE6ED1" w:rsidRPr="002F4299" w:rsidRDefault="00BE2722">
            <w:pPr>
              <w:ind w:right="36"/>
              <w:jc w:val="right"/>
              <w:rPr>
                <w:rFonts w:ascii="Times New Roman" w:hAnsi="Times New Roman"/>
                <w:b/>
                <w:color w:val="171A1D"/>
                <w:sz w:val="21"/>
                <w:lang w:val="cs-CZ"/>
              </w:rPr>
            </w:pPr>
            <w:r w:rsidRPr="002F4299">
              <w:rPr>
                <w:rFonts w:ascii="Times New Roman" w:hAnsi="Times New Roman"/>
                <w:b/>
                <w:color w:val="171A1D"/>
                <w:sz w:val="21"/>
                <w:lang w:val="cs-CZ"/>
              </w:rPr>
              <w:t>60</w:t>
            </w: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  <w:vAlign w:val="center"/>
          </w:tcPr>
          <w:p w:rsidR="00BE6ED1" w:rsidRPr="002F4299" w:rsidRDefault="00BE2722">
            <w:pPr>
              <w:jc w:val="center"/>
              <w:rPr>
                <w:rFonts w:ascii="Times New Roman" w:hAnsi="Times New Roman"/>
                <w:b/>
                <w:color w:val="171A1D"/>
                <w:sz w:val="21"/>
                <w:lang w:val="cs-CZ"/>
              </w:rPr>
            </w:pPr>
            <w:r w:rsidRPr="002F4299">
              <w:rPr>
                <w:rFonts w:ascii="Times New Roman" w:hAnsi="Times New Roman"/>
                <w:b/>
                <w:color w:val="171A1D"/>
                <w:sz w:val="21"/>
                <w:lang w:val="cs-CZ"/>
              </w:rPr>
              <w:t>000</w:t>
            </w:r>
          </w:p>
        </w:tc>
      </w:tr>
      <w:tr w:rsidR="00BE6ED1">
        <w:trPr>
          <w:trHeight w:hRule="exact" w:val="288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/>
        </w:tc>
        <w:tc>
          <w:tcPr>
            <w:tcW w:w="1771" w:type="dxa"/>
            <w:tcBorders>
              <w:top w:val="single" w:sz="10" w:space="0" w:color="000000"/>
              <w:left w:val="single" w:sz="17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další náklady</w:t>
            </w:r>
          </w:p>
        </w:tc>
        <w:tc>
          <w:tcPr>
            <w:tcW w:w="11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1" w:type="dxa"/>
            <w:tcBorders>
              <w:top w:val="single" w:sz="10" w:space="0" w:color="000000"/>
              <w:left w:val="single" w:sz="17" w:space="0" w:color="000000"/>
              <w:bottom w:val="single" w:sz="10" w:space="0" w:color="000000"/>
              <w:right w:val="single" w:sz="1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06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/>
        </w:tc>
        <w:tc>
          <w:tcPr>
            <w:tcW w:w="1771" w:type="dxa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single" w:sz="10" w:space="0" w:color="000000"/>
            </w:tcBorders>
            <w:vAlign w:val="center"/>
          </w:tcPr>
          <w:p w:rsidR="00BE6ED1" w:rsidRDefault="00BE2722">
            <w:pPr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včetně OON</w:t>
            </w:r>
          </w:p>
        </w:tc>
        <w:tc>
          <w:tcPr>
            <w:tcW w:w="1130" w:type="dxa"/>
            <w:tcBorders>
              <w:top w:val="single" w:sz="10" w:space="0" w:color="000000"/>
              <w:left w:val="single" w:sz="10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jc w:val="right"/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>10 000</w:t>
            </w:r>
          </w:p>
        </w:tc>
        <w:tc>
          <w:tcPr>
            <w:tcW w:w="1811" w:type="dxa"/>
            <w:tcBorders>
              <w:top w:val="single" w:sz="10" w:space="0" w:color="000000"/>
              <w:left w:val="single" w:sz="17" w:space="0" w:color="000000"/>
              <w:bottom w:val="single" w:sz="17" w:space="0" w:color="000000"/>
              <w:right w:val="single" w:sz="1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0" w:space="0" w:color="000000"/>
              <w:left w:val="single" w:sz="10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291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/>
        </w:tc>
        <w:tc>
          <w:tcPr>
            <w:tcW w:w="290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tabs>
                <w:tab w:val="right" w:pos="2858"/>
              </w:tabs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  <w:t>Celkem:</w:t>
            </w:r>
            <w:r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60 000</w:t>
            </w:r>
          </w:p>
        </w:tc>
        <w:tc>
          <w:tcPr>
            <w:tcW w:w="242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  <w:vAlign w:val="center"/>
          </w:tcPr>
          <w:p w:rsidR="00BE6ED1" w:rsidRDefault="00BE2722">
            <w:pPr>
              <w:tabs>
                <w:tab w:val="right" w:pos="2391"/>
              </w:tabs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</w:pPr>
            <w:proofErr w:type="gramStart"/>
            <w:r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  <w:t>Celkem :</w:t>
            </w:r>
            <w:r>
              <w:rPr>
                <w:rFonts w:ascii="Times New Roman" w:hAnsi="Times New Roman"/>
                <w:b/>
                <w:color w:val="171A1D"/>
                <w:spacing w:val="-6"/>
                <w:sz w:val="23"/>
                <w:lang w:val="cs-CZ"/>
              </w:rPr>
              <w:tab/>
            </w: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60</w:t>
            </w:r>
            <w:proofErr w:type="gramEnd"/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jc w:val="center"/>
              <w:rPr>
                <w:rFonts w:ascii="Times New Roman" w:hAnsi="Times New Roman"/>
                <w:b/>
                <w:color w:val="171A1D"/>
                <w:sz w:val="23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z w:val="23"/>
                <w:lang w:val="cs-CZ"/>
              </w:rPr>
              <w:t>000</w:t>
            </w:r>
          </w:p>
        </w:tc>
      </w:tr>
      <w:tr w:rsidR="00BE6ED1">
        <w:trPr>
          <w:trHeight w:hRule="exact" w:val="299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/>
        </w:tc>
        <w:tc>
          <w:tcPr>
            <w:tcW w:w="5328" w:type="dxa"/>
            <w:gridSpan w:val="4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17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49"/>
        </w:trPr>
        <w:tc>
          <w:tcPr>
            <w:tcW w:w="3856" w:type="dxa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BE6ED1" w:rsidRDefault="00BE2722">
            <w:pPr>
              <w:jc w:val="right"/>
              <w:rPr>
                <w:rFonts w:ascii="Times New Roman" w:hAnsi="Times New Roman"/>
                <w:color w:val="171A1D"/>
                <w:spacing w:val="4"/>
                <w:sz w:val="21"/>
                <w:lang w:val="cs-CZ"/>
              </w:rPr>
            </w:pPr>
            <w:r>
              <w:rPr>
                <w:rFonts w:ascii="Times New Roman" w:hAnsi="Times New Roman"/>
                <w:color w:val="171A1D"/>
                <w:spacing w:val="4"/>
                <w:sz w:val="21"/>
                <w:lang w:val="cs-CZ"/>
              </w:rPr>
              <w:t>Podíl dotace ze státního rozpočtu</w:t>
            </w:r>
          </w:p>
        </w:tc>
        <w:tc>
          <w:tcPr>
            <w:tcW w:w="1771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jc w:val="right"/>
              <w:rPr>
                <w:rFonts w:ascii="Times New Roman" w:hAnsi="Times New Roman"/>
                <w:b/>
                <w:color w:val="171A1D"/>
                <w:spacing w:val="-24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24"/>
                <w:lang w:val="cs-CZ"/>
              </w:rPr>
              <w:t>na financování projektu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17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BE6ED1" w:rsidRDefault="00BE2722">
            <w:pPr>
              <w:ind w:right="540"/>
              <w:jc w:val="right"/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6"/>
                <w:lang w:val="cs-CZ"/>
              </w:rPr>
              <w:t>(v % jako maximální podíl):</w:t>
            </w:r>
          </w:p>
        </w:tc>
        <w:tc>
          <w:tcPr>
            <w:tcW w:w="417" w:type="dxa"/>
            <w:vMerge w:val="restart"/>
            <w:tcBorders>
              <w:top w:val="single" w:sz="17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E6ED1">
        <w:trPr>
          <w:trHeight w:hRule="exact" w:val="303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/>
        </w:tc>
        <w:tc>
          <w:tcPr>
            <w:tcW w:w="17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E6ED1" w:rsidRDefault="00BE2722">
            <w:pPr>
              <w:tabs>
                <w:tab w:val="right" w:pos="1105"/>
              </w:tabs>
              <w:rPr>
                <w:rFonts w:ascii="Times New Roman" w:hAnsi="Times New Roman"/>
                <w:b/>
                <w:color w:val="171A1D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lang w:val="cs-CZ"/>
              </w:rPr>
              <w:tab/>
              <w:t>70%</w:t>
            </w:r>
          </w:p>
        </w:tc>
        <w:tc>
          <w:tcPr>
            <w:tcW w:w="3557" w:type="dxa"/>
            <w:gridSpan w:val="3"/>
            <w:vMerge/>
            <w:tcBorders>
              <w:top w:val="none" w:sz="0" w:space="0" w:color="000000"/>
              <w:left w:val="single" w:sz="17" w:space="0" w:color="000000"/>
              <w:bottom w:val="none" w:sz="0" w:space="0" w:color="000000"/>
              <w:right w:val="none" w:sz="0" w:space="0" w:color="000000"/>
            </w:tcBorders>
          </w:tcPr>
          <w:p w:rsidR="00BE6ED1" w:rsidRDefault="00BE6ED1"/>
        </w:tc>
        <w:tc>
          <w:tcPr>
            <w:tcW w:w="4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17" w:space="0" w:color="000000"/>
            </w:tcBorders>
          </w:tcPr>
          <w:p w:rsidR="00BE6ED1" w:rsidRDefault="00BE6ED1"/>
        </w:tc>
      </w:tr>
      <w:tr w:rsidR="00BE6ED1">
        <w:trPr>
          <w:trHeight w:hRule="exact" w:val="320"/>
        </w:trPr>
        <w:tc>
          <w:tcPr>
            <w:tcW w:w="3856" w:type="dxa"/>
            <w:gridSpan w:val="2"/>
            <w:vMerge/>
            <w:tcBorders>
              <w:top w:val="none" w:sz="0" w:space="0" w:color="000000"/>
              <w:left w:val="single" w:sz="17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/>
        </w:tc>
        <w:tc>
          <w:tcPr>
            <w:tcW w:w="1771" w:type="dxa"/>
            <w:tcBorders>
              <w:top w:val="single" w:sz="17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557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17" w:space="0" w:color="000000"/>
              <w:right w:val="none" w:sz="0" w:space="0" w:color="000000"/>
            </w:tcBorders>
          </w:tcPr>
          <w:p w:rsidR="00BE6ED1" w:rsidRDefault="00BE6ED1"/>
        </w:tc>
        <w:tc>
          <w:tcPr>
            <w:tcW w:w="417" w:type="dxa"/>
            <w:vMerge/>
            <w:tcBorders>
              <w:top w:val="none" w:sz="0" w:space="0" w:color="000000"/>
              <w:left w:val="none" w:sz="0" w:space="0" w:color="000000"/>
              <w:bottom w:val="single" w:sz="17" w:space="0" w:color="000000"/>
              <w:right w:val="single" w:sz="17" w:space="0" w:color="000000"/>
            </w:tcBorders>
          </w:tcPr>
          <w:p w:rsidR="00BE6ED1" w:rsidRDefault="00BE6ED1"/>
        </w:tc>
      </w:tr>
    </w:tbl>
    <w:p w:rsidR="00BE6ED1" w:rsidRDefault="00BE6ED1">
      <w:pPr>
        <w:spacing w:after="239" w:line="20" w:lineRule="exact"/>
      </w:pP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E6ED1">
        <w:trPr>
          <w:trHeight w:hRule="exact" w:val="947"/>
        </w:trPr>
        <w:tc>
          <w:tcPr>
            <w:tcW w:w="9640" w:type="dxa"/>
            <w:tcBorders>
              <w:top w:val="single" w:sz="17" w:space="0" w:color="12171D"/>
              <w:left w:val="single" w:sz="17" w:space="0" w:color="1C1D22"/>
              <w:bottom w:val="single" w:sz="17" w:space="0" w:color="14181D"/>
              <w:right w:val="single" w:sz="17" w:space="0" w:color="1E2326"/>
            </w:tcBorders>
          </w:tcPr>
          <w:p w:rsidR="00BE6ED1" w:rsidRDefault="00BE2722">
            <w:pPr>
              <w:spacing w:before="36" w:line="268" w:lineRule="auto"/>
              <w:ind w:left="72" w:right="288"/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 xml:space="preserve">Nedílnou součástí Rozhodnutí jsou Podmínky použití dotace, povinnosti příjemce a podmínky zúčtování </w:t>
            </w:r>
            <w:r>
              <w:rPr>
                <w:rFonts w:ascii="Times New Roman" w:hAnsi="Times New Roman"/>
                <w:b/>
                <w:color w:val="171A1D"/>
                <w:lang w:val="cs-CZ"/>
              </w:rPr>
              <w:t>dotace.</w:t>
            </w:r>
          </w:p>
          <w:p w:rsidR="00BE6ED1" w:rsidRDefault="00BE2722">
            <w:pPr>
              <w:spacing w:before="72" w:after="36" w:line="201" w:lineRule="auto"/>
              <w:ind w:left="72"/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</w:pPr>
            <w:r>
              <w:rPr>
                <w:rFonts w:ascii="Times New Roman" w:hAnsi="Times New Roman"/>
                <w:b/>
                <w:color w:val="171A1D"/>
                <w:spacing w:val="-8"/>
                <w:lang w:val="cs-CZ"/>
              </w:rPr>
              <w:t>Počet stran: 6</w:t>
            </w:r>
          </w:p>
        </w:tc>
      </w:tr>
    </w:tbl>
    <w:p w:rsidR="00C64271" w:rsidRDefault="00C64271"/>
    <w:p w:rsidR="002F4299" w:rsidRDefault="002F4299"/>
    <w:p w:rsidR="002F4299" w:rsidRPr="002F4299" w:rsidRDefault="002F4299" w:rsidP="002F4299">
      <w:pPr>
        <w:shd w:val="solid" w:color="898C8D" w:fill="898C8D"/>
        <w:spacing w:line="180" w:lineRule="auto"/>
        <w:ind w:left="673" w:right="328"/>
        <w:rPr>
          <w:rFonts w:ascii="Times New Roman" w:hAnsi="Times New Roman"/>
          <w:b/>
          <w:spacing w:val="3"/>
          <w:sz w:val="23"/>
          <w:u w:val="single"/>
          <w:lang w:val="cs-CZ"/>
        </w:rPr>
      </w:pPr>
      <w:r w:rsidRPr="002F4299">
        <w:rPr>
          <w:rFonts w:ascii="Times New Roman" w:hAnsi="Times New Roman"/>
          <w:b/>
          <w:spacing w:val="3"/>
          <w:sz w:val="23"/>
          <w:u w:val="single"/>
          <w:lang w:val="cs-CZ"/>
        </w:rPr>
        <w:lastRenderedPageBreak/>
        <w:t>Podmínky</w:t>
      </w:r>
      <w:r w:rsidR="007837A1">
        <w:rPr>
          <w:rFonts w:ascii="Times New Roman" w:hAnsi="Times New Roman"/>
          <w:b/>
          <w:spacing w:val="3"/>
          <w:sz w:val="23"/>
          <w:u w:val="single"/>
          <w:lang w:val="cs-CZ"/>
        </w:rPr>
        <w:t xml:space="preserve"> přidě</w:t>
      </w:r>
      <w:r w:rsidR="00BE2722">
        <w:rPr>
          <w:rFonts w:ascii="Times New Roman" w:hAnsi="Times New Roman"/>
          <w:b/>
          <w:spacing w:val="3"/>
          <w:sz w:val="23"/>
          <w:u w:val="single"/>
          <w:lang w:val="cs-CZ"/>
        </w:rPr>
        <w:t>lení dotace, povinnosti příjemc</w:t>
      </w:r>
      <w:r w:rsidRPr="002F4299">
        <w:rPr>
          <w:rFonts w:ascii="Times New Roman" w:hAnsi="Times New Roman"/>
          <w:b/>
          <w:spacing w:val="3"/>
          <w:sz w:val="23"/>
          <w:u w:val="single"/>
          <w:lang w:val="cs-CZ"/>
        </w:rPr>
        <w:t>e dotace a podmínky zúčtování dotace</w:t>
      </w:r>
    </w:p>
    <w:p w:rsidR="002F4299" w:rsidRDefault="002F4299" w:rsidP="002F4299">
      <w:pPr>
        <w:spacing w:before="288"/>
        <w:rPr>
          <w:rFonts w:ascii="Times New Roman" w:hAnsi="Times New Roman"/>
          <w:b/>
          <w:color w:val="000000"/>
          <w:spacing w:val="2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>I. Příjemce dotace:</w:t>
      </w:r>
    </w:p>
    <w:p w:rsidR="002F4299" w:rsidRDefault="002F4299" w:rsidP="002F4299">
      <w:pPr>
        <w:numPr>
          <w:ilvl w:val="0"/>
          <w:numId w:val="1"/>
        </w:numPr>
        <w:tabs>
          <w:tab w:val="clear" w:pos="288"/>
          <w:tab w:val="decimal" w:pos="720"/>
        </w:tabs>
        <w:spacing w:before="36"/>
        <w:ind w:hanging="288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je povinen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zrealizovat projekt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ve schváleném rozsahu a kvalitě nejpozději do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>31. 12. 2018;</w:t>
      </w:r>
    </w:p>
    <w:p w:rsidR="002F4299" w:rsidRDefault="002F4299" w:rsidP="002F4299">
      <w:pPr>
        <w:numPr>
          <w:ilvl w:val="0"/>
          <w:numId w:val="1"/>
        </w:numPr>
        <w:tabs>
          <w:tab w:val="clear" w:pos="288"/>
          <w:tab w:val="decimal" w:pos="720"/>
        </w:tabs>
        <w:ind w:left="432"/>
        <w:rPr>
          <w:rFonts w:ascii="Times New Roman" w:hAnsi="Times New Roman"/>
          <w:color w:val="000000"/>
          <w:spacing w:val="9"/>
          <w:sz w:val="24"/>
          <w:lang w:val="cs-CZ"/>
        </w:rPr>
      </w:pP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je povinen </w:t>
      </w:r>
      <w:r>
        <w:rPr>
          <w:rFonts w:ascii="Times New Roman" w:hAnsi="Times New Roman"/>
          <w:b/>
          <w:color w:val="000000"/>
          <w:spacing w:val="9"/>
          <w:sz w:val="23"/>
          <w:lang w:val="cs-CZ"/>
        </w:rPr>
        <w:t>použít dotaci výlučně na účel uvedený v tomto rozhodnutí;</w:t>
      </w:r>
    </w:p>
    <w:p w:rsidR="002F4299" w:rsidRDefault="002F4299" w:rsidP="002F4299">
      <w:pPr>
        <w:numPr>
          <w:ilvl w:val="0"/>
          <w:numId w:val="1"/>
        </w:numPr>
        <w:tabs>
          <w:tab w:val="clear" w:pos="288"/>
          <w:tab w:val="decimal" w:pos="720"/>
        </w:tabs>
        <w:ind w:right="72" w:hanging="288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je povinen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dodržet výši a skladbu nákladů týkajících se poskytnuté dotace tak, jak jsou v tomto rozhodnutí uvedeny;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přitom je oprávněn hradit z dotace i ty náklady projektu,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které vznikly v období, na které byla dotace poskytnuta, předtím, než obdržel rozhodnutí o </w:t>
      </w:r>
      <w:r>
        <w:rPr>
          <w:rFonts w:ascii="Times New Roman" w:hAnsi="Times New Roman"/>
          <w:color w:val="000000"/>
          <w:sz w:val="24"/>
          <w:lang w:val="cs-CZ"/>
        </w:rPr>
        <w:t>poskytnutí dotace;</w:t>
      </w:r>
    </w:p>
    <w:p w:rsidR="002F4299" w:rsidRDefault="002F4299" w:rsidP="002F4299">
      <w:pPr>
        <w:numPr>
          <w:ilvl w:val="0"/>
          <w:numId w:val="1"/>
        </w:numPr>
        <w:tabs>
          <w:tab w:val="clear" w:pos="288"/>
          <w:tab w:val="decimal" w:pos="720"/>
        </w:tabs>
        <w:ind w:right="72" w:hanging="288"/>
        <w:jc w:val="both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je povinen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jakoukoliv změnu projektu,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vyjma snížení celkových nákladů v návaznosti na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výši přidělené dotace,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písemně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s uvedením důvodů předem a bez zbytečného odkladu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oznámit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Ministerstvu kultury; není-li možné změnu projektu oznámit předem, je příjemce </w:t>
      </w:r>
      <w:r>
        <w:rPr>
          <w:rFonts w:ascii="Times New Roman" w:hAnsi="Times New Roman"/>
          <w:color w:val="000000"/>
          <w:spacing w:val="7"/>
          <w:sz w:val="24"/>
          <w:lang w:val="cs-CZ"/>
        </w:rPr>
        <w:t xml:space="preserve">povinen oznámit změnu bez zbytečného odkladu poté, co se o změně dozví; </w:t>
      </w:r>
      <w:r>
        <w:rPr>
          <w:rFonts w:ascii="Times New Roman" w:hAnsi="Times New Roman"/>
          <w:b/>
          <w:color w:val="000000"/>
          <w:spacing w:val="7"/>
          <w:sz w:val="23"/>
          <w:lang w:val="cs-CZ"/>
        </w:rPr>
        <w:t xml:space="preserve">změny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 xml:space="preserve">projektu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však musí příjemce Ministerstvu kultury oznámit nejpozději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 xml:space="preserve">do 10. 12. 2018;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povinnost podle tohoto bodu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>se nevztahuje</w:t>
      </w:r>
    </w:p>
    <w:p w:rsidR="002F4299" w:rsidRDefault="002F4299" w:rsidP="002F4299">
      <w:pPr>
        <w:numPr>
          <w:ilvl w:val="0"/>
          <w:numId w:val="2"/>
        </w:numPr>
        <w:tabs>
          <w:tab w:val="clear" w:pos="360"/>
          <w:tab w:val="decimal" w:pos="1440"/>
        </w:tabs>
        <w:ind w:left="1080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>na snížení celkových nákladů projektu v návaznosti na výši přidělené dotace</w:t>
      </w:r>
    </w:p>
    <w:p w:rsidR="002F4299" w:rsidRDefault="002F4299" w:rsidP="002F4299">
      <w:pPr>
        <w:numPr>
          <w:ilvl w:val="0"/>
          <w:numId w:val="2"/>
        </w:numPr>
        <w:tabs>
          <w:tab w:val="clear" w:pos="360"/>
          <w:tab w:val="decimal" w:pos="1440"/>
        </w:tabs>
        <w:ind w:left="1440" w:hanging="360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na takové změny rozpočtu projektu, které se nedotýkají struktury dotace stanovené </w:t>
      </w:r>
      <w:r>
        <w:rPr>
          <w:rFonts w:ascii="Times New Roman" w:hAnsi="Times New Roman"/>
          <w:color w:val="000000"/>
          <w:sz w:val="24"/>
          <w:lang w:val="cs-CZ"/>
        </w:rPr>
        <w:t>tímto rozhodnutím;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72" w:hanging="360"/>
        <w:jc w:val="both"/>
        <w:rPr>
          <w:rFonts w:ascii="Times New Roman" w:hAnsi="Times New Roman"/>
          <w:color w:val="000000"/>
          <w:spacing w:val="-4"/>
          <w:sz w:val="24"/>
          <w:lang w:val="cs-CZ"/>
        </w:rPr>
      </w:pPr>
      <w:r>
        <w:rPr>
          <w:rFonts w:ascii="Times New Roman" w:hAnsi="Times New Roman"/>
          <w:color w:val="000000"/>
          <w:spacing w:val="-4"/>
          <w:sz w:val="24"/>
          <w:lang w:val="cs-CZ"/>
        </w:rPr>
        <w:t xml:space="preserve">je povinen Ministerstvu kultury v průběhu období, na které byla dotace poskytnuta, </w:t>
      </w:r>
      <w:r>
        <w:rPr>
          <w:rFonts w:ascii="Times New Roman" w:hAnsi="Times New Roman"/>
          <w:b/>
          <w:color w:val="000000"/>
          <w:spacing w:val="-4"/>
          <w:sz w:val="23"/>
          <w:lang w:val="cs-CZ"/>
        </w:rPr>
        <w:t xml:space="preserve">písemně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oznámit změnu všech identifikačních údajů </w:t>
      </w:r>
      <w:r>
        <w:rPr>
          <w:rFonts w:ascii="Times New Roman" w:hAnsi="Times New Roman"/>
          <w:color w:val="000000"/>
          <w:sz w:val="24"/>
          <w:lang w:val="cs-CZ"/>
        </w:rPr>
        <w:t>uvedených v žádosti o poskytnutí dotace, a to bez zbytečného odkladu, nejpozději však do 14 dnů ode dne, kdy se o této změně dozvěděl;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72" w:hanging="360"/>
        <w:rPr>
          <w:rFonts w:ascii="Times New Roman" w:hAnsi="Times New Roman"/>
          <w:color w:val="000000"/>
          <w:spacing w:val="1"/>
          <w:sz w:val="24"/>
          <w:lang w:val="cs-CZ"/>
        </w:rPr>
      </w:pP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pokud se projekt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neuskuteční,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je povinen tuto skutečnost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písemně oznámit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Ministerstvu </w:t>
      </w:r>
      <w:r>
        <w:rPr>
          <w:rFonts w:ascii="Times New Roman" w:hAnsi="Times New Roman"/>
          <w:color w:val="000000"/>
          <w:sz w:val="24"/>
          <w:lang w:val="cs-CZ"/>
        </w:rPr>
        <w:t>kultury, a to bez zbytečného odkladu poté, co tuto skutečnost zjistí;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2"/>
          <w:sz w:val="24"/>
          <w:lang w:val="cs-CZ"/>
        </w:rPr>
      </w:pP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je povinen uvádět po obdržení tohoto rozhodnutí </w:t>
      </w:r>
      <w:r>
        <w:rPr>
          <w:rFonts w:ascii="Times New Roman" w:hAnsi="Times New Roman"/>
          <w:b/>
          <w:color w:val="000000"/>
          <w:spacing w:val="2"/>
          <w:sz w:val="23"/>
          <w:lang w:val="cs-CZ"/>
        </w:rPr>
        <w:t xml:space="preserve">na materiálech </w:t>
      </w:r>
      <w:r>
        <w:rPr>
          <w:rFonts w:ascii="Times New Roman" w:hAnsi="Times New Roman"/>
          <w:color w:val="000000"/>
          <w:spacing w:val="2"/>
          <w:sz w:val="24"/>
          <w:lang w:val="cs-CZ"/>
        </w:rPr>
        <w:t xml:space="preserve">vytvořených v rámci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projektu nebo souvisejících s jeho realizací, že </w:t>
      </w:r>
      <w:r>
        <w:rPr>
          <w:rFonts w:ascii="Times New Roman" w:hAnsi="Times New Roman"/>
          <w:b/>
          <w:color w:val="000000"/>
          <w:spacing w:val="6"/>
          <w:sz w:val="23"/>
          <w:lang w:val="cs-CZ"/>
        </w:rPr>
        <w:t xml:space="preserve">se projekt uskutečňuje za finanční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>podpory Ministerstva kultury;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5"/>
          <w:sz w:val="24"/>
          <w:lang w:val="cs-CZ"/>
        </w:rPr>
      </w:pPr>
      <w:r>
        <w:rPr>
          <w:rFonts w:ascii="Times New Roman" w:hAnsi="Times New Roman"/>
          <w:color w:val="000000"/>
          <w:spacing w:val="5"/>
          <w:sz w:val="24"/>
          <w:lang w:val="cs-CZ"/>
        </w:rPr>
        <w:t xml:space="preserve">je povinen odboru umění, literatury a knihoven Ministerstva kultury v dostatečném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časovém předstihu doručit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pozvánky na dotovanou akci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(poštou, či e-mailem na adresu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a na vyžádání </w:t>
      </w:r>
      <w:r>
        <w:rPr>
          <w:rFonts w:ascii="Times New Roman" w:hAnsi="Times New Roman"/>
          <w:b/>
          <w:color w:val="000000"/>
          <w:spacing w:val="3"/>
          <w:sz w:val="23"/>
          <w:lang w:val="cs-CZ"/>
        </w:rPr>
        <w:t xml:space="preserve">poskytnout dvě čestné vstupenky; </w:t>
      </w:r>
      <w:r>
        <w:rPr>
          <w:rFonts w:ascii="Times New Roman" w:hAnsi="Times New Roman"/>
          <w:color w:val="000000"/>
          <w:spacing w:val="3"/>
          <w:sz w:val="24"/>
          <w:lang w:val="cs-CZ"/>
        </w:rPr>
        <w:t xml:space="preserve">v případě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dotace na celoroční činnost zasílat e-mailem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měsíční hrací plán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(platí pouze v případě, že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subjekt </w:t>
      </w:r>
      <w:r>
        <w:rPr>
          <w:rFonts w:ascii="Times New Roman" w:hAnsi="Times New Roman"/>
          <w:b/>
          <w:color w:val="000000"/>
          <w:spacing w:val="1"/>
          <w:sz w:val="23"/>
          <w:lang w:val="cs-CZ"/>
        </w:rPr>
        <w:t xml:space="preserve">nezveřejňuje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hrací plán na svých webových stránkách); je-li dotace čerpána na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vydání periodické nebo neperiodické publikace, předložit </w:t>
      </w:r>
      <w:r>
        <w:rPr>
          <w:rFonts w:ascii="Times New Roman" w:hAnsi="Times New Roman"/>
          <w:b/>
          <w:color w:val="000000"/>
          <w:spacing w:val="-1"/>
          <w:sz w:val="23"/>
          <w:lang w:val="cs-CZ"/>
        </w:rPr>
        <w:t xml:space="preserve">jeden výtisk publikace </w:t>
      </w:r>
      <w:r>
        <w:rPr>
          <w:rFonts w:ascii="Times New Roman" w:hAnsi="Times New Roman"/>
          <w:color w:val="000000"/>
          <w:spacing w:val="-1"/>
          <w:sz w:val="24"/>
          <w:lang w:val="cs-CZ"/>
        </w:rPr>
        <w:t xml:space="preserve">ihned po </w:t>
      </w:r>
      <w:r>
        <w:rPr>
          <w:rFonts w:ascii="Times New Roman" w:hAnsi="Times New Roman"/>
          <w:color w:val="000000"/>
          <w:sz w:val="24"/>
          <w:lang w:val="cs-CZ"/>
        </w:rPr>
        <w:t>jejím vydání;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je povinen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použít/vyčerpat dotaci nejpozději do 31. 12. 2018, </w:t>
      </w: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přičemž použitím dotace </w:t>
      </w:r>
      <w:r>
        <w:rPr>
          <w:rFonts w:ascii="Times New Roman" w:hAnsi="Times New Roman"/>
          <w:color w:val="000000"/>
          <w:spacing w:val="1"/>
          <w:sz w:val="24"/>
          <w:lang w:val="cs-CZ"/>
        </w:rPr>
        <w:t xml:space="preserve">se rozumí zaplacení plateb hrazených z dotace v hotovosti a poukázáním plateb hrazených </w:t>
      </w:r>
      <w:r>
        <w:rPr>
          <w:rFonts w:ascii="Times New Roman" w:hAnsi="Times New Roman"/>
          <w:color w:val="000000"/>
          <w:spacing w:val="-2"/>
          <w:sz w:val="24"/>
          <w:lang w:val="cs-CZ"/>
        </w:rPr>
        <w:t xml:space="preserve">z dotace bezhotovostně. Mzdy a odměny z dohod o provedení práce a z dohod o pracovní </w:t>
      </w:r>
      <w:r>
        <w:rPr>
          <w:rFonts w:ascii="Times New Roman" w:hAnsi="Times New Roman"/>
          <w:color w:val="000000"/>
          <w:sz w:val="24"/>
          <w:lang w:val="cs-CZ"/>
        </w:rPr>
        <w:t>činnosti lze však hradit, v souladu se zákonem č. 262/2006 Sb., zákoník práce, v platném znění, nejpozději v lednu 2018;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4"/>
          <w:sz w:val="24"/>
          <w:lang w:val="cs-CZ"/>
        </w:rPr>
      </w:pPr>
      <w:r>
        <w:rPr>
          <w:rFonts w:ascii="Times New Roman" w:hAnsi="Times New Roman"/>
          <w:color w:val="000000"/>
          <w:spacing w:val="4"/>
          <w:sz w:val="24"/>
          <w:lang w:val="cs-CZ"/>
        </w:rPr>
        <w:t xml:space="preserve">je povinen postupovat v souladu se </w:t>
      </w:r>
      <w:r>
        <w:rPr>
          <w:rFonts w:ascii="Times New Roman" w:hAnsi="Times New Roman"/>
          <w:b/>
          <w:color w:val="000000"/>
          <w:spacing w:val="4"/>
          <w:sz w:val="23"/>
          <w:lang w:val="cs-CZ"/>
        </w:rPr>
        <w:t xml:space="preserve">zákonem č. 134/2016 Sb., o zadávání veřejných </w:t>
      </w:r>
      <w:r>
        <w:rPr>
          <w:rFonts w:ascii="Times New Roman" w:hAnsi="Times New Roman"/>
          <w:b/>
          <w:color w:val="000000"/>
          <w:spacing w:val="10"/>
          <w:sz w:val="23"/>
          <w:lang w:val="cs-CZ"/>
        </w:rPr>
        <w:t xml:space="preserve">zakázek, </w:t>
      </w:r>
      <w:r>
        <w:rPr>
          <w:rFonts w:ascii="Times New Roman" w:hAnsi="Times New Roman"/>
          <w:color w:val="000000"/>
          <w:spacing w:val="10"/>
          <w:sz w:val="24"/>
          <w:lang w:val="cs-CZ"/>
        </w:rPr>
        <w:t xml:space="preserve">v platném znění, pokud použije prostředky státního rozpočtu k úhradě </w:t>
      </w:r>
      <w:r>
        <w:rPr>
          <w:rFonts w:ascii="Times New Roman" w:hAnsi="Times New Roman"/>
          <w:color w:val="000000"/>
          <w:sz w:val="24"/>
          <w:lang w:val="cs-CZ"/>
        </w:rPr>
        <w:t>zakázky, která je nadlimitní nebo podlimitní veřejnou zakázkou podle tohoto zákona;</w:t>
      </w:r>
    </w:p>
    <w:p w:rsid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9"/>
          <w:sz w:val="24"/>
          <w:lang w:val="cs-CZ"/>
        </w:rPr>
      </w:pP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je povinen vést </w:t>
      </w:r>
      <w:r>
        <w:rPr>
          <w:rFonts w:ascii="Times New Roman" w:hAnsi="Times New Roman"/>
          <w:b/>
          <w:color w:val="000000"/>
          <w:spacing w:val="9"/>
          <w:sz w:val="23"/>
          <w:lang w:val="cs-CZ"/>
        </w:rPr>
        <w:t xml:space="preserve">řádné a oddělené sledování příjmů a nákladů </w:t>
      </w:r>
      <w:r>
        <w:rPr>
          <w:rFonts w:ascii="Times New Roman" w:hAnsi="Times New Roman"/>
          <w:color w:val="000000"/>
          <w:spacing w:val="9"/>
          <w:sz w:val="24"/>
          <w:lang w:val="cs-CZ"/>
        </w:rPr>
        <w:t xml:space="preserve">dotovaného projektu v účetnictví, umožnit kontrolu vyúčtování dotací a sponzorských darů souvisejících </w:t>
      </w:r>
      <w:r>
        <w:rPr>
          <w:rFonts w:ascii="Times New Roman" w:hAnsi="Times New Roman"/>
          <w:color w:val="000000"/>
          <w:spacing w:val="-3"/>
          <w:sz w:val="24"/>
          <w:lang w:val="cs-CZ"/>
        </w:rPr>
        <w:t xml:space="preserve">s projektem i od jiných subjektů a čerpat dotaci na základě účetních dokladů obsahujících </w:t>
      </w:r>
      <w:r>
        <w:rPr>
          <w:rFonts w:ascii="Times New Roman" w:hAnsi="Times New Roman"/>
          <w:color w:val="000000"/>
          <w:sz w:val="24"/>
          <w:lang w:val="cs-CZ"/>
        </w:rPr>
        <w:t>náležitosti stanovené zákonem č. 563/1991 Sb., o účetnictví, v platném znění;</w:t>
      </w:r>
    </w:p>
    <w:p w:rsidR="002F4299" w:rsidRPr="002F4299" w:rsidRDefault="002F4299" w:rsidP="002F4299">
      <w:pPr>
        <w:numPr>
          <w:ilvl w:val="0"/>
          <w:numId w:val="3"/>
        </w:numPr>
        <w:tabs>
          <w:tab w:val="clear" w:pos="360"/>
          <w:tab w:val="decimal" w:pos="792"/>
        </w:tabs>
        <w:ind w:left="792" w:right="144" w:hanging="360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je povinen používat dotaci </w:t>
      </w:r>
      <w:r>
        <w:rPr>
          <w:rFonts w:ascii="Times New Roman" w:hAnsi="Times New Roman"/>
          <w:b/>
          <w:color w:val="000000"/>
          <w:spacing w:val="8"/>
          <w:sz w:val="23"/>
          <w:lang w:val="cs-CZ"/>
        </w:rPr>
        <w:t xml:space="preserve">hospodárně, účelně efektivně a v souladu s právními předpisy. </w:t>
      </w:r>
      <w:r>
        <w:rPr>
          <w:rFonts w:ascii="Times New Roman" w:hAnsi="Times New Roman"/>
          <w:color w:val="000000"/>
          <w:spacing w:val="8"/>
          <w:sz w:val="24"/>
          <w:lang w:val="cs-CZ"/>
        </w:rPr>
        <w:t xml:space="preserve">Projekt musí v období, na které byla dotace poskytnuta, vykazovat </w:t>
      </w:r>
      <w:r>
        <w:rPr>
          <w:rFonts w:ascii="Times New Roman" w:hAnsi="Times New Roman"/>
          <w:b/>
          <w:color w:val="000000"/>
          <w:spacing w:val="8"/>
          <w:sz w:val="23"/>
          <w:lang w:val="cs-CZ"/>
        </w:rPr>
        <w:t xml:space="preserve">příjmy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z jeho realizace </w:t>
      </w:r>
      <w:r>
        <w:rPr>
          <w:rFonts w:ascii="Times New Roman" w:hAnsi="Times New Roman"/>
          <w:color w:val="000000"/>
          <w:sz w:val="24"/>
          <w:lang w:val="cs-CZ"/>
        </w:rPr>
        <w:t xml:space="preserve">(např. ze vstupného, kursovného, prodeje katalogů apod.). </w:t>
      </w:r>
      <w:r>
        <w:rPr>
          <w:rFonts w:ascii="Times New Roman" w:hAnsi="Times New Roman"/>
          <w:b/>
          <w:color w:val="000000"/>
          <w:sz w:val="23"/>
          <w:lang w:val="cs-CZ"/>
        </w:rPr>
        <w:t xml:space="preserve">Projekt nesmí </w:t>
      </w:r>
      <w:r>
        <w:rPr>
          <w:rFonts w:ascii="Times New Roman" w:hAnsi="Times New Roman"/>
          <w:b/>
          <w:color w:val="000000"/>
          <w:spacing w:val="6"/>
          <w:sz w:val="23"/>
          <w:lang w:val="cs-CZ"/>
        </w:rPr>
        <w:t xml:space="preserve">být ziskový, </w:t>
      </w:r>
      <w:r>
        <w:rPr>
          <w:rFonts w:ascii="Times New Roman" w:hAnsi="Times New Roman"/>
          <w:color w:val="000000"/>
          <w:spacing w:val="6"/>
          <w:sz w:val="24"/>
          <w:lang w:val="cs-CZ"/>
        </w:rPr>
        <w:t xml:space="preserve">pokud bude realizací dotovaného projektu dosaženo zisku, bude tento </w:t>
      </w:r>
      <w:r>
        <w:rPr>
          <w:rFonts w:ascii="Times New Roman" w:hAnsi="Times New Roman"/>
          <w:color w:val="000000"/>
          <w:sz w:val="24"/>
          <w:lang w:val="cs-CZ"/>
        </w:rPr>
        <w:t>příjmem státního rozpočtu, a to až do výše poskytnuté dotace;</w:t>
      </w:r>
    </w:p>
    <w:p w:rsidR="002F4299" w:rsidRDefault="002F4299" w:rsidP="002F4299">
      <w:pPr>
        <w:tabs>
          <w:tab w:val="decimal" w:pos="360"/>
          <w:tab w:val="decimal" w:pos="792"/>
        </w:tabs>
        <w:ind w:left="792" w:right="144"/>
        <w:jc w:val="both"/>
        <w:rPr>
          <w:rFonts w:ascii="Times New Roman" w:hAnsi="Times New Roman"/>
          <w:color w:val="000000"/>
          <w:sz w:val="24"/>
          <w:lang w:val="cs-CZ"/>
        </w:rPr>
      </w:pPr>
    </w:p>
    <w:p w:rsidR="00326DD4" w:rsidRPr="00326DD4" w:rsidRDefault="00326DD4" w:rsidP="00326DD4">
      <w:pPr>
        <w:ind w:left="288" w:right="72" w:hanging="288"/>
        <w:rPr>
          <w:rFonts w:ascii="Times New Roman" w:hAnsi="Times New Roman"/>
          <w:color w:val="000000"/>
          <w:spacing w:val="3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3"/>
          <w:sz w:val="23"/>
          <w:lang w:val="cs-CZ"/>
        </w:rPr>
        <w:t xml:space="preserve">13. je povinen vyhotovit vyúčtování projektu a zaslat je Ministerstvu kultury v termínu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>(rozhoduje razítko pošty, při osobním doručení razítko podatelny Ministerstva kultury):</w:t>
      </w:r>
    </w:p>
    <w:p w:rsidR="00326DD4" w:rsidRPr="00326DD4" w:rsidRDefault="00326DD4" w:rsidP="00326DD4">
      <w:pPr>
        <w:numPr>
          <w:ilvl w:val="0"/>
          <w:numId w:val="4"/>
        </w:numPr>
        <w:tabs>
          <w:tab w:val="clear" w:pos="432"/>
          <w:tab w:val="decimal" w:pos="1080"/>
        </w:tabs>
        <w:ind w:left="648"/>
        <w:rPr>
          <w:rFonts w:ascii="Times New Roman" w:hAnsi="Times New Roman"/>
          <w:color w:val="000000"/>
          <w:spacing w:val="3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3"/>
          <w:sz w:val="23"/>
          <w:lang w:val="cs-CZ"/>
        </w:rPr>
        <w:t>do 30. 9. 2018, pokud se podle tohoto rozhodnutí projekt koná do 30. 6. 2018,</w:t>
      </w:r>
    </w:p>
    <w:p w:rsidR="00326DD4" w:rsidRPr="00326DD4" w:rsidRDefault="00326DD4" w:rsidP="00326DD4">
      <w:pPr>
        <w:numPr>
          <w:ilvl w:val="0"/>
          <w:numId w:val="4"/>
        </w:numPr>
        <w:tabs>
          <w:tab w:val="clear" w:pos="432"/>
          <w:tab w:val="decimal" w:pos="1080"/>
        </w:tabs>
        <w:ind w:left="288" w:right="72" w:firstLine="360"/>
        <w:rPr>
          <w:rFonts w:ascii="Times New Roman" w:hAnsi="Times New Roman"/>
          <w:color w:val="000000"/>
          <w:spacing w:val="-5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5"/>
          <w:sz w:val="23"/>
          <w:lang w:val="cs-CZ"/>
        </w:rPr>
        <w:lastRenderedPageBreak/>
        <w:t xml:space="preserve">do 31. </w:t>
      </w:r>
      <w:r w:rsidRPr="00326DD4">
        <w:rPr>
          <w:rFonts w:ascii="Times New Roman" w:hAnsi="Times New Roman"/>
          <w:color w:val="000000"/>
          <w:spacing w:val="-5"/>
          <w:w w:val="105"/>
          <w:sz w:val="23"/>
          <w:lang w:val="cs-CZ"/>
        </w:rPr>
        <w:t xml:space="preserve">1. 2019, </w:t>
      </w:r>
      <w:r w:rsidRPr="00326DD4">
        <w:rPr>
          <w:rFonts w:ascii="Times New Roman" w:hAnsi="Times New Roman"/>
          <w:color w:val="000000"/>
          <w:spacing w:val="-5"/>
          <w:sz w:val="23"/>
          <w:lang w:val="cs-CZ"/>
        </w:rPr>
        <w:t xml:space="preserve">pokud je dotace poskytnuta na celoroční činnost nebo se podle tohoto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>rozhodnutí projekt koná i v prosinci roku 2018,</w:t>
      </w:r>
    </w:p>
    <w:p w:rsidR="00326DD4" w:rsidRPr="00326DD4" w:rsidRDefault="00326DD4" w:rsidP="00326DD4">
      <w:pPr>
        <w:numPr>
          <w:ilvl w:val="0"/>
          <w:numId w:val="4"/>
        </w:numPr>
        <w:tabs>
          <w:tab w:val="clear" w:pos="432"/>
          <w:tab w:val="decimal" w:pos="1080"/>
        </w:tabs>
        <w:spacing w:before="36"/>
        <w:ind w:left="288" w:right="72" w:firstLine="360"/>
        <w:rPr>
          <w:rFonts w:ascii="Times New Roman" w:hAnsi="Times New Roman"/>
          <w:color w:val="000000"/>
          <w:spacing w:val="-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do </w:t>
      </w:r>
      <w:r w:rsidRPr="00326DD4"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15. 1. 2019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ve všech ostatních případech (tj. pokud se projekt koná v období 1. 7. </w:t>
      </w:r>
      <w:r w:rsidRPr="00326DD4">
        <w:rPr>
          <w:rFonts w:ascii="Times New Roman" w:hAnsi="Times New Roman"/>
          <w:color w:val="000000"/>
          <w:spacing w:val="-4"/>
          <w:sz w:val="23"/>
          <w:lang w:val="cs-CZ"/>
        </w:rPr>
        <w:t>— 30. 11. 2018).</w:t>
      </w:r>
    </w:p>
    <w:p w:rsidR="00326DD4" w:rsidRPr="00326DD4" w:rsidRDefault="00326DD4" w:rsidP="00326DD4">
      <w:pPr>
        <w:ind w:left="288" w:right="72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Přitom je příjemce povinen dodržovat </w:t>
      </w:r>
      <w:r w:rsidRPr="00326DD4"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pokyny pro vyúčtování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a použít příslušné formuláře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 xml:space="preserve">pro oblast divadla, tance, hudby, či výtvarného umění zveřejněné na webových stránkách Ministerstva kultury: </w:t>
      </w:r>
      <w:hyperlink r:id="rId6">
        <w:r w:rsidRPr="00326DD4">
          <w:rPr>
            <w:rFonts w:ascii="Times New Roman" w:hAnsi="Times New Roman"/>
            <w:color w:val="0000FF"/>
            <w:spacing w:val="-2"/>
            <w:sz w:val="23"/>
            <w:u w:val="single"/>
            <w:lang w:val="cs-CZ"/>
          </w:rPr>
          <w:t>http://www.inkcr.cz</w:t>
        </w:r>
      </w:hyperlink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 xml:space="preserve"> v rubrice Profesionální umění;</w:t>
      </w:r>
    </w:p>
    <w:p w:rsidR="00326DD4" w:rsidRPr="00326DD4" w:rsidRDefault="00326DD4" w:rsidP="00326DD4">
      <w:pPr>
        <w:spacing w:before="72"/>
        <w:rPr>
          <w:rFonts w:ascii="Times New Roman" w:hAnsi="Times New Roman"/>
          <w:color w:val="000000"/>
          <w:spacing w:val="-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14. je povinen dodržet </w:t>
      </w:r>
      <w:r w:rsidRPr="00326DD4"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strukturu rozpisu dotace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a tato </w:t>
      </w:r>
      <w:r w:rsidRPr="00326DD4"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pravidla pro její použití:</w:t>
      </w:r>
    </w:p>
    <w:p w:rsidR="00326DD4" w:rsidRPr="00326DD4" w:rsidRDefault="00326DD4" w:rsidP="00326DD4">
      <w:pPr>
        <w:numPr>
          <w:ilvl w:val="0"/>
          <w:numId w:val="5"/>
        </w:numPr>
        <w:tabs>
          <w:tab w:val="clear" w:pos="360"/>
          <w:tab w:val="decimal" w:pos="936"/>
        </w:tabs>
        <w:ind w:left="936" w:right="72" w:hanging="360"/>
        <w:jc w:val="both"/>
        <w:rPr>
          <w:rFonts w:ascii="Times New Roman" w:hAnsi="Times New Roman"/>
          <w:color w:val="000000"/>
          <w:spacing w:val="-5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5"/>
          <w:sz w:val="23"/>
          <w:lang w:val="cs-CZ"/>
        </w:rPr>
        <w:t xml:space="preserve">příjemce nesmí z dotace hradit výdaje na mzdy a platy, pohoštění a občerstvení, dary, bankovní poplatky, pohonné hmoty, náklady na vyškolení personálu nebo zpracování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projektu, investiční náklady, náklady na účetní a právní služby, náklady na změnu </w:t>
      </w:r>
      <w:r w:rsidRPr="00326DD4">
        <w:rPr>
          <w:rFonts w:ascii="Times New Roman" w:hAnsi="Times New Roman"/>
          <w:color w:val="000000"/>
          <w:spacing w:val="2"/>
          <w:sz w:val="23"/>
          <w:lang w:val="cs-CZ"/>
        </w:rPr>
        <w:t xml:space="preserve">stavby a údržbu stavby, náklady na revizní a kontrolní činnost podle předpisů o </w:t>
      </w:r>
      <w:r w:rsidRPr="00326DD4">
        <w:rPr>
          <w:rFonts w:ascii="Times New Roman" w:hAnsi="Times New Roman"/>
          <w:color w:val="000000"/>
          <w:sz w:val="23"/>
          <w:lang w:val="cs-CZ"/>
        </w:rPr>
        <w:t>požární ochraně a náklady související s udílením oborových ocenění,</w:t>
      </w:r>
    </w:p>
    <w:p w:rsidR="00326DD4" w:rsidRPr="00326DD4" w:rsidRDefault="00326DD4" w:rsidP="00326DD4">
      <w:pPr>
        <w:numPr>
          <w:ilvl w:val="0"/>
          <w:numId w:val="5"/>
        </w:numPr>
        <w:tabs>
          <w:tab w:val="clear" w:pos="360"/>
          <w:tab w:val="decimal" w:pos="936"/>
        </w:tabs>
        <w:spacing w:before="72"/>
        <w:ind w:left="936" w:right="72" w:hanging="360"/>
        <w:jc w:val="both"/>
        <w:rPr>
          <w:rFonts w:ascii="Times New Roman" w:hAnsi="Times New Roman"/>
          <w:color w:val="000000"/>
          <w:spacing w:val="5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5"/>
          <w:sz w:val="23"/>
          <w:lang w:val="cs-CZ"/>
        </w:rPr>
        <w:t xml:space="preserve">příjemce může z dotace hradit odměny z dohod o pracovní činnosti a dohod o </w:t>
      </w:r>
      <w:r w:rsidRPr="00326DD4">
        <w:rPr>
          <w:rFonts w:ascii="Times New Roman" w:hAnsi="Times New Roman"/>
          <w:color w:val="000000"/>
          <w:spacing w:val="-3"/>
          <w:sz w:val="23"/>
          <w:lang w:val="cs-CZ"/>
        </w:rPr>
        <w:t xml:space="preserve">provedení práce (ostatní osobní náklady — 00N), může též hradit cestovní náhrady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vyplácené podle zákona č. 262/2006 Sb., zákoník práce, v platném znění, pokud to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>dohoda o provedení práce nebo dohoda o pracovní činnosti umožňuje,</w:t>
      </w:r>
    </w:p>
    <w:p w:rsidR="00326DD4" w:rsidRPr="00326DD4" w:rsidRDefault="00326DD4" w:rsidP="00326DD4">
      <w:pPr>
        <w:numPr>
          <w:ilvl w:val="0"/>
          <w:numId w:val="5"/>
        </w:numPr>
        <w:tabs>
          <w:tab w:val="clear" w:pos="360"/>
          <w:tab w:val="decimal" w:pos="936"/>
        </w:tabs>
        <w:spacing w:before="36"/>
        <w:ind w:left="936" w:right="72" w:hanging="360"/>
        <w:jc w:val="both"/>
        <w:rPr>
          <w:rFonts w:ascii="Times New Roman" w:hAnsi="Times New Roman"/>
          <w:color w:val="000000"/>
          <w:spacing w:val="-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pokud je příjemce </w:t>
      </w:r>
      <w:r w:rsidRPr="00326DD4"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obecně prospěšnou společností nebo zapsaným ústavem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a dotace </w:t>
      </w:r>
      <w:r w:rsidRPr="00326DD4">
        <w:rPr>
          <w:rFonts w:ascii="Times New Roman" w:hAnsi="Times New Roman"/>
          <w:color w:val="000000"/>
          <w:spacing w:val="-4"/>
          <w:sz w:val="23"/>
          <w:lang w:val="cs-CZ"/>
        </w:rPr>
        <w:t xml:space="preserve">je mu poskytnuta na </w:t>
      </w:r>
      <w:r w:rsidRPr="00326DD4">
        <w:rPr>
          <w:rFonts w:ascii="Times New Roman" w:hAnsi="Times New Roman"/>
          <w:color w:val="000000"/>
          <w:spacing w:val="-4"/>
          <w:w w:val="105"/>
          <w:sz w:val="23"/>
          <w:lang w:val="cs-CZ"/>
        </w:rPr>
        <w:t xml:space="preserve">celoroční činnost, </w:t>
      </w:r>
      <w:r w:rsidRPr="00326DD4">
        <w:rPr>
          <w:rFonts w:ascii="Times New Roman" w:hAnsi="Times New Roman"/>
          <w:color w:val="000000"/>
          <w:spacing w:val="-4"/>
          <w:sz w:val="23"/>
          <w:lang w:val="cs-CZ"/>
        </w:rPr>
        <w:t xml:space="preserve">může hradit z dotace mzdy a povinné odvody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hrazené zaměstnavatelem, a to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maximálně do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výše 15 % dotace, v případě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periodik do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výše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>30% dotace,</w:t>
      </w:r>
    </w:p>
    <w:p w:rsidR="00326DD4" w:rsidRPr="00326DD4" w:rsidRDefault="00326DD4" w:rsidP="00326DD4">
      <w:pPr>
        <w:numPr>
          <w:ilvl w:val="0"/>
          <w:numId w:val="5"/>
        </w:numPr>
        <w:tabs>
          <w:tab w:val="clear" w:pos="360"/>
          <w:tab w:val="decimal" w:pos="936"/>
        </w:tabs>
        <w:spacing w:before="72"/>
        <w:ind w:left="936" w:right="72" w:hanging="360"/>
        <w:rPr>
          <w:rFonts w:ascii="Times New Roman" w:hAnsi="Times New Roman"/>
          <w:color w:val="000000"/>
          <w:sz w:val="23"/>
          <w:lang w:val="cs-CZ"/>
        </w:rPr>
      </w:pPr>
      <w:r w:rsidRPr="00326DD4">
        <w:rPr>
          <w:rFonts w:ascii="Times New Roman" w:hAnsi="Times New Roman"/>
          <w:color w:val="000000"/>
          <w:sz w:val="23"/>
          <w:lang w:val="cs-CZ"/>
        </w:rPr>
        <w:t xml:space="preserve">příjemce může z dotace hradit náklady na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zahraniční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cesty, pouze pokud jsou tyto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cesty </w:t>
      </w:r>
      <w:r w:rsidRPr="00326DD4"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součástí projektu </w:t>
      </w: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>a nezbytnou podmínkou jeho realizace.</w:t>
      </w:r>
    </w:p>
    <w:p w:rsidR="00326DD4" w:rsidRPr="00326DD4" w:rsidRDefault="00326DD4" w:rsidP="00326DD4">
      <w:pPr>
        <w:spacing w:before="36"/>
        <w:ind w:left="288" w:right="72" w:hanging="288"/>
        <w:jc w:val="both"/>
        <w:rPr>
          <w:rFonts w:ascii="Times New Roman" w:hAnsi="Times New Roman"/>
          <w:color w:val="000000"/>
          <w:spacing w:val="2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2"/>
          <w:sz w:val="23"/>
          <w:lang w:val="cs-CZ"/>
        </w:rPr>
        <w:t xml:space="preserve">15. může z dotace hradit </w:t>
      </w:r>
      <w:r w:rsidRPr="00326DD4"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nepřímé (režijní) náklady </w:t>
      </w:r>
      <w:r w:rsidRPr="00326DD4">
        <w:rPr>
          <w:rFonts w:ascii="Times New Roman" w:hAnsi="Times New Roman"/>
          <w:color w:val="000000"/>
          <w:spacing w:val="2"/>
          <w:sz w:val="23"/>
          <w:lang w:val="cs-CZ"/>
        </w:rPr>
        <w:t xml:space="preserve">(např. energie, nájem kancelářských </w:t>
      </w:r>
      <w:r w:rsidRPr="00326DD4">
        <w:rPr>
          <w:rFonts w:ascii="Times New Roman" w:hAnsi="Times New Roman"/>
          <w:color w:val="000000"/>
          <w:spacing w:val="3"/>
          <w:sz w:val="23"/>
          <w:lang w:val="cs-CZ"/>
        </w:rPr>
        <w:t xml:space="preserve">prostor, telefony, faxy, poštovné, poplatky za internet), </w:t>
      </w:r>
      <w:r w:rsidRPr="00326DD4"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maximálně však do </w:t>
      </w:r>
      <w:r w:rsidRPr="00326DD4">
        <w:rPr>
          <w:rFonts w:ascii="Times New Roman" w:hAnsi="Times New Roman"/>
          <w:color w:val="000000"/>
          <w:spacing w:val="3"/>
          <w:sz w:val="23"/>
          <w:lang w:val="cs-CZ"/>
        </w:rPr>
        <w:t xml:space="preserve">výše </w:t>
      </w:r>
      <w:r w:rsidRPr="00326DD4"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10%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>dotace;</w:t>
      </w:r>
    </w:p>
    <w:p w:rsidR="00326DD4" w:rsidRPr="00326DD4" w:rsidRDefault="00326DD4" w:rsidP="00326DD4">
      <w:pPr>
        <w:spacing w:before="36"/>
        <w:ind w:left="288" w:right="72" w:hanging="288"/>
        <w:jc w:val="both"/>
        <w:rPr>
          <w:rFonts w:ascii="Times New Roman" w:hAnsi="Times New Roman"/>
          <w:color w:val="000000"/>
          <w:sz w:val="23"/>
          <w:lang w:val="cs-CZ"/>
        </w:rPr>
      </w:pPr>
      <w:r w:rsidRPr="00326DD4">
        <w:rPr>
          <w:rFonts w:ascii="Times New Roman" w:hAnsi="Times New Roman"/>
          <w:color w:val="000000"/>
          <w:sz w:val="23"/>
          <w:lang w:val="cs-CZ"/>
        </w:rPr>
        <w:t xml:space="preserve">16.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nesmí převádět dotaci na jiné právnické či fyzické osoby,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pokud se nejedná o přímou </w:t>
      </w:r>
      <w:r w:rsidRPr="00326DD4">
        <w:rPr>
          <w:rFonts w:ascii="Times New Roman" w:hAnsi="Times New Roman"/>
          <w:color w:val="000000"/>
          <w:spacing w:val="-4"/>
          <w:sz w:val="23"/>
          <w:lang w:val="cs-CZ"/>
        </w:rPr>
        <w:t xml:space="preserve">úhradu výdajů (např. nájemné prostor, tisk propagačních materiálů, honoráře, náklady na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>zprostředkování uměleckého výkonu apod.) spojených s realizací projektu; prvotní účetní doklady musí projít účetnictvím příjemce dotace;</w:t>
      </w:r>
    </w:p>
    <w:p w:rsidR="00326DD4" w:rsidRPr="00326DD4" w:rsidRDefault="00326DD4" w:rsidP="00326DD4">
      <w:pPr>
        <w:spacing w:before="36"/>
        <w:ind w:left="288" w:right="72" w:hanging="288"/>
        <w:jc w:val="both"/>
        <w:rPr>
          <w:rFonts w:ascii="Times New Roman" w:hAnsi="Times New Roman"/>
          <w:color w:val="000000"/>
          <w:spacing w:val="3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3"/>
          <w:sz w:val="23"/>
          <w:lang w:val="cs-CZ"/>
        </w:rPr>
        <w:t xml:space="preserve">17. je povinen současně s vyúčtováním zaslat Ministerstvu kultury písemnou </w:t>
      </w:r>
      <w:r w:rsidRPr="00326DD4"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závěrečnou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zprávu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(slovní zhodnocení) o realizaci a výsledcích projektu, přičemž je povinen použít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 xml:space="preserve">příslušné </w:t>
      </w:r>
      <w:r w:rsidRPr="00326DD4"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formuláře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 xml:space="preserve">pro oblast divadla, tance, hudby, či výtvarného umění zveřejněné na </w:t>
      </w:r>
      <w:r w:rsidRPr="00326DD4">
        <w:rPr>
          <w:rFonts w:ascii="Times New Roman" w:hAnsi="Times New Roman"/>
          <w:color w:val="000000"/>
          <w:spacing w:val="2"/>
          <w:sz w:val="23"/>
          <w:lang w:val="cs-CZ"/>
        </w:rPr>
        <w:t xml:space="preserve">webových stránkách Ministerstva kultury: </w:t>
      </w:r>
      <w:hyperlink r:id="rId7">
        <w:r w:rsidRPr="00326DD4">
          <w:rPr>
            <w:rFonts w:ascii="Times New Roman" w:hAnsi="Times New Roman"/>
            <w:color w:val="0000FF"/>
            <w:spacing w:val="2"/>
            <w:sz w:val="23"/>
            <w:u w:val="single"/>
            <w:lang w:val="cs-CZ"/>
          </w:rPr>
          <w:t>http://www.mkcr.cz</w:t>
        </w:r>
      </w:hyperlink>
      <w:r w:rsidRPr="00326DD4">
        <w:rPr>
          <w:rFonts w:ascii="Times New Roman" w:hAnsi="Times New Roman"/>
          <w:color w:val="000000"/>
          <w:spacing w:val="2"/>
          <w:sz w:val="23"/>
          <w:lang w:val="cs-CZ"/>
        </w:rPr>
        <w:t xml:space="preserve"> v rubrice Profesionální </w:t>
      </w:r>
      <w:r w:rsidRPr="00326DD4">
        <w:rPr>
          <w:rFonts w:ascii="Times New Roman" w:hAnsi="Times New Roman"/>
          <w:color w:val="000000"/>
          <w:sz w:val="23"/>
          <w:lang w:val="cs-CZ"/>
        </w:rPr>
        <w:t>umění;</w:t>
      </w:r>
    </w:p>
    <w:p w:rsidR="00326DD4" w:rsidRPr="00326DD4" w:rsidRDefault="00326DD4" w:rsidP="00326DD4">
      <w:pPr>
        <w:spacing w:before="72"/>
        <w:ind w:left="288" w:right="72" w:hanging="288"/>
        <w:jc w:val="both"/>
        <w:rPr>
          <w:rFonts w:ascii="Times New Roman" w:hAnsi="Times New Roman"/>
          <w:color w:val="000000"/>
          <w:sz w:val="23"/>
          <w:lang w:val="cs-CZ"/>
        </w:rPr>
      </w:pPr>
      <w:r w:rsidRPr="00326DD4">
        <w:rPr>
          <w:rFonts w:ascii="Times New Roman" w:hAnsi="Times New Roman"/>
          <w:color w:val="000000"/>
          <w:sz w:val="23"/>
          <w:lang w:val="cs-CZ"/>
        </w:rPr>
        <w:t xml:space="preserve">18. pokud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vrací dotaci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nebo její část během roku 2018, je povinen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do 15 dnů od oznámení, že se projekt neuskuteční </w:t>
      </w:r>
      <w:r w:rsidRPr="00326DD4">
        <w:rPr>
          <w:rFonts w:ascii="Times New Roman" w:hAnsi="Times New Roman"/>
          <w:color w:val="000000"/>
          <w:sz w:val="23"/>
          <w:lang w:val="cs-CZ"/>
        </w:rPr>
        <w:t>(bod 6) nebo je realizován jen částečně (bod 5):</w:t>
      </w:r>
    </w:p>
    <w:p w:rsidR="00326DD4" w:rsidRPr="00326DD4" w:rsidRDefault="00326DD4" w:rsidP="00326DD4">
      <w:pPr>
        <w:numPr>
          <w:ilvl w:val="0"/>
          <w:numId w:val="6"/>
        </w:numPr>
        <w:tabs>
          <w:tab w:val="clear" w:pos="360"/>
          <w:tab w:val="decimal" w:pos="936"/>
        </w:tabs>
        <w:spacing w:before="36"/>
        <w:ind w:left="936" w:right="72" w:hanging="360"/>
        <w:jc w:val="both"/>
        <w:rPr>
          <w:rFonts w:ascii="Times New Roman" w:hAnsi="Times New Roman"/>
          <w:color w:val="000000"/>
          <w:spacing w:val="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1"/>
          <w:sz w:val="23"/>
          <w:lang w:val="cs-CZ"/>
        </w:rPr>
        <w:t xml:space="preserve">vrátit dotaci nebo její část na výdajový účet Ministerstva kultury, ze kterého byla </w:t>
      </w:r>
      <w:r w:rsidRPr="00326DD4">
        <w:rPr>
          <w:rFonts w:ascii="Times New Roman" w:hAnsi="Times New Roman"/>
          <w:color w:val="000000"/>
          <w:spacing w:val="4"/>
          <w:sz w:val="23"/>
          <w:lang w:val="cs-CZ"/>
        </w:rPr>
        <w:t xml:space="preserve">dotace uvolněna (obce a organizace zřízené obcí nebo krajem prostřednictvím </w:t>
      </w:r>
      <w:r w:rsidRPr="00326DD4">
        <w:rPr>
          <w:rFonts w:ascii="Times New Roman" w:hAnsi="Times New Roman"/>
          <w:color w:val="000000"/>
          <w:spacing w:val="-6"/>
          <w:sz w:val="23"/>
          <w:lang w:val="cs-CZ"/>
        </w:rPr>
        <w:t>krajského úřadu),</w:t>
      </w:r>
    </w:p>
    <w:p w:rsidR="00326DD4" w:rsidRPr="00326DD4" w:rsidRDefault="00326DD4" w:rsidP="00326DD4">
      <w:pPr>
        <w:numPr>
          <w:ilvl w:val="0"/>
          <w:numId w:val="6"/>
        </w:numPr>
        <w:tabs>
          <w:tab w:val="clear" w:pos="360"/>
          <w:tab w:val="decimal" w:pos="936"/>
        </w:tabs>
        <w:spacing w:before="36"/>
        <w:ind w:left="936" w:right="72" w:hanging="360"/>
        <w:rPr>
          <w:rFonts w:ascii="Times New Roman" w:hAnsi="Times New Roman"/>
          <w:color w:val="000000"/>
          <w:spacing w:val="-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předložit Ministerstvu kultury kopii příkazu k úhradě prokazujícího vrácení dotace </w:t>
      </w:r>
      <w:r w:rsidRPr="00326DD4">
        <w:rPr>
          <w:rFonts w:ascii="Times New Roman" w:hAnsi="Times New Roman"/>
          <w:color w:val="000000"/>
          <w:spacing w:val="-2"/>
          <w:sz w:val="23"/>
          <w:lang w:val="cs-CZ"/>
        </w:rPr>
        <w:t>nebo její části a uvést na něm název projektu,</w:t>
      </w:r>
    </w:p>
    <w:p w:rsidR="00326DD4" w:rsidRPr="00326DD4" w:rsidRDefault="00326DD4" w:rsidP="00326DD4">
      <w:pPr>
        <w:numPr>
          <w:ilvl w:val="0"/>
          <w:numId w:val="6"/>
        </w:numPr>
        <w:tabs>
          <w:tab w:val="clear" w:pos="360"/>
          <w:tab w:val="decimal" w:pos="936"/>
        </w:tabs>
        <w:spacing w:before="36"/>
        <w:ind w:left="936" w:right="72" w:hanging="360"/>
        <w:rPr>
          <w:rFonts w:ascii="Times New Roman" w:hAnsi="Times New Roman"/>
          <w:color w:val="000000"/>
          <w:spacing w:val="-1"/>
          <w:sz w:val="23"/>
          <w:lang w:val="cs-CZ"/>
        </w:rPr>
      </w:pPr>
      <w:r w:rsidRPr="00326DD4">
        <w:rPr>
          <w:rFonts w:ascii="Times New Roman" w:hAnsi="Times New Roman"/>
          <w:color w:val="000000"/>
          <w:spacing w:val="-1"/>
          <w:sz w:val="23"/>
          <w:lang w:val="cs-CZ"/>
        </w:rPr>
        <w:t xml:space="preserve">pokud vrací pouze část dotace, předložit Ministerstvu kultury finanční vypořádání </w:t>
      </w:r>
      <w:r w:rsidRPr="00326DD4">
        <w:rPr>
          <w:rFonts w:ascii="Times New Roman" w:hAnsi="Times New Roman"/>
          <w:color w:val="000000"/>
          <w:sz w:val="23"/>
          <w:lang w:val="cs-CZ"/>
        </w:rPr>
        <w:t>dotace.</w:t>
      </w:r>
    </w:p>
    <w:p w:rsidR="00326DD4" w:rsidRPr="002A5F29" w:rsidRDefault="00326DD4" w:rsidP="00326DD4">
      <w:pPr>
        <w:ind w:left="648" w:right="72"/>
        <w:rPr>
          <w:rFonts w:ascii="Times New Roman" w:hAnsi="Times New Roman"/>
          <w:spacing w:val="5"/>
          <w:sz w:val="24"/>
          <w:lang w:val="cs-CZ"/>
        </w:rPr>
      </w:pPr>
      <w:r w:rsidRPr="00326DD4">
        <w:rPr>
          <w:rFonts w:ascii="Times New Roman" w:hAnsi="Times New Roman"/>
          <w:color w:val="000000"/>
          <w:sz w:val="23"/>
          <w:lang w:val="cs-CZ"/>
        </w:rPr>
        <w:t xml:space="preserve">19. pokud </w:t>
      </w:r>
      <w:r w:rsidRPr="00326DD4">
        <w:rPr>
          <w:rFonts w:ascii="Times New Roman" w:hAnsi="Times New Roman"/>
          <w:color w:val="000000"/>
          <w:w w:val="105"/>
          <w:sz w:val="23"/>
          <w:lang w:val="cs-CZ"/>
        </w:rPr>
        <w:t xml:space="preserve">vrací dotaci nebo její část až v období po 1. 1. 2019, </w:t>
      </w:r>
      <w:r w:rsidRPr="00326DD4">
        <w:rPr>
          <w:rFonts w:ascii="Times New Roman" w:hAnsi="Times New Roman"/>
          <w:color w:val="000000"/>
          <w:sz w:val="23"/>
          <w:lang w:val="cs-CZ"/>
        </w:rPr>
        <w:t xml:space="preserve">je povinen vrátit ji nejpozději </w:t>
      </w:r>
      <w:r w:rsidRPr="00326DD4">
        <w:rPr>
          <w:rFonts w:ascii="Times New Roman" w:hAnsi="Times New Roman"/>
          <w:color w:val="000000"/>
          <w:spacing w:val="1"/>
          <w:sz w:val="23"/>
          <w:lang w:val="cs-CZ"/>
        </w:rPr>
        <w:t xml:space="preserve">do 15. února 2019 na depozitní účet Ministerstva kultury č. 6015-3424001/0710 (obce a </w:t>
      </w:r>
      <w:r w:rsidRPr="00326DD4">
        <w:rPr>
          <w:rFonts w:ascii="Times New Roman" w:hAnsi="Times New Roman"/>
          <w:color w:val="000000"/>
          <w:spacing w:val="12"/>
          <w:sz w:val="23"/>
          <w:lang w:val="cs-CZ"/>
        </w:rPr>
        <w:t xml:space="preserve">organizace zřízené obcí nebo krajem prostřednictvím krajského úřadu) v souladu </w:t>
      </w:r>
      <w:r w:rsidRPr="00326DD4">
        <w:rPr>
          <w:rFonts w:ascii="Times New Roman" w:hAnsi="Times New Roman"/>
          <w:color w:val="000000"/>
          <w:spacing w:val="-4"/>
          <w:sz w:val="23"/>
          <w:lang w:val="cs-CZ"/>
        </w:rPr>
        <w:t xml:space="preserve">s vyhláškou č. 367/2015 Sb., o zásadách a lhůtách finančního vypořádání vztahů se státním </w:t>
      </w:r>
      <w:r w:rsidRPr="00326DD4">
        <w:rPr>
          <w:rFonts w:ascii="Times New Roman" w:hAnsi="Times New Roman"/>
          <w:color w:val="000000"/>
          <w:spacing w:val="11"/>
          <w:sz w:val="23"/>
          <w:lang w:val="cs-CZ"/>
        </w:rPr>
        <w:t>rozpočtem, státními finančními aktivy a Národním fondem (vyhláška o finančním</w:t>
      </w:r>
      <w:r>
        <w:rPr>
          <w:rFonts w:ascii="Times New Roman" w:hAnsi="Times New Roman"/>
          <w:color w:val="000000"/>
          <w:spacing w:val="11"/>
          <w:sz w:val="23"/>
          <w:lang w:val="cs-CZ"/>
        </w:rPr>
        <w:t xml:space="preserve"> </w:t>
      </w:r>
      <w:r w:rsidRPr="002A5F29">
        <w:rPr>
          <w:rFonts w:ascii="Times New Roman" w:hAnsi="Times New Roman"/>
          <w:spacing w:val="5"/>
          <w:sz w:val="24"/>
          <w:lang w:val="cs-CZ"/>
        </w:rPr>
        <w:t xml:space="preserve">vypořádání), a je povinen předložit Ministerstvu kultury kopii příkazu k úhradě </w:t>
      </w:r>
      <w:r w:rsidRPr="002A5F29">
        <w:rPr>
          <w:rFonts w:ascii="Times New Roman" w:hAnsi="Times New Roman"/>
          <w:spacing w:val="-5"/>
          <w:sz w:val="24"/>
          <w:lang w:val="cs-CZ"/>
        </w:rPr>
        <w:t>prokazujícího vrácení dotace nebo její části a uvést na něm název projektu;</w:t>
      </w:r>
    </w:p>
    <w:p w:rsidR="00326DD4" w:rsidRPr="002A5F29" w:rsidRDefault="00326DD4" w:rsidP="00326DD4">
      <w:pPr>
        <w:numPr>
          <w:ilvl w:val="0"/>
          <w:numId w:val="7"/>
        </w:numPr>
        <w:tabs>
          <w:tab w:val="clear" w:pos="360"/>
          <w:tab w:val="decimal" w:pos="720"/>
        </w:tabs>
        <w:ind w:right="72" w:hanging="360"/>
        <w:jc w:val="both"/>
        <w:rPr>
          <w:rFonts w:ascii="Times New Roman" w:hAnsi="Times New Roman"/>
          <w:spacing w:val="-2"/>
          <w:sz w:val="24"/>
          <w:lang w:val="cs-CZ"/>
        </w:rPr>
      </w:pPr>
      <w:r w:rsidRPr="002A5F29">
        <w:rPr>
          <w:rFonts w:ascii="Times New Roman" w:hAnsi="Times New Roman"/>
          <w:spacing w:val="-2"/>
          <w:sz w:val="24"/>
          <w:lang w:val="cs-CZ"/>
        </w:rPr>
        <w:t xml:space="preserve">je povinen, pokud jej k tomu Ministerstvo kultury vyzve, předložit fotokopie účetních </w:t>
      </w:r>
      <w:r w:rsidRPr="002A5F29">
        <w:rPr>
          <w:rFonts w:ascii="Times New Roman" w:hAnsi="Times New Roman"/>
          <w:spacing w:val="-7"/>
          <w:sz w:val="24"/>
          <w:lang w:val="cs-CZ"/>
        </w:rPr>
        <w:t>dokladů prokazujících použití dotace a účetních dokladů prokazujících použití finančních prostředků vynaložených na projekt z jiných zdrojů;</w:t>
      </w:r>
    </w:p>
    <w:p w:rsidR="00326DD4" w:rsidRPr="002A5F29" w:rsidRDefault="00326DD4" w:rsidP="00326DD4">
      <w:pPr>
        <w:numPr>
          <w:ilvl w:val="0"/>
          <w:numId w:val="7"/>
        </w:numPr>
        <w:tabs>
          <w:tab w:val="clear" w:pos="360"/>
          <w:tab w:val="decimal" w:pos="720"/>
        </w:tabs>
        <w:ind w:right="72" w:hanging="360"/>
        <w:jc w:val="both"/>
        <w:rPr>
          <w:rFonts w:ascii="Times New Roman" w:hAnsi="Times New Roman"/>
          <w:spacing w:val="3"/>
          <w:sz w:val="24"/>
          <w:lang w:val="cs-CZ"/>
        </w:rPr>
      </w:pPr>
      <w:r w:rsidRPr="002A5F29">
        <w:rPr>
          <w:rFonts w:ascii="Times New Roman" w:hAnsi="Times New Roman"/>
          <w:spacing w:val="3"/>
          <w:sz w:val="24"/>
          <w:lang w:val="cs-CZ"/>
        </w:rPr>
        <w:t xml:space="preserve">je povinen, pokud jej k tomu Ministerstvo kultury vyzve, předložit roční zprávu o </w:t>
      </w:r>
      <w:r w:rsidRPr="002A5F29">
        <w:rPr>
          <w:rFonts w:ascii="Times New Roman" w:hAnsi="Times New Roman"/>
          <w:spacing w:val="-6"/>
          <w:sz w:val="24"/>
          <w:lang w:val="cs-CZ"/>
        </w:rPr>
        <w:t xml:space="preserve">svých aktivitách v rozpočtovém období, v němž mu byla dotace poskytnuta. V roční zprávě </w:t>
      </w:r>
      <w:r w:rsidRPr="002A5F29">
        <w:rPr>
          <w:rFonts w:ascii="Times New Roman" w:hAnsi="Times New Roman"/>
          <w:spacing w:val="-10"/>
          <w:sz w:val="24"/>
          <w:lang w:val="cs-CZ"/>
        </w:rPr>
        <w:t xml:space="preserve">musí být uveden přehled všech akcí v daném kalendářním roce, přehled o jejich nákladech a </w:t>
      </w:r>
      <w:r w:rsidRPr="002A5F29">
        <w:rPr>
          <w:rFonts w:ascii="Times New Roman" w:hAnsi="Times New Roman"/>
          <w:spacing w:val="-5"/>
          <w:sz w:val="24"/>
          <w:lang w:val="cs-CZ"/>
        </w:rPr>
        <w:t xml:space="preserve">výnosech, údaje o dotacích od orgánů státní správy a samosprávy, v případě spolků počet </w:t>
      </w:r>
      <w:r w:rsidRPr="002A5F29">
        <w:rPr>
          <w:rFonts w:ascii="Times New Roman" w:hAnsi="Times New Roman"/>
          <w:sz w:val="24"/>
          <w:lang w:val="cs-CZ"/>
        </w:rPr>
        <w:t>členů;</w:t>
      </w:r>
    </w:p>
    <w:p w:rsidR="00326DD4" w:rsidRPr="002A5F29" w:rsidRDefault="00326DD4" w:rsidP="00326DD4">
      <w:pPr>
        <w:numPr>
          <w:ilvl w:val="0"/>
          <w:numId w:val="7"/>
        </w:numPr>
        <w:tabs>
          <w:tab w:val="clear" w:pos="360"/>
          <w:tab w:val="decimal" w:pos="720"/>
        </w:tabs>
        <w:ind w:hanging="360"/>
        <w:jc w:val="both"/>
        <w:rPr>
          <w:rFonts w:ascii="Times New Roman" w:hAnsi="Times New Roman"/>
          <w:spacing w:val="-1"/>
          <w:sz w:val="24"/>
          <w:lang w:val="cs-CZ"/>
        </w:rPr>
      </w:pPr>
      <w:r w:rsidRPr="002A5F29">
        <w:rPr>
          <w:rFonts w:ascii="Times New Roman" w:hAnsi="Times New Roman"/>
          <w:spacing w:val="-1"/>
          <w:sz w:val="24"/>
          <w:lang w:val="cs-CZ"/>
        </w:rPr>
        <w:lastRenderedPageBreak/>
        <w:t>před případným zánikem je povinen přednostně vypořádat vztahy se státním rozpočtem;</w:t>
      </w:r>
    </w:p>
    <w:p w:rsidR="00326DD4" w:rsidRPr="002A5F29" w:rsidRDefault="00326DD4" w:rsidP="00326DD4">
      <w:pPr>
        <w:numPr>
          <w:ilvl w:val="0"/>
          <w:numId w:val="7"/>
        </w:numPr>
        <w:tabs>
          <w:tab w:val="clear" w:pos="360"/>
          <w:tab w:val="decimal" w:pos="720"/>
        </w:tabs>
        <w:ind w:right="72" w:hanging="360"/>
        <w:rPr>
          <w:rFonts w:ascii="Times New Roman" w:hAnsi="Times New Roman"/>
          <w:sz w:val="24"/>
          <w:lang w:val="cs-CZ"/>
        </w:rPr>
      </w:pPr>
      <w:r w:rsidRPr="002A5F29">
        <w:rPr>
          <w:rFonts w:ascii="Times New Roman" w:hAnsi="Times New Roman"/>
          <w:sz w:val="24"/>
          <w:lang w:val="cs-CZ"/>
        </w:rPr>
        <w:t xml:space="preserve">je povinen umožnit Ministerstvu kultury provedení kontroly dodržování podmínek </w:t>
      </w:r>
      <w:r w:rsidRPr="002A5F29">
        <w:rPr>
          <w:rFonts w:ascii="Times New Roman" w:hAnsi="Times New Roman"/>
          <w:spacing w:val="-6"/>
          <w:sz w:val="24"/>
          <w:lang w:val="cs-CZ"/>
        </w:rPr>
        <w:t>stanovených tímto rozhodnutím a poskytnout mu k tomu nezbytnou součinnost;</w:t>
      </w:r>
    </w:p>
    <w:p w:rsidR="00326DD4" w:rsidRPr="002A5F29" w:rsidRDefault="00326DD4" w:rsidP="00326DD4">
      <w:pPr>
        <w:numPr>
          <w:ilvl w:val="0"/>
          <w:numId w:val="7"/>
        </w:numPr>
        <w:tabs>
          <w:tab w:val="clear" w:pos="360"/>
          <w:tab w:val="decimal" w:pos="720"/>
        </w:tabs>
        <w:ind w:right="72" w:hanging="360"/>
        <w:rPr>
          <w:rFonts w:ascii="Times New Roman" w:hAnsi="Times New Roman"/>
          <w:spacing w:val="-5"/>
          <w:sz w:val="24"/>
          <w:lang w:val="cs-CZ"/>
        </w:rPr>
      </w:pPr>
      <w:r w:rsidRPr="002A5F29">
        <w:rPr>
          <w:rFonts w:ascii="Times New Roman" w:hAnsi="Times New Roman"/>
          <w:spacing w:val="-5"/>
          <w:sz w:val="24"/>
          <w:lang w:val="cs-CZ"/>
        </w:rPr>
        <w:t>je povinen strpět, že Ministerstvo kultury ze závažných důvodů, zejména při důvodném podezření na porušení rozpočtové kázně příjemcem, pozastaví proplácení dotace;</w:t>
      </w:r>
    </w:p>
    <w:p w:rsidR="00326DD4" w:rsidRPr="002A5F29" w:rsidRDefault="00326DD4" w:rsidP="00326DD4">
      <w:pPr>
        <w:spacing w:before="288"/>
        <w:ind w:right="72"/>
        <w:jc w:val="both"/>
        <w:rPr>
          <w:rFonts w:ascii="Times New Roman" w:hAnsi="Times New Roman"/>
          <w:spacing w:val="5"/>
          <w:sz w:val="24"/>
          <w:lang w:val="cs-CZ"/>
        </w:rPr>
      </w:pPr>
      <w:r w:rsidRPr="002A5F29">
        <w:rPr>
          <w:rFonts w:ascii="Times New Roman" w:hAnsi="Times New Roman"/>
          <w:spacing w:val="5"/>
          <w:sz w:val="24"/>
          <w:lang w:val="cs-CZ"/>
        </w:rPr>
        <w:t>II. Porušení nebo nesp</w:t>
      </w:r>
      <w:r>
        <w:rPr>
          <w:rFonts w:ascii="Times New Roman" w:hAnsi="Times New Roman"/>
          <w:spacing w:val="5"/>
          <w:sz w:val="24"/>
          <w:lang w:val="cs-CZ"/>
        </w:rPr>
        <w:t>l</w:t>
      </w:r>
      <w:r w:rsidRPr="002A5F29">
        <w:rPr>
          <w:rFonts w:ascii="Times New Roman" w:hAnsi="Times New Roman"/>
          <w:spacing w:val="5"/>
          <w:sz w:val="24"/>
          <w:lang w:val="cs-CZ"/>
        </w:rPr>
        <w:t xml:space="preserve">nění stanovených podmínek, jakož i neodvedení nevyčerpaných </w:t>
      </w:r>
      <w:r w:rsidRPr="002A5F29">
        <w:rPr>
          <w:rFonts w:ascii="Times New Roman" w:hAnsi="Times New Roman"/>
          <w:spacing w:val="-3"/>
          <w:sz w:val="24"/>
          <w:lang w:val="cs-CZ"/>
        </w:rPr>
        <w:t xml:space="preserve">prostředků do státního rozpočtu v souladu s vyhláškou č. 367/2015 Sb., o zásadách a lhůtách </w:t>
      </w:r>
      <w:r w:rsidRPr="002A5F29">
        <w:rPr>
          <w:rFonts w:ascii="Times New Roman" w:hAnsi="Times New Roman"/>
          <w:spacing w:val="-2"/>
          <w:sz w:val="24"/>
          <w:lang w:val="cs-CZ"/>
        </w:rPr>
        <w:t xml:space="preserve">finančního vypořádání vztahů se státním rozpočtem, státními finančními aktivy a Národním </w:t>
      </w:r>
      <w:r w:rsidRPr="002A5F29">
        <w:rPr>
          <w:rFonts w:ascii="Times New Roman" w:hAnsi="Times New Roman"/>
          <w:spacing w:val="1"/>
          <w:sz w:val="24"/>
          <w:lang w:val="cs-CZ"/>
        </w:rPr>
        <w:t xml:space="preserve">fondem (vyhláška o finančním vypořádání), v platném znění, je porušením rozpočtové kázně, </w:t>
      </w:r>
      <w:r w:rsidRPr="002A5F29">
        <w:rPr>
          <w:rFonts w:ascii="Times New Roman" w:hAnsi="Times New Roman"/>
          <w:spacing w:val="3"/>
          <w:sz w:val="24"/>
          <w:lang w:val="cs-CZ"/>
        </w:rPr>
        <w:t xml:space="preserve">za které může podle § 44a zákona č. 218/2000 Sb., o rozpočtových pravidlech a o změně </w:t>
      </w:r>
      <w:r w:rsidRPr="002A5F29">
        <w:rPr>
          <w:rFonts w:ascii="Times New Roman" w:hAnsi="Times New Roman"/>
          <w:spacing w:val="7"/>
          <w:sz w:val="24"/>
          <w:lang w:val="cs-CZ"/>
        </w:rPr>
        <w:t xml:space="preserve">některých souvisejících zákonů (rozpočtová pravidla), v platném znění, uložit místně </w:t>
      </w:r>
      <w:r w:rsidRPr="002A5F29">
        <w:rPr>
          <w:rFonts w:ascii="Times New Roman" w:hAnsi="Times New Roman"/>
          <w:sz w:val="24"/>
          <w:lang w:val="cs-CZ"/>
        </w:rPr>
        <w:t>příslušný finanční úřad odvod za porušení rozpočtové kázně a penále.</w:t>
      </w:r>
    </w:p>
    <w:p w:rsidR="00326DD4" w:rsidRPr="002A5F29" w:rsidRDefault="00326DD4" w:rsidP="00326DD4">
      <w:pPr>
        <w:ind w:right="72"/>
        <w:jc w:val="both"/>
        <w:rPr>
          <w:rFonts w:ascii="Times New Roman" w:hAnsi="Times New Roman"/>
          <w:spacing w:val="-6"/>
          <w:sz w:val="24"/>
          <w:lang w:val="cs-CZ"/>
        </w:rPr>
      </w:pPr>
      <w:r w:rsidRPr="002A5F29">
        <w:rPr>
          <w:rFonts w:ascii="Times New Roman" w:hAnsi="Times New Roman"/>
          <w:spacing w:val="-6"/>
          <w:sz w:val="24"/>
          <w:lang w:val="cs-CZ"/>
        </w:rPr>
        <w:t xml:space="preserve">Za méně závažné porušení povinností příjemce dotace, za které se uloží odvod ve výši 5 % celkové </w:t>
      </w:r>
      <w:r w:rsidRPr="002A5F29">
        <w:rPr>
          <w:rFonts w:ascii="Times New Roman" w:hAnsi="Times New Roman"/>
          <w:spacing w:val="-3"/>
          <w:sz w:val="24"/>
          <w:lang w:val="cs-CZ"/>
        </w:rPr>
        <w:t>částky dotace, se ve smyslu § 14 odst. 6 zákona č. 218/2000 Sb. považuje:</w:t>
      </w:r>
    </w:p>
    <w:p w:rsidR="00326DD4" w:rsidRPr="002A5F29" w:rsidRDefault="00326DD4" w:rsidP="00326DD4">
      <w:pPr>
        <w:numPr>
          <w:ilvl w:val="0"/>
          <w:numId w:val="8"/>
        </w:numPr>
        <w:tabs>
          <w:tab w:val="clear" w:pos="360"/>
          <w:tab w:val="decimal" w:pos="1296"/>
        </w:tabs>
        <w:ind w:left="1296" w:right="72" w:hanging="360"/>
        <w:jc w:val="both"/>
        <w:rPr>
          <w:rFonts w:ascii="Times New Roman" w:hAnsi="Times New Roman"/>
          <w:spacing w:val="-3"/>
          <w:sz w:val="24"/>
          <w:lang w:val="cs-CZ"/>
        </w:rPr>
      </w:pPr>
      <w:r w:rsidRPr="002A5F29">
        <w:rPr>
          <w:rFonts w:ascii="Times New Roman" w:hAnsi="Times New Roman"/>
          <w:spacing w:val="-3"/>
          <w:sz w:val="24"/>
          <w:lang w:val="cs-CZ"/>
        </w:rPr>
        <w:t xml:space="preserve">porušení povinnosti příjemce uvádět na materiálech vytvořených v rámci projektu </w:t>
      </w:r>
      <w:r w:rsidRPr="002A5F29">
        <w:rPr>
          <w:rFonts w:ascii="Times New Roman" w:hAnsi="Times New Roman"/>
          <w:spacing w:val="-5"/>
          <w:sz w:val="24"/>
          <w:lang w:val="cs-CZ"/>
        </w:rPr>
        <w:t xml:space="preserve">nebo souvisejících s jeho realizací, že se projekt. </w:t>
      </w:r>
      <w:proofErr w:type="gramStart"/>
      <w:r w:rsidRPr="002A5F29">
        <w:rPr>
          <w:rFonts w:ascii="Times New Roman" w:hAnsi="Times New Roman"/>
          <w:spacing w:val="-5"/>
          <w:sz w:val="24"/>
          <w:lang w:val="cs-CZ"/>
        </w:rPr>
        <w:t>uskutečňuje</w:t>
      </w:r>
      <w:proofErr w:type="gramEnd"/>
      <w:r w:rsidRPr="002A5F29">
        <w:rPr>
          <w:rFonts w:ascii="Times New Roman" w:hAnsi="Times New Roman"/>
          <w:spacing w:val="-5"/>
          <w:sz w:val="24"/>
          <w:lang w:val="cs-CZ"/>
        </w:rPr>
        <w:t xml:space="preserve"> za finanční podpory </w:t>
      </w:r>
      <w:r w:rsidRPr="002A5F29">
        <w:rPr>
          <w:rFonts w:ascii="Times New Roman" w:hAnsi="Times New Roman"/>
          <w:spacing w:val="-6"/>
          <w:sz w:val="24"/>
          <w:lang w:val="cs-CZ"/>
        </w:rPr>
        <w:t>Ministerstva kultury (část I. bod 7.),</w:t>
      </w:r>
    </w:p>
    <w:p w:rsidR="00326DD4" w:rsidRPr="002A5F29" w:rsidRDefault="00326DD4" w:rsidP="00326DD4">
      <w:pPr>
        <w:numPr>
          <w:ilvl w:val="0"/>
          <w:numId w:val="8"/>
        </w:numPr>
        <w:tabs>
          <w:tab w:val="clear" w:pos="360"/>
          <w:tab w:val="decimal" w:pos="1296"/>
        </w:tabs>
        <w:ind w:left="1296" w:hanging="360"/>
        <w:jc w:val="both"/>
        <w:rPr>
          <w:rFonts w:ascii="Times New Roman" w:hAnsi="Times New Roman"/>
          <w:sz w:val="24"/>
          <w:lang w:val="cs-CZ"/>
        </w:rPr>
      </w:pPr>
      <w:r w:rsidRPr="002A5F29">
        <w:rPr>
          <w:rFonts w:ascii="Times New Roman" w:hAnsi="Times New Roman"/>
          <w:sz w:val="24"/>
          <w:lang w:val="cs-CZ"/>
        </w:rPr>
        <w:t>nedodržení lhůt pro zaslání závěrečné zprávy (část I. bod 17.),</w:t>
      </w:r>
    </w:p>
    <w:p w:rsidR="00326DD4" w:rsidRPr="002A5F29" w:rsidRDefault="00326DD4" w:rsidP="00326DD4">
      <w:pPr>
        <w:numPr>
          <w:ilvl w:val="0"/>
          <w:numId w:val="8"/>
        </w:numPr>
        <w:tabs>
          <w:tab w:val="clear" w:pos="360"/>
          <w:tab w:val="decimal" w:pos="1296"/>
        </w:tabs>
        <w:ind w:left="1296" w:hanging="360"/>
        <w:jc w:val="both"/>
        <w:rPr>
          <w:rFonts w:ascii="Times New Roman" w:hAnsi="Times New Roman"/>
          <w:sz w:val="24"/>
          <w:lang w:val="cs-CZ"/>
        </w:rPr>
      </w:pPr>
      <w:r w:rsidRPr="002A5F29">
        <w:rPr>
          <w:rFonts w:ascii="Times New Roman" w:hAnsi="Times New Roman"/>
          <w:sz w:val="24"/>
          <w:lang w:val="cs-CZ"/>
        </w:rPr>
        <w:t>nedodržení lhůt pro předložení vyúčtování (část I. bod 13.),</w:t>
      </w:r>
    </w:p>
    <w:p w:rsidR="00326DD4" w:rsidRPr="002A5F29" w:rsidRDefault="00326DD4" w:rsidP="00326DD4">
      <w:pPr>
        <w:numPr>
          <w:ilvl w:val="0"/>
          <w:numId w:val="8"/>
        </w:numPr>
        <w:tabs>
          <w:tab w:val="clear" w:pos="360"/>
          <w:tab w:val="decimal" w:pos="1296"/>
        </w:tabs>
        <w:ind w:left="1296" w:hanging="360"/>
        <w:jc w:val="both"/>
        <w:rPr>
          <w:rFonts w:ascii="Times New Roman" w:hAnsi="Times New Roman"/>
          <w:spacing w:val="-2"/>
          <w:sz w:val="24"/>
          <w:lang w:val="cs-CZ"/>
        </w:rPr>
      </w:pPr>
      <w:r w:rsidRPr="002A5F29">
        <w:rPr>
          <w:rFonts w:ascii="Times New Roman" w:hAnsi="Times New Roman"/>
          <w:spacing w:val="-2"/>
          <w:sz w:val="24"/>
          <w:lang w:val="cs-CZ"/>
        </w:rPr>
        <w:t>nedodržení lhůt pro oznámení změn identifikačních údajů příjemce (část I. bod 5.),</w:t>
      </w:r>
    </w:p>
    <w:p w:rsidR="00326DD4" w:rsidRPr="002A5F29" w:rsidRDefault="00326DD4" w:rsidP="00326DD4">
      <w:pPr>
        <w:numPr>
          <w:ilvl w:val="0"/>
          <w:numId w:val="8"/>
        </w:numPr>
        <w:tabs>
          <w:tab w:val="clear" w:pos="360"/>
          <w:tab w:val="decimal" w:pos="1296"/>
        </w:tabs>
        <w:ind w:left="1296" w:right="72" w:hanging="360"/>
        <w:rPr>
          <w:rFonts w:ascii="Times New Roman" w:hAnsi="Times New Roman"/>
          <w:spacing w:val="-5"/>
          <w:sz w:val="24"/>
          <w:lang w:val="cs-CZ"/>
        </w:rPr>
      </w:pPr>
      <w:r w:rsidRPr="002A5F29">
        <w:rPr>
          <w:rFonts w:ascii="Times New Roman" w:hAnsi="Times New Roman"/>
          <w:spacing w:val="-5"/>
          <w:sz w:val="24"/>
          <w:lang w:val="cs-CZ"/>
        </w:rPr>
        <w:t xml:space="preserve">porušení povinnosti příjemce zaslat vydané publikace a pozvánky na dotované akce </w:t>
      </w:r>
      <w:r w:rsidRPr="002A5F29">
        <w:rPr>
          <w:rFonts w:ascii="Times New Roman" w:hAnsi="Times New Roman"/>
          <w:spacing w:val="-4"/>
          <w:sz w:val="24"/>
          <w:lang w:val="cs-CZ"/>
        </w:rPr>
        <w:t>(část I. bod 8.),</w:t>
      </w:r>
    </w:p>
    <w:p w:rsidR="00326DD4" w:rsidRPr="002A5F29" w:rsidRDefault="00326DD4" w:rsidP="00326DD4">
      <w:pPr>
        <w:spacing w:before="36"/>
        <w:ind w:left="864"/>
        <w:rPr>
          <w:rFonts w:ascii="Times New Roman" w:hAnsi="Times New Roman"/>
          <w:spacing w:val="-5"/>
          <w:sz w:val="24"/>
          <w:lang w:val="cs-CZ"/>
        </w:rPr>
      </w:pPr>
      <w:r w:rsidRPr="002A5F29">
        <w:rPr>
          <w:rFonts w:ascii="Times New Roman" w:hAnsi="Times New Roman"/>
          <w:spacing w:val="-5"/>
          <w:sz w:val="24"/>
          <w:lang w:val="cs-CZ"/>
        </w:rPr>
        <w:t>O nedodržení struktury rozpisu dotace.</w:t>
      </w:r>
    </w:p>
    <w:p w:rsidR="00326DD4" w:rsidRPr="002A5F29" w:rsidRDefault="00326DD4" w:rsidP="00326DD4">
      <w:pPr>
        <w:spacing w:before="828" w:line="216" w:lineRule="auto"/>
        <w:jc w:val="center"/>
        <w:rPr>
          <w:rFonts w:ascii="Times New Roman" w:hAnsi="Times New Roman"/>
          <w:w w:val="105"/>
          <w:sz w:val="23"/>
          <w:u w:val="single"/>
          <w:lang w:val="cs-CZ"/>
        </w:rPr>
      </w:pPr>
      <w:r w:rsidRPr="002A5F29">
        <w:rPr>
          <w:rFonts w:ascii="Times New Roman" w:hAnsi="Times New Roman"/>
          <w:w w:val="105"/>
          <w:sz w:val="23"/>
          <w:u w:val="single"/>
          <w:lang w:val="cs-CZ"/>
        </w:rPr>
        <w:t xml:space="preserve">Odůvodnění: </w:t>
      </w:r>
    </w:p>
    <w:p w:rsidR="00326DD4" w:rsidRPr="002A5F29" w:rsidRDefault="00326DD4" w:rsidP="00326DD4">
      <w:pPr>
        <w:spacing w:before="288"/>
        <w:ind w:left="360" w:right="72" w:firstLine="288"/>
        <w:jc w:val="both"/>
        <w:rPr>
          <w:rFonts w:ascii="Times New Roman" w:hAnsi="Times New Roman"/>
          <w:spacing w:val="-3"/>
          <w:sz w:val="24"/>
          <w:lang w:val="cs-CZ"/>
        </w:rPr>
      </w:pPr>
      <w:r w:rsidRPr="002A5F29">
        <w:rPr>
          <w:rFonts w:ascii="Times New Roman" w:hAnsi="Times New Roman"/>
          <w:spacing w:val="-3"/>
          <w:sz w:val="24"/>
          <w:lang w:val="cs-CZ"/>
        </w:rPr>
        <w:t xml:space="preserve">Dotace je poskytnuta na základě doporučení komise pro oblast profesionálního divadla ze </w:t>
      </w:r>
      <w:r w:rsidRPr="002A5F29">
        <w:rPr>
          <w:rFonts w:ascii="Times New Roman" w:hAnsi="Times New Roman"/>
          <w:spacing w:val="-6"/>
          <w:sz w:val="24"/>
          <w:lang w:val="cs-CZ"/>
        </w:rPr>
        <w:t xml:space="preserve">dne 20. 2. 2018 a rozhodnutí ministra kultury MK-S 1723/2018 ze dne 6. 3. 2018. Ministerstvo kultury - jako poskytovatel dotace - posoudilo, s využitím svého odborného poradního orgánu, </w:t>
      </w:r>
      <w:r w:rsidRPr="002A5F29">
        <w:rPr>
          <w:rFonts w:ascii="Times New Roman" w:hAnsi="Times New Roman"/>
          <w:spacing w:val="-7"/>
          <w:sz w:val="24"/>
          <w:lang w:val="cs-CZ"/>
        </w:rPr>
        <w:t xml:space="preserve">návrh projektu a dospělo k závěru, že projekt je natolik kvalitní, že je vhodné jej podpořit dotací </w:t>
      </w:r>
      <w:r w:rsidRPr="002A5F29">
        <w:rPr>
          <w:rFonts w:ascii="Times New Roman" w:hAnsi="Times New Roman"/>
          <w:spacing w:val="-6"/>
          <w:sz w:val="24"/>
          <w:lang w:val="cs-CZ"/>
        </w:rPr>
        <w:t>ze státního rozpočtu.</w:t>
      </w:r>
    </w:p>
    <w:p w:rsidR="00326DD4" w:rsidRPr="00611154" w:rsidRDefault="00326DD4" w:rsidP="00326DD4">
      <w:pPr>
        <w:ind w:left="72"/>
        <w:jc w:val="both"/>
        <w:rPr>
          <w:rFonts w:ascii="Times New Roman" w:hAnsi="Times New Roman"/>
          <w:spacing w:val="1"/>
          <w:sz w:val="23"/>
          <w:lang w:val="cs-CZ"/>
        </w:rPr>
      </w:pPr>
      <w:r w:rsidRPr="002A5F29">
        <w:rPr>
          <w:rFonts w:ascii="Times New Roman" w:hAnsi="Times New Roman"/>
          <w:spacing w:val="-2"/>
          <w:sz w:val="24"/>
          <w:lang w:val="cs-CZ"/>
        </w:rPr>
        <w:t xml:space="preserve">V rámci projektu budou poskytovány veřejné kulturní služby ve smyslu § 2 zákona č. </w:t>
      </w:r>
      <w:r w:rsidRPr="002A5F29">
        <w:rPr>
          <w:rFonts w:ascii="Times New Roman" w:hAnsi="Times New Roman"/>
          <w:spacing w:val="-3"/>
          <w:sz w:val="24"/>
          <w:lang w:val="cs-CZ"/>
        </w:rPr>
        <w:t xml:space="preserve">203/2006 Sb., o některých druzích podpory kultury a o změně některých souvisejících zákonů, </w:t>
      </w:r>
      <w:r w:rsidRPr="002A5F29">
        <w:rPr>
          <w:rFonts w:ascii="Times New Roman" w:hAnsi="Times New Roman"/>
          <w:spacing w:val="-10"/>
          <w:sz w:val="24"/>
          <w:lang w:val="cs-CZ"/>
        </w:rPr>
        <w:t>v platném zn</w:t>
      </w:r>
      <w:r>
        <w:rPr>
          <w:rFonts w:ascii="Times New Roman" w:hAnsi="Times New Roman"/>
          <w:spacing w:val="-10"/>
          <w:sz w:val="24"/>
          <w:lang w:val="cs-CZ"/>
        </w:rPr>
        <w:t>ění. Projekt tak přispěje k napl</w:t>
      </w:r>
      <w:r w:rsidRPr="002A5F29">
        <w:rPr>
          <w:rFonts w:ascii="Times New Roman" w:hAnsi="Times New Roman"/>
          <w:spacing w:val="-10"/>
          <w:sz w:val="24"/>
          <w:lang w:val="cs-CZ"/>
        </w:rPr>
        <w:t xml:space="preserve">nění práva na přístup ke kulturnímu bohatství, jak jej </w:t>
      </w:r>
      <w:r w:rsidRPr="002A5F29">
        <w:rPr>
          <w:rFonts w:ascii="Times New Roman" w:hAnsi="Times New Roman"/>
          <w:spacing w:val="-4"/>
          <w:sz w:val="24"/>
          <w:lang w:val="cs-CZ"/>
        </w:rPr>
        <w:t xml:space="preserve">zavádí ústavní pořádek České republiky, konkrétně čl. 34 odst. 2 Listiny základních práv a </w:t>
      </w:r>
      <w:r w:rsidRPr="002A5F29">
        <w:rPr>
          <w:rFonts w:ascii="Times New Roman" w:hAnsi="Times New Roman"/>
          <w:spacing w:val="-6"/>
          <w:sz w:val="24"/>
          <w:lang w:val="cs-CZ"/>
        </w:rPr>
        <w:t xml:space="preserve">svobod. (Toto ustanovení navazuje na různé právní dokumenty sjednané na mezinárodní úrovni </w:t>
      </w:r>
      <w:r w:rsidRPr="002A5F29">
        <w:rPr>
          <w:rFonts w:ascii="Times New Roman" w:hAnsi="Times New Roman"/>
          <w:spacing w:val="-10"/>
          <w:sz w:val="24"/>
          <w:lang w:val="cs-CZ"/>
        </w:rPr>
        <w:t xml:space="preserve">a pro Českou republiku závazné — tu lze zmínit například Mezinárodní pakt o hospodářských, </w:t>
      </w:r>
      <w:r w:rsidRPr="002A5F29">
        <w:rPr>
          <w:rFonts w:ascii="Times New Roman" w:hAnsi="Times New Roman"/>
          <w:spacing w:val="-3"/>
          <w:sz w:val="24"/>
          <w:lang w:val="cs-CZ"/>
        </w:rPr>
        <w:t>sociálních a kulturních právech a jeho čl. 15, nebo Úmluvu o ochraně a podpoře rozmanitosti</w:t>
      </w:r>
      <w:r>
        <w:rPr>
          <w:rFonts w:ascii="Times New Roman" w:hAnsi="Times New Roman"/>
          <w:spacing w:val="-3"/>
          <w:sz w:val="24"/>
          <w:lang w:val="cs-CZ"/>
        </w:rPr>
        <w:t xml:space="preserve"> </w:t>
      </w:r>
      <w:r w:rsidRPr="00611154">
        <w:rPr>
          <w:rFonts w:ascii="Times New Roman" w:hAnsi="Times New Roman"/>
          <w:spacing w:val="1"/>
          <w:sz w:val="23"/>
          <w:lang w:val="cs-CZ"/>
        </w:rPr>
        <w:t>kulturní</w:t>
      </w:r>
      <w:r>
        <w:rPr>
          <w:rFonts w:ascii="Times New Roman" w:hAnsi="Times New Roman"/>
          <w:spacing w:val="1"/>
          <w:sz w:val="23"/>
          <w:lang w:val="cs-CZ"/>
        </w:rPr>
        <w:t>ch projevů a její čl. 7.) K napl</w:t>
      </w:r>
      <w:r w:rsidRPr="00611154">
        <w:rPr>
          <w:rFonts w:ascii="Times New Roman" w:hAnsi="Times New Roman"/>
          <w:spacing w:val="1"/>
          <w:sz w:val="23"/>
          <w:lang w:val="cs-CZ"/>
        </w:rPr>
        <w:t xml:space="preserve">nění účelu zmíněných právních norem daný projekt </w:t>
      </w:r>
      <w:r w:rsidRPr="00611154">
        <w:rPr>
          <w:rFonts w:ascii="Times New Roman" w:hAnsi="Times New Roman"/>
          <w:spacing w:val="-5"/>
          <w:sz w:val="23"/>
          <w:lang w:val="cs-CZ"/>
        </w:rPr>
        <w:t xml:space="preserve">přispívá, a proto Ministerstvo kultury rozhodlo o poskytnutí dotace ze státního rozpočtu na jeho </w:t>
      </w:r>
      <w:r w:rsidRPr="00611154">
        <w:rPr>
          <w:rFonts w:ascii="Times New Roman" w:hAnsi="Times New Roman"/>
          <w:sz w:val="23"/>
          <w:lang w:val="cs-CZ"/>
        </w:rPr>
        <w:t>realizaci.</w:t>
      </w:r>
    </w:p>
    <w:p w:rsidR="00326DD4" w:rsidRPr="00611154" w:rsidRDefault="00326DD4" w:rsidP="00326DD4">
      <w:pPr>
        <w:spacing w:before="288"/>
        <w:ind w:left="72" w:firstLine="288"/>
        <w:jc w:val="both"/>
        <w:rPr>
          <w:rFonts w:ascii="Times New Roman" w:hAnsi="Times New Roman"/>
          <w:spacing w:val="-2"/>
          <w:sz w:val="23"/>
          <w:lang w:val="cs-CZ"/>
        </w:rPr>
      </w:pPr>
      <w:r w:rsidRPr="00611154">
        <w:rPr>
          <w:rFonts w:ascii="Times New Roman" w:hAnsi="Times New Roman"/>
          <w:spacing w:val="-2"/>
          <w:sz w:val="23"/>
          <w:lang w:val="cs-CZ"/>
        </w:rPr>
        <w:t xml:space="preserve">Ministerstvo kultury podotýká, že dotace může být (avšak nemusí) posouzena jako veřejná </w:t>
      </w:r>
      <w:r w:rsidRPr="00611154">
        <w:rPr>
          <w:rFonts w:ascii="Times New Roman" w:hAnsi="Times New Roman"/>
          <w:spacing w:val="3"/>
          <w:sz w:val="23"/>
          <w:lang w:val="cs-CZ"/>
        </w:rPr>
        <w:t xml:space="preserve">podpora ve smyslu čl. 107 a násl. Smlouvy o fungování Evropské unie. V této souvislosti </w:t>
      </w:r>
      <w:r w:rsidRPr="00611154">
        <w:rPr>
          <w:rFonts w:ascii="Times New Roman" w:hAnsi="Times New Roman"/>
          <w:sz w:val="23"/>
          <w:lang w:val="cs-CZ"/>
        </w:rPr>
        <w:t xml:space="preserve">Ministerstvo kultury odkazuje na nařízení Evropské komise č. 651/2014, které nabylo účinnosti </w:t>
      </w:r>
      <w:r w:rsidRPr="00611154">
        <w:rPr>
          <w:rFonts w:ascii="Times New Roman" w:hAnsi="Times New Roman"/>
          <w:spacing w:val="-2"/>
          <w:sz w:val="23"/>
          <w:lang w:val="cs-CZ"/>
        </w:rPr>
        <w:t xml:space="preserve">1. 7. 2014. Toto nařízení prohlásilo určité kategorie podpory za slučitelné se společným trhem </w:t>
      </w:r>
      <w:r w:rsidRPr="00611154">
        <w:rPr>
          <w:rFonts w:ascii="Times New Roman" w:hAnsi="Times New Roman"/>
          <w:spacing w:val="2"/>
          <w:sz w:val="23"/>
          <w:lang w:val="cs-CZ"/>
        </w:rPr>
        <w:t xml:space="preserve">Evropské unie. Dotaci lze podřadit pod čl. 53 uvedeného nařízení Evropské komise: jde o </w:t>
      </w:r>
      <w:r w:rsidRPr="00611154">
        <w:rPr>
          <w:rFonts w:ascii="Times New Roman" w:hAnsi="Times New Roman"/>
          <w:spacing w:val="-3"/>
          <w:sz w:val="23"/>
          <w:lang w:val="cs-CZ"/>
        </w:rPr>
        <w:t>podporu kultury a zachování kulturního dědictví.</w:t>
      </w:r>
    </w:p>
    <w:p w:rsidR="00326DD4" w:rsidRPr="00611154" w:rsidRDefault="00326DD4" w:rsidP="00326DD4">
      <w:pPr>
        <w:spacing w:before="360"/>
        <w:ind w:left="72" w:firstLine="288"/>
        <w:jc w:val="both"/>
        <w:rPr>
          <w:rFonts w:ascii="Times New Roman" w:hAnsi="Times New Roman"/>
          <w:spacing w:val="7"/>
          <w:sz w:val="23"/>
          <w:lang w:val="cs-CZ"/>
        </w:rPr>
      </w:pPr>
      <w:r w:rsidRPr="00611154">
        <w:rPr>
          <w:rFonts w:ascii="Times New Roman" w:hAnsi="Times New Roman"/>
          <w:spacing w:val="7"/>
          <w:sz w:val="23"/>
          <w:lang w:val="cs-CZ"/>
        </w:rPr>
        <w:t xml:space="preserve">Tím, kdo je povinen realizovat projekt po umělecké a odborné stránce, je příjemce </w:t>
      </w:r>
      <w:r w:rsidRPr="00611154">
        <w:rPr>
          <w:rFonts w:ascii="Times New Roman" w:hAnsi="Times New Roman"/>
          <w:spacing w:val="-1"/>
          <w:sz w:val="23"/>
          <w:lang w:val="cs-CZ"/>
        </w:rPr>
        <w:t xml:space="preserve">dotace, od něhož Ministerstvo kultury očekává, že je schopen tak učinit. Příjemce je oprávněn </w:t>
      </w:r>
      <w:r w:rsidRPr="00611154">
        <w:rPr>
          <w:rFonts w:ascii="Times New Roman" w:hAnsi="Times New Roman"/>
          <w:spacing w:val="-2"/>
          <w:sz w:val="23"/>
          <w:lang w:val="cs-CZ"/>
        </w:rPr>
        <w:t xml:space="preserve">hradit jiným subjektům náklady na dílčí činnosti, které s realizací projektu přímo souvisejí a </w:t>
      </w:r>
      <w:r w:rsidRPr="00611154">
        <w:rPr>
          <w:rFonts w:ascii="Times New Roman" w:hAnsi="Times New Roman"/>
          <w:spacing w:val="-3"/>
          <w:sz w:val="23"/>
          <w:lang w:val="cs-CZ"/>
        </w:rPr>
        <w:t xml:space="preserve">příjemce dotace je nemůže (například z hlediska požadavku hospodárnosti použití dotace) hradit </w:t>
      </w:r>
      <w:r w:rsidRPr="00611154">
        <w:rPr>
          <w:rFonts w:ascii="Times New Roman" w:hAnsi="Times New Roman"/>
          <w:sz w:val="23"/>
          <w:lang w:val="cs-CZ"/>
        </w:rPr>
        <w:t xml:space="preserve">sám. Příjemce však nemůže dotaci </w:t>
      </w:r>
      <w:r w:rsidRPr="00611154">
        <w:rPr>
          <w:rFonts w:ascii="Times New Roman" w:hAnsi="Times New Roman"/>
          <w:sz w:val="23"/>
          <w:lang w:val="cs-CZ"/>
        </w:rPr>
        <w:lastRenderedPageBreak/>
        <w:t xml:space="preserve">nebo její většinovou část převést na jiný subjekt s určením, </w:t>
      </w:r>
      <w:r w:rsidRPr="00611154">
        <w:rPr>
          <w:rFonts w:ascii="Times New Roman" w:hAnsi="Times New Roman"/>
          <w:spacing w:val="-6"/>
          <w:sz w:val="23"/>
          <w:lang w:val="cs-CZ"/>
        </w:rPr>
        <w:t xml:space="preserve">aby tento jiný subjekt zpracoval (realizoval) pro příjemce projekt jako celek, byt' s určitou účastí </w:t>
      </w:r>
      <w:r w:rsidRPr="00611154">
        <w:rPr>
          <w:rFonts w:ascii="Times New Roman" w:hAnsi="Times New Roman"/>
          <w:sz w:val="23"/>
          <w:lang w:val="cs-CZ"/>
        </w:rPr>
        <w:t>příjemce.</w:t>
      </w:r>
    </w:p>
    <w:p w:rsidR="00326DD4" w:rsidRPr="00611154" w:rsidRDefault="00326DD4" w:rsidP="00326DD4">
      <w:pPr>
        <w:spacing w:before="360"/>
        <w:ind w:left="72" w:firstLine="288"/>
        <w:jc w:val="both"/>
        <w:rPr>
          <w:rFonts w:ascii="Times New Roman" w:hAnsi="Times New Roman"/>
          <w:spacing w:val="3"/>
          <w:sz w:val="23"/>
          <w:lang w:val="cs-CZ"/>
        </w:rPr>
      </w:pPr>
      <w:r w:rsidRPr="00611154">
        <w:rPr>
          <w:rFonts w:ascii="Times New Roman" w:hAnsi="Times New Roman"/>
          <w:spacing w:val="3"/>
          <w:sz w:val="23"/>
          <w:lang w:val="cs-CZ"/>
        </w:rPr>
        <w:t>Hospodárným použitím dotace se rozumí takové</w:t>
      </w:r>
      <w:r>
        <w:rPr>
          <w:rFonts w:ascii="Times New Roman" w:hAnsi="Times New Roman"/>
          <w:spacing w:val="3"/>
          <w:sz w:val="23"/>
          <w:lang w:val="cs-CZ"/>
        </w:rPr>
        <w:t xml:space="preserve"> její použití, které zajistí spl</w:t>
      </w:r>
      <w:r w:rsidRPr="00611154">
        <w:rPr>
          <w:rFonts w:ascii="Times New Roman" w:hAnsi="Times New Roman"/>
          <w:spacing w:val="3"/>
          <w:sz w:val="23"/>
          <w:lang w:val="cs-CZ"/>
        </w:rPr>
        <w:t xml:space="preserve">nění účelu </w:t>
      </w:r>
      <w:r w:rsidRPr="00611154">
        <w:rPr>
          <w:rFonts w:ascii="Times New Roman" w:hAnsi="Times New Roman"/>
          <w:spacing w:val="6"/>
          <w:sz w:val="23"/>
          <w:lang w:val="cs-CZ"/>
        </w:rPr>
        <w:t xml:space="preserve">dotace s co možná nejnižším a nejefektivnějším vynaložením těchto prostředků, vždy však </w:t>
      </w:r>
      <w:r>
        <w:rPr>
          <w:rFonts w:ascii="Times New Roman" w:hAnsi="Times New Roman"/>
          <w:spacing w:val="1"/>
          <w:sz w:val="23"/>
          <w:lang w:val="cs-CZ"/>
        </w:rPr>
        <w:t>s plným respektem k povinnosti spl</w:t>
      </w:r>
      <w:r w:rsidRPr="00611154">
        <w:rPr>
          <w:rFonts w:ascii="Times New Roman" w:hAnsi="Times New Roman"/>
          <w:spacing w:val="1"/>
          <w:sz w:val="23"/>
          <w:lang w:val="cs-CZ"/>
        </w:rPr>
        <w:t xml:space="preserve">nit účel dotace, to jest realizovat projekt ve stanoveném </w:t>
      </w:r>
      <w:r w:rsidRPr="00611154">
        <w:rPr>
          <w:rFonts w:ascii="Times New Roman" w:hAnsi="Times New Roman"/>
          <w:spacing w:val="-2"/>
          <w:sz w:val="23"/>
          <w:lang w:val="cs-CZ"/>
        </w:rPr>
        <w:t>rozsahu a kvalitě.</w:t>
      </w:r>
    </w:p>
    <w:p w:rsidR="00326DD4" w:rsidRPr="00611154" w:rsidRDefault="00326DD4" w:rsidP="00326DD4">
      <w:pPr>
        <w:spacing w:before="360"/>
        <w:ind w:left="72" w:firstLine="288"/>
        <w:jc w:val="both"/>
        <w:rPr>
          <w:rFonts w:ascii="Times New Roman" w:hAnsi="Times New Roman"/>
          <w:spacing w:val="5"/>
          <w:sz w:val="23"/>
          <w:lang w:val="cs-CZ"/>
        </w:rPr>
      </w:pPr>
      <w:r w:rsidRPr="00611154">
        <w:rPr>
          <w:rFonts w:ascii="Times New Roman" w:hAnsi="Times New Roman"/>
          <w:spacing w:val="5"/>
          <w:sz w:val="23"/>
          <w:lang w:val="cs-CZ"/>
        </w:rPr>
        <w:t xml:space="preserve">Pod pojmem umělecké honoráře, jak je použit ve výroku tohoto rozhodnutí, rozumí </w:t>
      </w:r>
      <w:r w:rsidRPr="00611154">
        <w:rPr>
          <w:rFonts w:ascii="Times New Roman" w:hAnsi="Times New Roman"/>
          <w:spacing w:val="1"/>
          <w:sz w:val="23"/>
          <w:lang w:val="cs-CZ"/>
        </w:rPr>
        <w:t xml:space="preserve">Ministerstvo kultury platby autorům a výkonným umělcům podle zákona č. 121/2000 Sb., o </w:t>
      </w:r>
      <w:r w:rsidRPr="00611154">
        <w:rPr>
          <w:rFonts w:ascii="Times New Roman" w:hAnsi="Times New Roman"/>
          <w:spacing w:val="-1"/>
          <w:sz w:val="23"/>
          <w:lang w:val="cs-CZ"/>
        </w:rPr>
        <w:t xml:space="preserve">právu autorském, o právech souvisejících s právem autorským a o změně některých zákonů </w:t>
      </w:r>
      <w:r w:rsidRPr="00611154">
        <w:rPr>
          <w:rFonts w:ascii="Times New Roman" w:hAnsi="Times New Roman"/>
          <w:sz w:val="23"/>
          <w:lang w:val="cs-CZ"/>
        </w:rPr>
        <w:t xml:space="preserve">(autorský zákon), v platném znění. Do položky „umělecké honoráře" je možné zahrnout též </w:t>
      </w:r>
      <w:r w:rsidRPr="00611154">
        <w:rPr>
          <w:rFonts w:ascii="Times New Roman" w:hAnsi="Times New Roman"/>
          <w:spacing w:val="4"/>
          <w:sz w:val="23"/>
          <w:lang w:val="cs-CZ"/>
        </w:rPr>
        <w:t>přijaté faktury od hostujících divadelních/tanečních souborů.</w:t>
      </w:r>
    </w:p>
    <w:p w:rsidR="00326DD4" w:rsidRPr="00611154" w:rsidRDefault="00326DD4" w:rsidP="00326DD4">
      <w:pPr>
        <w:spacing w:before="324"/>
        <w:ind w:left="72" w:firstLine="288"/>
        <w:jc w:val="both"/>
        <w:rPr>
          <w:rFonts w:ascii="Times New Roman" w:hAnsi="Times New Roman"/>
          <w:spacing w:val="5"/>
          <w:sz w:val="23"/>
          <w:lang w:val="cs-CZ"/>
        </w:rPr>
      </w:pPr>
      <w:r w:rsidRPr="00611154">
        <w:rPr>
          <w:rFonts w:ascii="Times New Roman" w:hAnsi="Times New Roman"/>
          <w:spacing w:val="5"/>
          <w:sz w:val="23"/>
          <w:lang w:val="cs-CZ"/>
        </w:rPr>
        <w:t xml:space="preserve">Dále Ministerstvo kultury upozorňuje na povinnosti podle zákona č. 563/1991 Sb., o </w:t>
      </w:r>
      <w:r w:rsidRPr="00611154">
        <w:rPr>
          <w:rFonts w:ascii="Times New Roman" w:hAnsi="Times New Roman"/>
          <w:spacing w:val="-4"/>
          <w:sz w:val="23"/>
          <w:lang w:val="cs-CZ"/>
        </w:rPr>
        <w:t>účetnictví, v platném znění, především na povinnost vést účetnictví v p</w:t>
      </w:r>
      <w:r>
        <w:rPr>
          <w:rFonts w:ascii="Times New Roman" w:hAnsi="Times New Roman"/>
          <w:spacing w:val="-4"/>
          <w:sz w:val="23"/>
          <w:lang w:val="cs-CZ"/>
        </w:rPr>
        <w:t>l</w:t>
      </w:r>
      <w:r w:rsidRPr="00611154">
        <w:rPr>
          <w:rFonts w:ascii="Times New Roman" w:hAnsi="Times New Roman"/>
          <w:spacing w:val="-4"/>
          <w:sz w:val="23"/>
          <w:lang w:val="cs-CZ"/>
        </w:rPr>
        <w:t xml:space="preserve">ném rozsahu (podvojné </w:t>
      </w:r>
      <w:r w:rsidRPr="00611154">
        <w:rPr>
          <w:rFonts w:ascii="Times New Roman" w:hAnsi="Times New Roman"/>
          <w:spacing w:val="-1"/>
          <w:sz w:val="23"/>
          <w:lang w:val="cs-CZ"/>
        </w:rPr>
        <w:t xml:space="preserve">účetnictví). Některé účetní jednotky tuto povinnost nemají: účetní jednotky vyjmenované v § 9 </w:t>
      </w:r>
      <w:r w:rsidRPr="00611154">
        <w:rPr>
          <w:rFonts w:ascii="Times New Roman" w:hAnsi="Times New Roman"/>
          <w:spacing w:val="5"/>
          <w:sz w:val="23"/>
          <w:lang w:val="cs-CZ"/>
        </w:rPr>
        <w:t xml:space="preserve">odst. 4 zákona o účetnictví (například spolky a pobočné spolky, nadační fondy, obecně </w:t>
      </w:r>
      <w:r w:rsidRPr="00611154">
        <w:rPr>
          <w:rFonts w:ascii="Times New Roman" w:hAnsi="Times New Roman"/>
          <w:spacing w:val="2"/>
          <w:sz w:val="23"/>
          <w:lang w:val="cs-CZ"/>
        </w:rPr>
        <w:t xml:space="preserve">prospěšné společnosti a fyzické osoby) mohou vést účetnictví ve zjednodušeném rozsahu a </w:t>
      </w:r>
      <w:r w:rsidRPr="00611154">
        <w:rPr>
          <w:rFonts w:ascii="Times New Roman" w:hAnsi="Times New Roman"/>
          <w:spacing w:val="-4"/>
          <w:sz w:val="23"/>
          <w:lang w:val="cs-CZ"/>
        </w:rPr>
        <w:t xml:space="preserve">některé účetní jednotky vyjmenované v § </w:t>
      </w:r>
      <w:proofErr w:type="spellStart"/>
      <w:r w:rsidRPr="00611154">
        <w:rPr>
          <w:rFonts w:ascii="Times New Roman" w:hAnsi="Times New Roman"/>
          <w:spacing w:val="-4"/>
          <w:sz w:val="23"/>
          <w:lang w:val="cs-CZ"/>
        </w:rPr>
        <w:t>lf</w:t>
      </w:r>
      <w:proofErr w:type="spellEnd"/>
      <w:r w:rsidRPr="00611154">
        <w:rPr>
          <w:rFonts w:ascii="Times New Roman" w:hAnsi="Times New Roman"/>
          <w:spacing w:val="-4"/>
          <w:sz w:val="23"/>
          <w:lang w:val="cs-CZ"/>
        </w:rPr>
        <w:t xml:space="preserve"> odst. 1 zákona o účetnictví mohou vést jednoduché </w:t>
      </w:r>
      <w:r w:rsidRPr="00611154">
        <w:rPr>
          <w:rFonts w:ascii="Times New Roman" w:hAnsi="Times New Roman"/>
          <w:spacing w:val="2"/>
          <w:sz w:val="23"/>
          <w:lang w:val="cs-CZ"/>
        </w:rPr>
        <w:t xml:space="preserve">účetnictví (např. spolky a pobočné spolky), za předpokladu, že splňují všechny podmínky </w:t>
      </w:r>
      <w:r w:rsidRPr="00611154">
        <w:rPr>
          <w:rFonts w:ascii="Times New Roman" w:hAnsi="Times New Roman"/>
          <w:sz w:val="23"/>
          <w:lang w:val="cs-CZ"/>
        </w:rPr>
        <w:t>stanovené zákonem o účetnictví.</w:t>
      </w:r>
    </w:p>
    <w:p w:rsidR="00326DD4" w:rsidRPr="00611154" w:rsidRDefault="00326DD4" w:rsidP="00326DD4">
      <w:pPr>
        <w:spacing w:before="396"/>
        <w:ind w:left="72" w:firstLine="288"/>
        <w:jc w:val="both"/>
        <w:rPr>
          <w:rFonts w:ascii="Times New Roman" w:hAnsi="Times New Roman"/>
          <w:sz w:val="23"/>
          <w:lang w:val="cs-CZ"/>
        </w:rPr>
      </w:pPr>
      <w:r w:rsidRPr="00611154">
        <w:rPr>
          <w:rFonts w:ascii="Times New Roman" w:hAnsi="Times New Roman"/>
          <w:sz w:val="23"/>
          <w:lang w:val="cs-CZ"/>
        </w:rPr>
        <w:t xml:space="preserve">Rovněž Ministerstvo kultury upozorňuje na § 14 odst. 11 zákona č. 218/2000 Sb.: pokud </w:t>
      </w:r>
      <w:r w:rsidRPr="00611154">
        <w:rPr>
          <w:rFonts w:ascii="Times New Roman" w:hAnsi="Times New Roman"/>
          <w:spacing w:val="-3"/>
          <w:sz w:val="23"/>
          <w:lang w:val="cs-CZ"/>
        </w:rPr>
        <w:t xml:space="preserve">příjemce dotace zaplatil za pořízení věcí nebo služeb, obstarání výkonů, provedení prací nebo za </w:t>
      </w:r>
      <w:r w:rsidRPr="00611154">
        <w:rPr>
          <w:rFonts w:ascii="Times New Roman" w:hAnsi="Times New Roman"/>
          <w:spacing w:val="5"/>
          <w:sz w:val="23"/>
          <w:lang w:val="cs-CZ"/>
        </w:rPr>
        <w:t xml:space="preserve">nabytí práv peněžními prostředky z dotace a uplatnil nárok na odpočet daně z přidané </w:t>
      </w:r>
      <w:r w:rsidRPr="00611154">
        <w:rPr>
          <w:rFonts w:ascii="Times New Roman" w:hAnsi="Times New Roman"/>
          <w:spacing w:val="2"/>
          <w:sz w:val="23"/>
          <w:lang w:val="cs-CZ"/>
        </w:rPr>
        <w:t xml:space="preserve">hodnoty, do kterého zahrnul i částku, na jejíž odpočet měl právo z důvodu tohoto pořízení, </w:t>
      </w:r>
      <w:r w:rsidRPr="00611154">
        <w:rPr>
          <w:rFonts w:ascii="Times New Roman" w:hAnsi="Times New Roman"/>
          <w:spacing w:val="4"/>
          <w:sz w:val="23"/>
          <w:lang w:val="cs-CZ"/>
        </w:rPr>
        <w:t>nesmí tuto částku zahrnout do finančního vypořádání dotace.</w:t>
      </w:r>
    </w:p>
    <w:p w:rsidR="00326DD4" w:rsidRDefault="00326DD4" w:rsidP="00326DD4">
      <w:pPr>
        <w:spacing w:before="360"/>
        <w:ind w:firstLine="360"/>
        <w:jc w:val="both"/>
        <w:rPr>
          <w:rFonts w:ascii="Times New Roman" w:hAnsi="Times New Roman"/>
          <w:spacing w:val="-2"/>
          <w:sz w:val="23"/>
          <w:lang w:val="cs-CZ"/>
        </w:rPr>
      </w:pPr>
      <w:r w:rsidRPr="00611154">
        <w:rPr>
          <w:rFonts w:ascii="Times New Roman" w:hAnsi="Times New Roman"/>
          <w:sz w:val="23"/>
          <w:lang w:val="cs-CZ"/>
        </w:rPr>
        <w:t xml:space="preserve">Vzhledem k tomu, že výběrové dotační řízení bylo vyhlášeno v roce 2017, nevztahuje se na </w:t>
      </w:r>
      <w:r w:rsidRPr="00611154">
        <w:rPr>
          <w:rFonts w:ascii="Times New Roman" w:hAnsi="Times New Roman"/>
          <w:spacing w:val="-2"/>
          <w:sz w:val="23"/>
          <w:lang w:val="cs-CZ"/>
        </w:rPr>
        <w:t xml:space="preserve">toto rozhodnutí zákon č. 367/2017 Sb., kterým se mění zákon č. 218/2000 Sb., o rozpočtových </w:t>
      </w:r>
      <w:r w:rsidRPr="00611154">
        <w:rPr>
          <w:rFonts w:ascii="Times New Roman" w:hAnsi="Times New Roman"/>
          <w:spacing w:val="-4"/>
          <w:sz w:val="23"/>
          <w:lang w:val="cs-CZ"/>
        </w:rPr>
        <w:t xml:space="preserve">pravidlech a o změně některých souvisejících zákonů (rozpočtová pravidla), ve znění pozdějších </w:t>
      </w:r>
      <w:r w:rsidRPr="00611154">
        <w:rPr>
          <w:rFonts w:ascii="Times New Roman" w:hAnsi="Times New Roman"/>
          <w:spacing w:val="-3"/>
          <w:sz w:val="23"/>
          <w:lang w:val="cs-CZ"/>
        </w:rPr>
        <w:t xml:space="preserve">předpisů, a další související zákony. Na řízení o poskytnutí dotace a na toto rozhodnutí se proto </w:t>
      </w:r>
      <w:r w:rsidRPr="00611154">
        <w:rPr>
          <w:rFonts w:ascii="Times New Roman" w:hAnsi="Times New Roman"/>
          <w:spacing w:val="3"/>
          <w:sz w:val="23"/>
          <w:lang w:val="cs-CZ"/>
        </w:rPr>
        <w:t xml:space="preserve">použije zákon č. 218/2000 Sb., ve znění účinném do 31. 12. 2017, což vyplývá z čl. II bod 1 </w:t>
      </w:r>
      <w:r w:rsidRPr="00611154">
        <w:rPr>
          <w:rFonts w:ascii="Times New Roman" w:hAnsi="Times New Roman"/>
          <w:spacing w:val="-2"/>
          <w:sz w:val="23"/>
          <w:lang w:val="cs-CZ"/>
        </w:rPr>
        <w:t>zákona č. 367/2017 Sb. Zákon č. 500/2004 Sb., správní řád, v platném znění, se použije pouze v rozsahu základních zásad správního řízení (§ 2 - §, 8 tohoto zákona).</w:t>
      </w:r>
    </w:p>
    <w:p w:rsidR="00326DD4" w:rsidRPr="00B9019E" w:rsidRDefault="00326DD4" w:rsidP="00326DD4">
      <w:pPr>
        <w:ind w:left="432" w:right="288" w:firstLine="360"/>
        <w:jc w:val="both"/>
        <w:rPr>
          <w:rFonts w:ascii="Times New Roman" w:hAnsi="Times New Roman"/>
          <w:spacing w:val="1"/>
          <w:sz w:val="23"/>
          <w:lang w:val="cs-CZ"/>
        </w:rPr>
      </w:pPr>
      <w:r w:rsidRPr="00B9019E">
        <w:rPr>
          <w:rFonts w:ascii="Times New Roman" w:hAnsi="Times New Roman"/>
          <w:spacing w:val="1"/>
          <w:sz w:val="23"/>
          <w:lang w:val="cs-CZ"/>
        </w:rPr>
        <w:t xml:space="preserve">Ministerstvo kultury pro </w:t>
      </w:r>
      <w:proofErr w:type="spellStart"/>
      <w:r w:rsidRPr="00B9019E">
        <w:rPr>
          <w:rFonts w:ascii="Times New Roman" w:hAnsi="Times New Roman"/>
          <w:spacing w:val="1"/>
          <w:sz w:val="23"/>
          <w:lang w:val="cs-CZ"/>
        </w:rPr>
        <w:t>úpinost</w:t>
      </w:r>
      <w:proofErr w:type="spellEnd"/>
      <w:r w:rsidRPr="00B9019E">
        <w:rPr>
          <w:rFonts w:ascii="Times New Roman" w:hAnsi="Times New Roman"/>
          <w:spacing w:val="1"/>
          <w:sz w:val="23"/>
          <w:lang w:val="cs-CZ"/>
        </w:rPr>
        <w:t xml:space="preserve"> dodává, že je oprávněno zahájit řízení o odnětí dotace, </w:t>
      </w:r>
      <w:r w:rsidRPr="00B9019E">
        <w:rPr>
          <w:rFonts w:ascii="Times New Roman" w:hAnsi="Times New Roman"/>
          <w:spacing w:val="2"/>
          <w:sz w:val="23"/>
          <w:lang w:val="cs-CZ"/>
        </w:rPr>
        <w:t xml:space="preserve">pokud po vydání tohoto rozhodnutí nastanou skutečnosti uvedené v § 15 odst. 1 zákona č. </w:t>
      </w:r>
      <w:r w:rsidRPr="00B9019E">
        <w:rPr>
          <w:rFonts w:ascii="Times New Roman" w:hAnsi="Times New Roman"/>
          <w:spacing w:val="-2"/>
          <w:sz w:val="23"/>
          <w:lang w:val="cs-CZ"/>
        </w:rPr>
        <w:t xml:space="preserve">218/2000 Sb. (například dojde k vázání prostředků státního rozpočtu nebo Ministerstvo kultury </w:t>
      </w:r>
      <w:r w:rsidRPr="00B9019E">
        <w:rPr>
          <w:rFonts w:ascii="Times New Roman" w:hAnsi="Times New Roman"/>
          <w:spacing w:val="-1"/>
          <w:sz w:val="23"/>
          <w:lang w:val="cs-CZ"/>
        </w:rPr>
        <w:t xml:space="preserve">zjistí, že údaje, na jejichž základě byla dotace poskytnuta, byly </w:t>
      </w:r>
      <w:proofErr w:type="spellStart"/>
      <w:r w:rsidRPr="00B9019E">
        <w:rPr>
          <w:rFonts w:ascii="Times New Roman" w:hAnsi="Times New Roman"/>
          <w:spacing w:val="-1"/>
          <w:sz w:val="23"/>
          <w:lang w:val="cs-CZ"/>
        </w:rPr>
        <w:t>neúpiné</w:t>
      </w:r>
      <w:proofErr w:type="spellEnd"/>
      <w:r w:rsidRPr="00B9019E">
        <w:rPr>
          <w:rFonts w:ascii="Times New Roman" w:hAnsi="Times New Roman"/>
          <w:spacing w:val="-1"/>
          <w:sz w:val="23"/>
          <w:lang w:val="cs-CZ"/>
        </w:rPr>
        <w:t xml:space="preserve"> nebo nepravdivé).</w:t>
      </w:r>
    </w:p>
    <w:p w:rsidR="00326DD4" w:rsidRPr="00B9019E" w:rsidRDefault="00326DD4" w:rsidP="00326DD4">
      <w:pPr>
        <w:spacing w:before="288"/>
        <w:ind w:left="432" w:right="288" w:firstLine="360"/>
        <w:jc w:val="both"/>
        <w:rPr>
          <w:rFonts w:ascii="Times New Roman" w:hAnsi="Times New Roman"/>
          <w:spacing w:val="-1"/>
          <w:sz w:val="23"/>
          <w:lang w:val="cs-CZ"/>
        </w:rPr>
      </w:pPr>
      <w:r w:rsidRPr="00B9019E">
        <w:rPr>
          <w:rFonts w:ascii="Times New Roman" w:hAnsi="Times New Roman"/>
          <w:spacing w:val="-1"/>
          <w:sz w:val="23"/>
          <w:lang w:val="cs-CZ"/>
        </w:rPr>
        <w:t xml:space="preserve">Konečně Ministerstvo kultury upozorňuje, že pokud příjemce vyúčtuje dotaci nesprávně, </w:t>
      </w:r>
      <w:proofErr w:type="spellStart"/>
      <w:r w:rsidRPr="00B9019E">
        <w:rPr>
          <w:rFonts w:ascii="Times New Roman" w:hAnsi="Times New Roman"/>
          <w:spacing w:val="2"/>
          <w:sz w:val="23"/>
          <w:lang w:val="cs-CZ"/>
        </w:rPr>
        <w:t>neúpině</w:t>
      </w:r>
      <w:proofErr w:type="spellEnd"/>
      <w:r w:rsidRPr="00B9019E">
        <w:rPr>
          <w:rFonts w:ascii="Times New Roman" w:hAnsi="Times New Roman"/>
          <w:spacing w:val="2"/>
          <w:sz w:val="23"/>
          <w:lang w:val="cs-CZ"/>
        </w:rPr>
        <w:t xml:space="preserve"> nebo opožděně, pokud neprovede s Ministerstvem kultury její finanční vypořádání nebo pokud nevrátí do státního rozpočtu dotaci nebo její část, kterou nepoužil nebo kterou </w:t>
      </w:r>
      <w:r w:rsidRPr="00B9019E">
        <w:rPr>
          <w:rFonts w:ascii="Times New Roman" w:hAnsi="Times New Roman"/>
          <w:spacing w:val="8"/>
          <w:sz w:val="23"/>
          <w:lang w:val="cs-CZ"/>
        </w:rPr>
        <w:t xml:space="preserve">použil v rozporu s tímto rozhodnutím, nesmí mu Ministerstvo kultury poskytnout dotaci </w:t>
      </w:r>
      <w:r w:rsidRPr="00B9019E">
        <w:rPr>
          <w:rFonts w:ascii="Times New Roman" w:hAnsi="Times New Roman"/>
          <w:spacing w:val="6"/>
          <w:sz w:val="23"/>
          <w:lang w:val="cs-CZ"/>
        </w:rPr>
        <w:t xml:space="preserve">v roce 2018. Tento zákaz vyplývá z usnesení vlády č. 92 ze dne 1. února 2010, ve znění </w:t>
      </w:r>
      <w:r w:rsidRPr="00B9019E">
        <w:rPr>
          <w:rFonts w:ascii="Times New Roman" w:hAnsi="Times New Roman"/>
          <w:spacing w:val="2"/>
          <w:sz w:val="23"/>
          <w:lang w:val="cs-CZ"/>
        </w:rPr>
        <w:t>usnesení vlády č. 479 ze dne 19. 6. 2013 a usnesení vlády č. 657 ze dne 6. 8. 2014.</w:t>
      </w:r>
    </w:p>
    <w:p w:rsidR="00326DD4" w:rsidRPr="00B9019E" w:rsidRDefault="00326DD4" w:rsidP="00326DD4">
      <w:pPr>
        <w:spacing w:before="936" w:line="213" w:lineRule="auto"/>
        <w:ind w:left="4464"/>
        <w:rPr>
          <w:rFonts w:ascii="Times New Roman" w:hAnsi="Times New Roman"/>
          <w:sz w:val="23"/>
          <w:u w:val="single"/>
          <w:lang w:val="cs-CZ"/>
        </w:rPr>
      </w:pPr>
      <w:r w:rsidRPr="00B9019E">
        <w:rPr>
          <w:rFonts w:ascii="Times New Roman" w:hAnsi="Times New Roman"/>
          <w:sz w:val="23"/>
          <w:u w:val="single"/>
          <w:lang w:val="cs-CZ"/>
        </w:rPr>
        <w:t xml:space="preserve">Poučení: </w:t>
      </w:r>
    </w:p>
    <w:p w:rsidR="00326DD4" w:rsidRDefault="00326DD4" w:rsidP="00326DD4">
      <w:pPr>
        <w:spacing w:before="288" w:after="360"/>
        <w:ind w:left="72" w:right="288" w:firstLine="720"/>
        <w:jc w:val="both"/>
        <w:rPr>
          <w:rFonts w:ascii="Times New Roman" w:hAnsi="Times New Roman"/>
          <w:spacing w:val="-2"/>
          <w:sz w:val="23"/>
          <w:lang w:val="cs-CZ"/>
        </w:rPr>
      </w:pPr>
      <w:r w:rsidRPr="00B9019E">
        <w:rPr>
          <w:rFonts w:ascii="Times New Roman" w:hAnsi="Times New Roman"/>
          <w:spacing w:val="1"/>
          <w:sz w:val="23"/>
          <w:lang w:val="cs-CZ"/>
        </w:rPr>
        <w:t xml:space="preserve">Proti tomuto rozhodnutí není podle § 14 odst. 5 zákona č. 218/2000 Sb., ve znění účinném </w:t>
      </w:r>
      <w:r w:rsidRPr="00B9019E">
        <w:rPr>
          <w:rFonts w:ascii="Times New Roman" w:hAnsi="Times New Roman"/>
          <w:sz w:val="23"/>
          <w:lang w:val="cs-CZ"/>
        </w:rPr>
        <w:t xml:space="preserve">do 31. 12. 2017, ve spojení s čl. II. bod 1. a 2. zákona č. 367/2017 Sb., přípustný řádný opravný </w:t>
      </w:r>
      <w:r w:rsidRPr="00B9019E">
        <w:rPr>
          <w:rFonts w:ascii="Times New Roman" w:hAnsi="Times New Roman"/>
          <w:spacing w:val="1"/>
          <w:sz w:val="23"/>
          <w:lang w:val="cs-CZ"/>
        </w:rPr>
        <w:t xml:space="preserve">prostředek a je vyloučeno jeho soudní přezkoumání. Toto rozhodnutí nabývá právní moci dnem </w:t>
      </w:r>
      <w:r w:rsidRPr="00B9019E">
        <w:rPr>
          <w:rFonts w:ascii="Times New Roman" w:hAnsi="Times New Roman"/>
          <w:spacing w:val="-2"/>
          <w:sz w:val="23"/>
          <w:lang w:val="cs-CZ"/>
        </w:rPr>
        <w:t>jeho doručení příjemci.</w:t>
      </w:r>
    </w:p>
    <w:p w:rsidR="00326DD4" w:rsidRDefault="00326DD4" w:rsidP="00326DD4">
      <w:pPr>
        <w:spacing w:before="288" w:after="360"/>
        <w:ind w:left="72" w:right="288" w:firstLine="720"/>
        <w:jc w:val="both"/>
        <w:rPr>
          <w:rFonts w:ascii="Times New Roman" w:hAnsi="Times New Roman"/>
          <w:spacing w:val="-6"/>
          <w:sz w:val="23"/>
          <w:lang w:val="cs-CZ"/>
        </w:rPr>
      </w:pPr>
      <w:r w:rsidRPr="00B9019E">
        <w:rPr>
          <w:rFonts w:ascii="Times New Roman" w:hAnsi="Times New Roman"/>
          <w:spacing w:val="-6"/>
          <w:sz w:val="23"/>
          <w:lang w:val="cs-CZ"/>
        </w:rPr>
        <w:lastRenderedPageBreak/>
        <w:t xml:space="preserve">Rozhodnutí vydává: </w:t>
      </w:r>
    </w:p>
    <w:p w:rsidR="00326DD4" w:rsidRDefault="00326DD4" w:rsidP="00326DD4">
      <w:pPr>
        <w:spacing w:before="288" w:after="360"/>
        <w:ind w:left="72" w:right="288" w:firstLine="720"/>
        <w:jc w:val="both"/>
        <w:rPr>
          <w:rFonts w:ascii="Times New Roman" w:hAnsi="Times New Roman"/>
          <w:spacing w:val="-6"/>
          <w:sz w:val="23"/>
          <w:lang w:val="cs-CZ"/>
        </w:rPr>
      </w:pPr>
      <w:r w:rsidRPr="00B9019E">
        <w:rPr>
          <w:rFonts w:ascii="Times New Roman" w:hAnsi="Times New Roman"/>
          <w:spacing w:val="-6"/>
          <w:sz w:val="23"/>
          <w:lang w:val="cs-CZ"/>
        </w:rPr>
        <w:t xml:space="preserve">Ministerstvo kultury, odbor umění, literatury a knihoven, dne 6. 4. 2018 </w:t>
      </w:r>
    </w:p>
    <w:p w:rsidR="00326DD4" w:rsidRDefault="00326DD4" w:rsidP="00326DD4">
      <w:pPr>
        <w:spacing w:before="288" w:after="360"/>
        <w:ind w:left="72" w:right="288" w:firstLine="720"/>
        <w:jc w:val="both"/>
        <w:rPr>
          <w:rFonts w:ascii="Times New Roman" w:hAnsi="Times New Roman"/>
          <w:spacing w:val="-2"/>
          <w:sz w:val="23"/>
          <w:lang w:val="cs-CZ"/>
        </w:rPr>
      </w:pPr>
      <w:r w:rsidRPr="00B9019E">
        <w:rPr>
          <w:rFonts w:ascii="Times New Roman" w:hAnsi="Times New Roman"/>
          <w:spacing w:val="-2"/>
          <w:sz w:val="23"/>
          <w:lang w:val="cs-CZ"/>
        </w:rPr>
        <w:t>Schválil: Mgr. Milan</w:t>
      </w:r>
      <w:r>
        <w:rPr>
          <w:rFonts w:ascii="Times New Roman" w:hAnsi="Times New Roman"/>
          <w:spacing w:val="-2"/>
          <w:sz w:val="23"/>
          <w:lang w:val="cs-CZ"/>
        </w:rPr>
        <w:t xml:space="preserve"> </w:t>
      </w:r>
      <w:r w:rsidRPr="00B9019E">
        <w:rPr>
          <w:rFonts w:ascii="Times New Roman" w:hAnsi="Times New Roman"/>
          <w:spacing w:val="-2"/>
          <w:sz w:val="23"/>
          <w:lang w:val="cs-CZ"/>
        </w:rPr>
        <w:t>Němeček, Ph.D., ředitel odboru</w:t>
      </w:r>
    </w:p>
    <w:p w:rsidR="00326DD4" w:rsidRPr="00B9019E" w:rsidRDefault="00326DD4" w:rsidP="00326DD4">
      <w:pPr>
        <w:spacing w:before="288" w:after="360"/>
        <w:ind w:left="72" w:right="288" w:firstLine="720"/>
        <w:jc w:val="both"/>
        <w:rPr>
          <w:rFonts w:ascii="Times New Roman" w:hAnsi="Times New Roman"/>
          <w:spacing w:val="1"/>
          <w:sz w:val="23"/>
          <w:lang w:val="cs-CZ"/>
        </w:rPr>
      </w:pPr>
      <w:r>
        <w:rPr>
          <w:rFonts w:ascii="Times New Roman" w:hAnsi="Times New Roman"/>
          <w:spacing w:val="-2"/>
          <w:sz w:val="23"/>
          <w:lang w:val="cs-CZ"/>
        </w:rPr>
        <w:t>Razítko a podpis</w:t>
      </w:r>
    </w:p>
    <w:p w:rsidR="00326DD4" w:rsidRPr="00611154" w:rsidRDefault="00326DD4" w:rsidP="00326DD4">
      <w:pPr>
        <w:spacing w:before="360"/>
        <w:ind w:firstLine="360"/>
        <w:jc w:val="both"/>
        <w:rPr>
          <w:rFonts w:ascii="Times New Roman" w:hAnsi="Times New Roman"/>
          <w:sz w:val="23"/>
          <w:lang w:val="cs-CZ"/>
        </w:rPr>
      </w:pPr>
    </w:p>
    <w:p w:rsidR="00326DD4" w:rsidRPr="002A5F29" w:rsidRDefault="00326DD4" w:rsidP="00326DD4">
      <w:pPr>
        <w:spacing w:before="252"/>
        <w:ind w:left="360" w:right="72" w:firstLine="288"/>
        <w:jc w:val="both"/>
        <w:rPr>
          <w:rFonts w:ascii="Times New Roman" w:hAnsi="Times New Roman"/>
          <w:spacing w:val="-2"/>
          <w:sz w:val="24"/>
          <w:lang w:val="cs-CZ"/>
        </w:rPr>
      </w:pPr>
    </w:p>
    <w:p w:rsidR="00326DD4" w:rsidRPr="00326DD4" w:rsidRDefault="00326DD4" w:rsidP="00326DD4">
      <w:pPr>
        <w:spacing w:before="36"/>
        <w:ind w:left="288" w:right="72" w:hanging="288"/>
        <w:jc w:val="both"/>
        <w:rPr>
          <w:rFonts w:ascii="Times New Roman" w:hAnsi="Times New Roman"/>
          <w:color w:val="000000"/>
          <w:sz w:val="23"/>
          <w:lang w:val="cs-CZ"/>
        </w:rPr>
      </w:pPr>
    </w:p>
    <w:p w:rsidR="002F4299" w:rsidRDefault="002F4299" w:rsidP="002F4299">
      <w:pPr>
        <w:tabs>
          <w:tab w:val="decimal" w:pos="360"/>
          <w:tab w:val="decimal" w:pos="792"/>
        </w:tabs>
        <w:ind w:left="792" w:right="144"/>
        <w:jc w:val="both"/>
        <w:rPr>
          <w:rFonts w:ascii="Times New Roman" w:hAnsi="Times New Roman"/>
          <w:color w:val="000000"/>
          <w:spacing w:val="8"/>
          <w:sz w:val="24"/>
          <w:lang w:val="cs-CZ"/>
        </w:rPr>
      </w:pPr>
    </w:p>
    <w:p w:rsidR="002F4299" w:rsidRPr="002F4299" w:rsidRDefault="002F4299">
      <w:pPr>
        <w:rPr>
          <w:lang w:val="cs-CZ"/>
        </w:rPr>
      </w:pPr>
    </w:p>
    <w:sectPr w:rsidR="002F4299" w:rsidRPr="002F4299">
      <w:pgSz w:w="11918" w:h="16854"/>
      <w:pgMar w:top="352" w:right="1060" w:bottom="1388" w:left="11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37C"/>
    <w:multiLevelType w:val="multilevel"/>
    <w:tmpl w:val="A1AA96E2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56576"/>
    <w:multiLevelType w:val="multilevel"/>
    <w:tmpl w:val="37227AD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628DB"/>
    <w:multiLevelType w:val="multilevel"/>
    <w:tmpl w:val="45D2F5A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21732"/>
    <w:multiLevelType w:val="multilevel"/>
    <w:tmpl w:val="240A167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23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608B2"/>
    <w:multiLevelType w:val="multilevel"/>
    <w:tmpl w:val="808C100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3B3C3C"/>
        <w:spacing w:val="-3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F1A7E"/>
    <w:multiLevelType w:val="multilevel"/>
    <w:tmpl w:val="15E68D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F16ED"/>
    <w:multiLevelType w:val="multilevel"/>
    <w:tmpl w:val="52A29F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B2FC3"/>
    <w:multiLevelType w:val="multilevel"/>
    <w:tmpl w:val="2B9438EA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3B3C3C"/>
        <w:spacing w:val="-2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ED1"/>
    <w:rsid w:val="002F4299"/>
    <w:rsid w:val="00326DD4"/>
    <w:rsid w:val="00717CD0"/>
    <w:rsid w:val="007837A1"/>
    <w:rsid w:val="00BE2722"/>
    <w:rsid w:val="00BE6ED1"/>
    <w:rsid w:val="00C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in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2521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Recepce</cp:lastModifiedBy>
  <cp:revision>6</cp:revision>
  <dcterms:created xsi:type="dcterms:W3CDTF">2018-05-03T08:46:00Z</dcterms:created>
  <dcterms:modified xsi:type="dcterms:W3CDTF">2018-05-03T09:17:00Z</dcterms:modified>
</cp:coreProperties>
</file>