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7AE6" w:rsidRDefault="00D14209">
      <w:pPr>
        <w:keepNext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SMLOUVA O DÍLO č.  1/2018</w:t>
      </w: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D7AE6" w:rsidRDefault="00D14209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podle ustanovení § 2586 a násl. zákona č. 89/2012 Sb., občanského zákoníku</w:t>
      </w:r>
      <w:r>
        <w:rPr>
          <w:rFonts w:ascii="Arial" w:eastAsia="Arial" w:hAnsi="Arial" w:cs="Arial"/>
          <w:sz w:val="22"/>
          <w:szCs w:val="22"/>
        </w:rPr>
        <w:br/>
        <w:t xml:space="preserve"> mezi těmito smluvními stranami:</w:t>
      </w:r>
    </w:p>
    <w:p w:rsidR="003D7AE6" w:rsidRDefault="003D7AE6">
      <w:pPr>
        <w:rPr>
          <w:rFonts w:ascii="Arial" w:eastAsia="Arial" w:hAnsi="Arial" w:cs="Arial"/>
          <w:sz w:val="22"/>
          <w:szCs w:val="22"/>
        </w:rPr>
      </w:pPr>
    </w:p>
    <w:p w:rsidR="003D7AE6" w:rsidRDefault="003D7AE6">
      <w:pPr>
        <w:rPr>
          <w:rFonts w:ascii="Arial" w:eastAsia="Arial" w:hAnsi="Arial" w:cs="Arial"/>
          <w:sz w:val="22"/>
          <w:szCs w:val="22"/>
        </w:rPr>
      </w:pPr>
    </w:p>
    <w:p w:rsidR="00211C2C" w:rsidRPr="00211C2C" w:rsidRDefault="00D14209" w:rsidP="00211C2C">
      <w:pPr>
        <w:numPr>
          <w:ilvl w:val="0"/>
          <w:numId w:val="5"/>
        </w:numPr>
        <w:tabs>
          <w:tab w:val="left" w:pos="-360"/>
        </w:tabs>
        <w:rPr>
          <w:rFonts w:ascii="Arial" w:eastAsia="Arial" w:hAnsi="Arial" w:cs="Arial"/>
          <w:sz w:val="22"/>
          <w:szCs w:val="22"/>
        </w:rPr>
      </w:pPr>
      <w:r w:rsidRPr="00211C2C">
        <w:rPr>
          <w:rFonts w:ascii="Arial" w:eastAsia="Arial" w:hAnsi="Arial" w:cs="Arial"/>
          <w:b/>
          <w:sz w:val="22"/>
          <w:szCs w:val="22"/>
        </w:rPr>
        <w:t>Objednatel:</w:t>
      </w:r>
      <w:r w:rsidR="00211C2C">
        <w:rPr>
          <w:rFonts w:ascii="Arial" w:eastAsia="Arial" w:hAnsi="Arial" w:cs="Arial"/>
          <w:b/>
          <w:sz w:val="22"/>
          <w:szCs w:val="22"/>
        </w:rPr>
        <w:t xml:space="preserve">         Městská knihovna Jihlava, příspěvková organizace</w:t>
      </w:r>
      <w:r w:rsidRPr="00211C2C">
        <w:rPr>
          <w:rFonts w:ascii="Arial" w:eastAsia="Arial" w:hAnsi="Arial" w:cs="Arial"/>
          <w:b/>
          <w:sz w:val="22"/>
          <w:szCs w:val="22"/>
        </w:rPr>
        <w:tab/>
      </w:r>
    </w:p>
    <w:p w:rsidR="003D7AE6" w:rsidRPr="00211C2C" w:rsidRDefault="00211C2C" w:rsidP="00211C2C">
      <w:pPr>
        <w:tabs>
          <w:tab w:val="left" w:pos="-3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 w:rsidR="00D14209" w:rsidRPr="00211C2C">
        <w:rPr>
          <w:rFonts w:ascii="Arial" w:eastAsia="Arial" w:hAnsi="Arial" w:cs="Arial"/>
          <w:sz w:val="22"/>
          <w:szCs w:val="22"/>
        </w:rPr>
        <w:t xml:space="preserve">Se sídlem: </w:t>
      </w:r>
      <w:r w:rsidR="00D14209" w:rsidRPr="00211C2C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Hluboká 1</w:t>
      </w:r>
      <w:r w:rsidR="006E1244">
        <w:rPr>
          <w:rFonts w:ascii="Arial" w:eastAsia="Arial" w:hAnsi="Arial" w:cs="Arial"/>
          <w:sz w:val="22"/>
          <w:szCs w:val="22"/>
        </w:rPr>
        <w:t>09/1</w:t>
      </w:r>
      <w:r>
        <w:rPr>
          <w:rFonts w:ascii="Arial" w:eastAsia="Arial" w:hAnsi="Arial" w:cs="Arial"/>
          <w:sz w:val="22"/>
          <w:szCs w:val="22"/>
        </w:rPr>
        <w:t xml:space="preserve">, 586 01 Jihlava </w:t>
      </w:r>
    </w:p>
    <w:p w:rsidR="003D7AE6" w:rsidRDefault="00D14209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IČ: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211C2C">
        <w:rPr>
          <w:rFonts w:ascii="Arial" w:eastAsia="Arial" w:hAnsi="Arial" w:cs="Arial"/>
          <w:sz w:val="22"/>
          <w:szCs w:val="22"/>
        </w:rPr>
        <w:t xml:space="preserve">            00090719</w:t>
      </w:r>
    </w:p>
    <w:p w:rsidR="003D7AE6" w:rsidRDefault="00D14209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Zastoupený:</w:t>
      </w:r>
      <w:r>
        <w:rPr>
          <w:rFonts w:ascii="Arial" w:eastAsia="Arial" w:hAnsi="Arial" w:cs="Arial"/>
          <w:sz w:val="22"/>
          <w:szCs w:val="22"/>
        </w:rPr>
        <w:tab/>
      </w:r>
      <w:r w:rsidR="00211C2C">
        <w:rPr>
          <w:rFonts w:ascii="Arial" w:eastAsia="Arial" w:hAnsi="Arial" w:cs="Arial"/>
          <w:sz w:val="22"/>
          <w:szCs w:val="22"/>
        </w:rPr>
        <w:t>PhDr. Jarmila Daňková, ředitelka</w:t>
      </w:r>
    </w:p>
    <w:p w:rsidR="003D7AE6" w:rsidRDefault="003D7AE6">
      <w:pPr>
        <w:ind w:left="360"/>
        <w:rPr>
          <w:rFonts w:ascii="Arial" w:eastAsia="Arial" w:hAnsi="Arial" w:cs="Arial"/>
          <w:sz w:val="22"/>
          <w:szCs w:val="22"/>
        </w:rPr>
      </w:pPr>
    </w:p>
    <w:p w:rsidR="003D7AE6" w:rsidRDefault="00D14209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(dále jen objednatel)</w:t>
      </w:r>
    </w:p>
    <w:p w:rsidR="003D7AE6" w:rsidRDefault="003D7AE6">
      <w:pPr>
        <w:ind w:left="360"/>
        <w:jc w:val="center"/>
        <w:rPr>
          <w:rFonts w:ascii="Arial" w:eastAsia="Arial" w:hAnsi="Arial" w:cs="Arial"/>
          <w:sz w:val="22"/>
          <w:szCs w:val="22"/>
        </w:rPr>
      </w:pPr>
    </w:p>
    <w:p w:rsidR="003D7AE6" w:rsidRDefault="00D14209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</w:p>
    <w:p w:rsidR="003D7AE6" w:rsidRDefault="003D7AE6">
      <w:pPr>
        <w:rPr>
          <w:rFonts w:ascii="Arial" w:eastAsia="Arial" w:hAnsi="Arial" w:cs="Arial"/>
          <w:sz w:val="22"/>
          <w:szCs w:val="22"/>
        </w:rPr>
      </w:pPr>
    </w:p>
    <w:p w:rsidR="003D7AE6" w:rsidRDefault="00D14209">
      <w:pPr>
        <w:numPr>
          <w:ilvl w:val="0"/>
          <w:numId w:val="5"/>
        </w:numPr>
        <w:tabs>
          <w:tab w:val="left" w:pos="-36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Zhotovitel:</w:t>
      </w:r>
      <w:r>
        <w:rPr>
          <w:rFonts w:ascii="Arial" w:eastAsia="Arial" w:hAnsi="Arial" w:cs="Arial"/>
          <w:b/>
          <w:sz w:val="22"/>
          <w:szCs w:val="22"/>
        </w:rPr>
        <w:tab/>
        <w:t>Tritius Solutions a.s.</w:t>
      </w:r>
    </w:p>
    <w:p w:rsidR="003D7AE6" w:rsidRDefault="00D14209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sídlem: </w:t>
      </w:r>
      <w:r>
        <w:rPr>
          <w:rFonts w:ascii="Arial" w:eastAsia="Arial" w:hAnsi="Arial" w:cs="Arial"/>
          <w:sz w:val="22"/>
          <w:szCs w:val="22"/>
        </w:rPr>
        <w:tab/>
        <w:t>Vodní 258/13, Staré Brno, 602 00 Brno</w:t>
      </w:r>
    </w:p>
    <w:p w:rsidR="003D7AE6" w:rsidRDefault="00D14209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05700582,</w:t>
      </w:r>
      <w:r>
        <w:rPr>
          <w:rFonts w:ascii="Arial" w:eastAsia="Arial" w:hAnsi="Arial" w:cs="Arial"/>
          <w:sz w:val="22"/>
          <w:szCs w:val="22"/>
        </w:rPr>
        <w:tab/>
        <w:t>DIČ:   CZ05700582</w:t>
      </w:r>
    </w:p>
    <w:p w:rsidR="003D7AE6" w:rsidRDefault="00D14209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Obchodní rejstřík: Krajský soud Brno, oddíl B, vložka 7644</w:t>
      </w:r>
    </w:p>
    <w:p w:rsidR="003D7AE6" w:rsidRDefault="00D14209">
      <w:pPr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Zastoupený:</w:t>
      </w:r>
      <w:r>
        <w:rPr>
          <w:rFonts w:ascii="Arial" w:eastAsia="Arial" w:hAnsi="Arial" w:cs="Arial"/>
          <w:sz w:val="22"/>
          <w:szCs w:val="22"/>
        </w:rPr>
        <w:tab/>
        <w:t>Ing. Jiří Šilha, předseda představenstva</w:t>
      </w:r>
    </w:p>
    <w:p w:rsidR="003D7AE6" w:rsidRDefault="003D7AE6">
      <w:pPr>
        <w:ind w:left="360"/>
        <w:rPr>
          <w:rFonts w:ascii="Arial" w:eastAsia="Arial" w:hAnsi="Arial" w:cs="Arial"/>
          <w:sz w:val="22"/>
          <w:szCs w:val="22"/>
        </w:rPr>
      </w:pPr>
    </w:p>
    <w:p w:rsidR="003D7AE6" w:rsidRDefault="00D14209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(dále jen zhotovitel)</w:t>
      </w: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II.</w:t>
      </w: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Předmět smlouvy</w:t>
      </w: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provede převod dat ze stávajícího systému, dodávku a instalaci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knihovního systému Tritius  (dále jen systém) do </w:t>
      </w:r>
      <w:r>
        <w:rPr>
          <w:rFonts w:ascii="Arial" w:eastAsia="Arial" w:hAnsi="Arial" w:cs="Arial"/>
          <w:sz w:val="22"/>
          <w:szCs w:val="22"/>
        </w:rPr>
        <w:t xml:space="preserve">hostingového sídla 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www.zelenadata.cz</w:t>
        </w:r>
      </w:hyperlink>
      <w:r>
        <w:rPr>
          <w:rFonts w:ascii="Arial" w:eastAsia="Arial" w:hAnsi="Arial" w:cs="Arial"/>
          <w:sz w:val="22"/>
          <w:szCs w:val="22"/>
        </w:rPr>
        <w:t xml:space="preserve"> dále jen ZD a to </w:t>
      </w:r>
      <w:r>
        <w:rPr>
          <w:rFonts w:ascii="Arial" w:eastAsia="Arial" w:hAnsi="Arial" w:cs="Arial"/>
          <w:color w:val="000000"/>
          <w:sz w:val="22"/>
          <w:szCs w:val="22"/>
        </w:rPr>
        <w:t>formou dodávky virtu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izačního balíčku (dále jen VM)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Vlastní poskytnutí licence knihovnického software Tritius řeší samostatná licenční smlouva - předávací protokol, který je přílohou č. 1. této smlouvy.</w:t>
      </w: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III.</w:t>
      </w: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Konkrétní rozpis prací</w:t>
      </w: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provede u objednatele následující úkony spojené s dodávkou předmětného systému:</w:t>
      </w: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3D7AE6" w:rsidRDefault="00D1420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instalace a konfigurace VM Tritius na serveru</w:t>
      </w:r>
      <w:r>
        <w:rPr>
          <w:rFonts w:ascii="Arial" w:eastAsia="Arial" w:hAnsi="Arial" w:cs="Arial"/>
          <w:sz w:val="22"/>
          <w:szCs w:val="22"/>
        </w:rPr>
        <w:t xml:space="preserve"> ZD</w:t>
      </w:r>
    </w:p>
    <w:p w:rsidR="003D7AE6" w:rsidRDefault="00D1420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převod dat ze stávajícího knihovnického systém</w:t>
      </w:r>
      <w:r>
        <w:rPr>
          <w:rFonts w:ascii="Arial" w:eastAsia="Arial" w:hAnsi="Arial" w:cs="Arial"/>
          <w:sz w:val="22"/>
          <w:szCs w:val="22"/>
        </w:rPr>
        <w:t>u nebo datového souboru</w:t>
      </w:r>
    </w:p>
    <w:p w:rsidR="003D7AE6" w:rsidRDefault="00D1420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školení pracovníků objednatele v používání systému </w:t>
      </w:r>
    </w:p>
    <w:p w:rsidR="003D7AE6" w:rsidRDefault="00D1420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nastavení systému dle požadavků objednatele</w:t>
      </w:r>
    </w:p>
    <w:p w:rsidR="003D7AE6" w:rsidRDefault="00D1420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asistence při ostrém startu systému</w:t>
      </w:r>
    </w:p>
    <w:p w:rsidR="00211C2C" w:rsidRDefault="00211C2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211C2C" w:rsidRDefault="00211C2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211C2C" w:rsidRDefault="00211C2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IV. </w:t>
      </w: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Garance zhotovitele</w:t>
      </w: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3D7AE6" w:rsidRDefault="00D14209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garantuje zabezpečení dalšího vývoje, a technické podpory systému minimálně po dobu 5 let od podpisu smlouvy.</w:t>
      </w:r>
    </w:p>
    <w:p w:rsidR="003D7AE6" w:rsidRDefault="00D14209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Záruční servis na základní fungování předaných částí (modulů) knihovního systému dle rozsahu uvedeného v dokumentu</w:t>
      </w:r>
      <w:hyperlink r:id="rId9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 xml:space="preserve"> Základní funkčnosti systému Tritius</w:t>
        </w:r>
      </w:hyperlink>
      <w:r>
        <w:rPr>
          <w:rFonts w:ascii="Arial" w:eastAsia="Arial" w:hAnsi="Arial" w:cs="Arial"/>
          <w:sz w:val="22"/>
          <w:szCs w:val="22"/>
        </w:rPr>
        <w:t xml:space="preserve"> je v ceně licence systému a je proto poskytován první tři roky bezplatně.</w:t>
      </w:r>
    </w:p>
    <w:p w:rsidR="003D7AE6" w:rsidRDefault="00D14209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Podmínkou prodloužení záruky poskytování záručního servisu (prodloužení záruky systému) na další období je placení udržovacích poplatků za servis a update systému.</w:t>
      </w:r>
    </w:p>
    <w:p w:rsidR="003D7AE6" w:rsidRDefault="00D14209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Poskytování všech nových verzí systému (update) první rok po instalaci je v ceně licence systému tj. do 31.</w:t>
      </w:r>
      <w:r w:rsidR="00211C2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12.</w:t>
      </w:r>
      <w:r w:rsidR="00211C2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2019. Objednatel hradí veškeré náklady na instalaci update a na případné školení, pokud není uzavřena servisní smlouva (SLA).</w:t>
      </w:r>
    </w:p>
    <w:p w:rsidR="003D7AE6" w:rsidRDefault="00D14209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garantuje dodržování knihovnických a technických standardů (AACR2, ISBD, MARC21, MARC21/Autority, RDA) a bezpečnostních komunikačních standardů (SSL).</w:t>
      </w:r>
      <w:r>
        <w:rPr>
          <w:rFonts w:ascii="Arial" w:eastAsia="Arial" w:hAnsi="Arial" w:cs="Arial"/>
          <w:sz w:val="22"/>
          <w:szCs w:val="22"/>
        </w:rPr>
        <w:tab/>
      </w:r>
    </w:p>
    <w:p w:rsidR="003D7AE6" w:rsidRDefault="00D14209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se zavazuje včas upozornit na problémy, které brání dodržení termínu nebo kvality provedení díla.</w:t>
      </w:r>
      <w:r>
        <w:rPr>
          <w:rFonts w:ascii="Arial" w:eastAsia="Arial" w:hAnsi="Arial" w:cs="Arial"/>
          <w:sz w:val="22"/>
          <w:szCs w:val="22"/>
        </w:rPr>
        <w:tab/>
      </w:r>
    </w:p>
    <w:p w:rsidR="003D7AE6" w:rsidRDefault="00D14209">
      <w:pPr>
        <w:widowControl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se seznámil s rozsahem a povahou předmětu díla a jsou mu známy veškeré technické, kvalitativní podmínky nezbytné k realizaci díla a disponuje takovými kapacitami a odbornými znalostmi, které jsou k realizaci díla nezbytné.</w:t>
      </w:r>
    </w:p>
    <w:p w:rsidR="003D7AE6" w:rsidRDefault="003D7AE6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:rsidR="003D7AE6" w:rsidRDefault="003D7A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</w:t>
      </w: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Součinnost objednavatele</w:t>
      </w: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3D7AE6" w:rsidRDefault="00D14209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Vyplnění instalačního protokolu popřípadě i formuláře Údaje pro implementaci.</w:t>
      </w:r>
    </w:p>
    <w:p w:rsidR="003D7AE6" w:rsidRDefault="00D14209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Poskytování nezbytné technické a odborné součinnosti zejména při instalaci systému do virtualizačního prostředí, provozu na pracovních stanicích a jejich periferiích. </w:t>
      </w:r>
    </w:p>
    <w:p w:rsidR="003D7AE6" w:rsidRDefault="00D14209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Zajištění součinnosti třetích stran při integraci s jinými informačními systémy.</w:t>
      </w:r>
    </w:p>
    <w:p w:rsidR="003D7AE6" w:rsidRDefault="00D14209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Dodržování lhůt a termínů v</w:t>
      </w:r>
      <w:r w:rsidR="00211C2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rámci dohodnutého harmonogramu prací a uzavření SLA.</w:t>
      </w:r>
    </w:p>
    <w:p w:rsidR="003D7AE6" w:rsidRDefault="00D14209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Zajištění školení pracovníků objednatele v oblasti knihovnických standardů (AACR2, ISBD, MARC21, MARC21/Autority, RDA).</w:t>
      </w:r>
    </w:p>
    <w:p w:rsidR="003D7AE6" w:rsidRDefault="00D14209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Předávání požadovaných úprav systému, úprav a oprav konverzí dat ze stávajícího systému písemnou formou výhradně do </w:t>
      </w:r>
      <w:hyperlink r:id="rId10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helpdesku systému Tritius.</w:t>
        </w:r>
      </w:hyperlink>
    </w:p>
    <w:p w:rsidR="003D7AE6" w:rsidRDefault="00D14209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Akceptace minimální konfigurace pro pracovní stanici viz dokument:</w:t>
      </w:r>
      <w:r>
        <w:rPr>
          <w:rFonts w:ascii="Arial" w:eastAsia="Arial" w:hAnsi="Arial" w:cs="Arial"/>
          <w:sz w:val="22"/>
          <w:szCs w:val="22"/>
        </w:rPr>
        <w:br/>
      </w:r>
      <w:hyperlink r:id="rId11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Technické požadavky na provoz systému Tritius na vlastním serveru</w:t>
        </w:r>
      </w:hyperlink>
    </w:p>
    <w:p w:rsidR="003D7AE6" w:rsidRDefault="00D14209">
      <w:pPr>
        <w:widowControl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Objednatel bude přihlížet </w:t>
      </w:r>
      <w:r>
        <w:rPr>
          <w:rFonts w:ascii="Arial" w:eastAsia="Arial" w:hAnsi="Arial" w:cs="Arial"/>
          <w:sz w:val="22"/>
          <w:szCs w:val="22"/>
        </w:rPr>
        <w:tab/>
        <w:t>k organizačním změnám navržených zhotovitelem vedoucím k racionalizaci provozu a zvýšení produktivity práce.</w:t>
      </w: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fldChar w:fldCharType="begin"/>
      </w:r>
      <w:r>
        <w:instrText xml:space="preserve"> HYPERLINK "https://confluence.tritius.cz/pages/viewpage.action?pageId=76481367" </w:instrText>
      </w:r>
      <w:r>
        <w:fldChar w:fldCharType="separate"/>
      </w: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fldChar w:fldCharType="end"/>
      </w: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VI.</w:t>
      </w: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Cena a způsob platby</w:t>
      </w: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Výše ceny za provedené dílo byla dohodnuta takto:</w:t>
      </w: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tbl>
      <w:tblPr>
        <w:tblStyle w:val="a"/>
        <w:tblW w:w="902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814"/>
        <w:gridCol w:w="2207"/>
      </w:tblGrid>
      <w:tr w:rsidR="003D7AE6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3D7AE6" w:rsidRDefault="00D142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Specifikace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D7AE6" w:rsidRDefault="00D142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Cena</w:t>
            </w:r>
          </w:p>
        </w:tc>
      </w:tr>
      <w:tr w:rsidR="003D7AE6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3D7AE6" w:rsidRDefault="00D142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Upgrade licence Tritius do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200.000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sv. 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D7AE6" w:rsidRDefault="00D142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427 520,00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3D7AE6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3D7AE6" w:rsidRDefault="00D142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Instalace a nastavení systému včetně převodu dat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D7AE6" w:rsidRDefault="00D142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96 192,00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Kč</w:t>
            </w:r>
          </w:p>
        </w:tc>
      </w:tr>
      <w:tr w:rsidR="003D7AE6">
        <w:trPr>
          <w:trHeight w:val="560"/>
        </w:trPr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3D7AE6" w:rsidRDefault="00D142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D7AE6" w:rsidRDefault="00D142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523 712,00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Kč</w:t>
            </w:r>
          </w:p>
        </w:tc>
      </w:tr>
      <w:tr w:rsidR="003D7AE6">
        <w:trPr>
          <w:trHeight w:val="560"/>
        </w:trPr>
        <w:tc>
          <w:tcPr>
            <w:tcW w:w="6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3D7AE6" w:rsidRDefault="00D142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Celkem s DPH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D7AE6" w:rsidRDefault="00D142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633 691,52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Kč</w:t>
            </w:r>
          </w:p>
        </w:tc>
      </w:tr>
    </w:tbl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3D7AE6" w:rsidRDefault="00D14209">
      <w:pPr>
        <w:widowControl/>
        <w:numPr>
          <w:ilvl w:val="0"/>
          <w:numId w:val="9"/>
        </w:numPr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kalkulaci jsou zahrnuty cestovní náklady spojené s instalací a konfigurací systému.</w:t>
      </w:r>
    </w:p>
    <w:p w:rsidR="003D7AE6" w:rsidRDefault="00D14209">
      <w:pPr>
        <w:widowControl/>
        <w:numPr>
          <w:ilvl w:val="0"/>
          <w:numId w:val="9"/>
        </w:numPr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Způsob úhrady ceny díla byl dohodnut takto: Zhotovitel vystaví fakturu se splatností minimálně 21 dnů na základě předání díla po jeho otestování.</w:t>
      </w:r>
    </w:p>
    <w:p w:rsidR="003D7AE6" w:rsidRDefault="00D14209">
      <w:pPr>
        <w:widowControl/>
        <w:numPr>
          <w:ilvl w:val="0"/>
          <w:numId w:val="9"/>
        </w:numPr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Faktury budou hrazeny objednatelem na účet zhotovitele systému.</w:t>
      </w:r>
    </w:p>
    <w:p w:rsidR="003D7AE6" w:rsidRDefault="00D14209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Poslední daňový doklad v kalendářním roce musí být objednateli doručen nejpozději 15. prosince příslušného roku.</w:t>
      </w:r>
    </w:p>
    <w:p w:rsidR="003D7AE6" w:rsidRDefault="00D14209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Faktura musí obsahovat obecné náležitosti daňového dokladu dle § 29 zákona č. 235/2004 Sb., o dani z přidané hodnoty, ve znění pozdějších předpisů. Dnem zaplacení ceny za předmět smlouvy se rozumí den připsání platby na účet zhotovitele.</w:t>
      </w:r>
    </w:p>
    <w:p w:rsidR="003D7AE6" w:rsidRDefault="00D14209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Pokud faktura neobsahuje všechny zákonem a smlouvou stanovené náležitosti, je objednatel oprávněn ji do data splatnosti vrátit s tím, že zhotovitel je poté povinen vystavit novou fakturu s novým termínem splatnosti. V takovém případě není objednatel v prodlení s úhradou.</w:t>
      </w:r>
    </w:p>
    <w:p w:rsidR="003D7AE6" w:rsidRDefault="00D14209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prohlašuje, že ke dni podpisu smlouvy není nespolehlivým plátcem DPH dle § 106a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V případě porušení některé z těchto povinnosti je zhotovitel povinen uhradit objednateli smluvní pokutu ve výši 50.000,- Kč, a to za každý jednotlivý případ porušení povinnosti. Uhrazení smluvní pokuty se nedotýká nároku na náhradu škody způsobené porušením této povinnosti.</w:t>
      </w:r>
    </w:p>
    <w:p w:rsidR="003D7AE6" w:rsidRDefault="00D14209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Zhotovitel dále souhlasí s tím, aby objednatel provedl zajišťovací úhradu DPH přímo na účet jeho správce daně, jestliže zhotovitel bude ke dni uskutečnění zdanitelného plnění veden v registru nespolehlivých plátců DPH.</w:t>
      </w:r>
    </w:p>
    <w:p w:rsidR="00211C2C" w:rsidRDefault="00211C2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211C2C" w:rsidRDefault="00211C2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211C2C" w:rsidRDefault="00211C2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VII.</w:t>
      </w: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FFFF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Termíny realizace díla</w:t>
      </w: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FFFFFF"/>
          <w:sz w:val="22"/>
          <w:szCs w:val="22"/>
        </w:rPr>
      </w:pPr>
    </w:p>
    <w:tbl>
      <w:tblPr>
        <w:tblStyle w:val="a0"/>
        <w:tblW w:w="93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31"/>
        <w:gridCol w:w="2268"/>
        <w:gridCol w:w="3746"/>
      </w:tblGrid>
      <w:tr w:rsidR="003D7AE6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666666"/>
          </w:tcPr>
          <w:p w:rsidR="003D7AE6" w:rsidRDefault="00D142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666666"/>
          </w:tcPr>
          <w:p w:rsidR="003D7AE6" w:rsidRDefault="00D142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Termín realizace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666666"/>
          </w:tcPr>
          <w:p w:rsidR="003D7AE6" w:rsidRDefault="00D142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Poznámka</w:t>
            </w:r>
          </w:p>
        </w:tc>
      </w:tr>
      <w:tr w:rsidR="003D7AE6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3D7AE6" w:rsidRDefault="00D142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Vyplnění dotazníku pro přípravu instalace a příprava virtualizačního prostředí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3D7AE6" w:rsidRDefault="00D142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Max. </w:t>
            </w: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D7AE6" w:rsidRDefault="00D14209">
            <w:pPr>
              <w:widowControl/>
              <w:tabs>
                <w:tab w:val="center" w:pos="4536"/>
                <w:tab w:val="right" w:pos="9072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Vyplňuje a připravuje Objednatel.</w:t>
            </w:r>
          </w:p>
        </w:tc>
      </w:tr>
      <w:tr w:rsidR="003D7AE6"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3D7AE6" w:rsidRDefault="00D14209" w:rsidP="00211C2C">
            <w:pPr>
              <w:widowControl/>
              <w:tabs>
                <w:tab w:val="center" w:pos="4536"/>
                <w:tab w:val="right" w:pos="9072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Příprava implementace systému (instalace a konfigurace Tritius vč. příp. testovacího převodu)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3D7AE6" w:rsidRDefault="00D14209">
            <w:pPr>
              <w:widowControl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Max. 30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D7AE6" w:rsidRDefault="00D14209">
            <w:pPr>
              <w:widowControl/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Závisí na HW a SW připravenosti</w:t>
            </w:r>
          </w:p>
        </w:tc>
      </w:tr>
      <w:tr w:rsidR="003D7AE6">
        <w:trPr>
          <w:trHeight w:val="520"/>
        </w:trPr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3D7AE6" w:rsidRDefault="00D142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Školení uživatelů 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3D7AE6" w:rsidRDefault="00D142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Max. 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D7AE6" w:rsidRDefault="00D142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Max. 3-4 osoby </w:t>
            </w:r>
          </w:p>
        </w:tc>
      </w:tr>
      <w:tr w:rsidR="003D7AE6">
        <w:trPr>
          <w:trHeight w:val="540"/>
        </w:trPr>
        <w:tc>
          <w:tcPr>
            <w:tcW w:w="3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3D7AE6" w:rsidRDefault="00D142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Ostrý provoz všech částí systému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3D7AE6" w:rsidRDefault="00D142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Max. 80 dní od dne D</w:t>
            </w:r>
          </w:p>
        </w:tc>
        <w:tc>
          <w:tcPr>
            <w:tcW w:w="37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3D7AE6" w:rsidRDefault="00D142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Závisí na HW a SW připravenosti</w:t>
            </w:r>
          </w:p>
        </w:tc>
      </w:tr>
    </w:tbl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 Den D je dnem uzavření této smlouvy o dílo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VIII.</w:t>
      </w: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Způsob převzetí díla</w:t>
      </w: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D7AE6" w:rsidRDefault="00D1420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Dílo nebo jeho část bude převzato až po úspěšném otestování ve 14 denní lhůtě.</w:t>
      </w:r>
    </w:p>
    <w:p w:rsidR="003D7AE6" w:rsidRDefault="00D1420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Systém musí být při testovacím provozu zhotovitelem nastaven podle specifických podmínek objednatele (tiskové výstupy, definice provozů, konfigurace výpůjčního systému, nastavení uživatelských práv atd.)</w:t>
      </w:r>
    </w:p>
    <w:p w:rsidR="003D7AE6" w:rsidRDefault="00D1420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Právo systém užívat vzniká až podpisem předávacího protokolu (licenční smlouvy).</w:t>
      </w: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IX.</w:t>
      </w: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Servis systému</w:t>
      </w: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Mimozáruční i záruční 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ervis systému bude zajišťovat </w:t>
      </w:r>
      <w:r>
        <w:rPr>
          <w:rFonts w:ascii="Arial" w:eastAsia="Arial" w:hAnsi="Arial" w:cs="Arial"/>
          <w:sz w:val="22"/>
          <w:szCs w:val="22"/>
        </w:rPr>
        <w:t>zhotovitel dle zvolené úrovně ceníku servisu pro aktuální rok na základě samostatné servisní smlouvy (SLA).Servisní smlouvu se objednavatel a zhotovitel zavazuje uzavřít nejpozději do 30 dnů od převzetí systému do ostrého provozu.</w:t>
      </w: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3D7AE6" w:rsidRDefault="00D14209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X.</w:t>
      </w:r>
    </w:p>
    <w:p w:rsidR="003D7AE6" w:rsidRDefault="00D14209">
      <w:pPr>
        <w:tabs>
          <w:tab w:val="left" w:pos="360"/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Zabezpečení ochrany osobních údajů</w:t>
      </w:r>
    </w:p>
    <w:p w:rsidR="003D7AE6" w:rsidRDefault="003D7AE6">
      <w:pPr>
        <w:tabs>
          <w:tab w:val="left" w:pos="360"/>
          <w:tab w:val="left" w:pos="720"/>
        </w:tabs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3D7AE6" w:rsidRDefault="00D14209">
      <w:pPr>
        <w:numPr>
          <w:ilvl w:val="0"/>
          <w:numId w:val="6"/>
        </w:numPr>
        <w:tabs>
          <w:tab w:val="left" w:pos="363"/>
        </w:tabs>
        <w:ind w:left="363"/>
        <w:jc w:val="both"/>
      </w:pPr>
      <w:r>
        <w:rPr>
          <w:rFonts w:ascii="Arial" w:eastAsia="Arial" w:hAnsi="Arial" w:cs="Arial"/>
          <w:sz w:val="22"/>
          <w:szCs w:val="22"/>
        </w:rPr>
        <w:t xml:space="preserve">Zhotovitel je zpracovatelem osobních údajů, Objednatel je správce osobních údajů </w:t>
      </w:r>
      <w:r>
        <w:rPr>
          <w:rFonts w:ascii="Arial" w:eastAsia="Arial" w:hAnsi="Arial" w:cs="Arial"/>
          <w:sz w:val="22"/>
          <w:szCs w:val="22"/>
        </w:rPr>
        <w:br/>
        <w:t>ve smyslu zákona 101/2000 Sb. O Ochraně osobních údajů.</w:t>
      </w:r>
    </w:p>
    <w:p w:rsidR="003D7AE6" w:rsidRDefault="00D14209">
      <w:pPr>
        <w:numPr>
          <w:ilvl w:val="0"/>
          <w:numId w:val="6"/>
        </w:numPr>
        <w:tabs>
          <w:tab w:val="left" w:pos="338"/>
        </w:tabs>
        <w:ind w:left="338"/>
        <w:jc w:val="both"/>
      </w:pPr>
      <w:r>
        <w:rPr>
          <w:rFonts w:ascii="Arial" w:eastAsia="Arial" w:hAnsi="Arial" w:cs="Arial"/>
          <w:sz w:val="22"/>
          <w:szCs w:val="22"/>
        </w:rPr>
        <w:t>Správce osobních údajů zpracovává osobní údaje o čtenářích - jméno, příjmení, datum narození, bydliště uvedená na přihlášce čtenáře za účelem vedení knihovnické agendy, aby bylo umožněno poskytování knihovnických a informačních služeb a byla zabezpečena ochrana knihovního fondu. Osobní údaje objednatel používá pouze pro jmenované účely po dobu trvání čtenářského vztahu, chrání je před zneužitím a neposkytuje je třetím osobám.</w:t>
      </w:r>
      <w:r>
        <w:rPr>
          <w:rFonts w:ascii="Arial" w:eastAsia="Arial" w:hAnsi="Arial" w:cs="Arial"/>
          <w:sz w:val="22"/>
          <w:szCs w:val="22"/>
        </w:rPr>
        <w:br/>
        <w:t xml:space="preserve"> </w:t>
      </w:r>
    </w:p>
    <w:p w:rsidR="003D7AE6" w:rsidRDefault="00D14209">
      <w:pPr>
        <w:numPr>
          <w:ilvl w:val="0"/>
          <w:numId w:val="6"/>
        </w:numPr>
        <w:tabs>
          <w:tab w:val="left" w:pos="375"/>
        </w:tabs>
        <w:ind w:left="363"/>
        <w:jc w:val="both"/>
      </w:pPr>
      <w:r>
        <w:rPr>
          <w:rFonts w:ascii="Arial" w:eastAsia="Arial" w:hAnsi="Arial" w:cs="Arial"/>
          <w:sz w:val="22"/>
          <w:szCs w:val="22"/>
        </w:rPr>
        <w:t>Zhotovitel se zavazuje jako zpracovatel osobní údaje vymezené v odstavci 2 (dále jen „osobní údaje“) zpracovávat tímto způsobem (spravuje systém, provádí úpravy softwaru, programové změny apod.). Zpracování se nesmí účastnit žádná třetí osoba.</w:t>
      </w:r>
    </w:p>
    <w:p w:rsidR="003D7AE6" w:rsidRDefault="00D14209">
      <w:pPr>
        <w:numPr>
          <w:ilvl w:val="0"/>
          <w:numId w:val="6"/>
        </w:numPr>
        <w:tabs>
          <w:tab w:val="left" w:pos="350"/>
        </w:tabs>
        <w:ind w:left="363"/>
        <w:jc w:val="both"/>
      </w:pPr>
      <w:r>
        <w:rPr>
          <w:rFonts w:ascii="Arial" w:eastAsia="Arial" w:hAnsi="Arial" w:cs="Arial"/>
          <w:sz w:val="22"/>
          <w:szCs w:val="22"/>
        </w:rPr>
        <w:lastRenderedPageBreak/>
        <w:t xml:space="preserve">Zhotovitel tímto deklaruje záruky zpracovatele o technickém a organizačním zabezpečení ochrany osobních údajů. </w:t>
      </w:r>
    </w:p>
    <w:p w:rsidR="003D7AE6" w:rsidRDefault="00D14209">
      <w:pPr>
        <w:numPr>
          <w:ilvl w:val="0"/>
          <w:numId w:val="6"/>
        </w:numPr>
        <w:tabs>
          <w:tab w:val="left" w:pos="350"/>
        </w:tabs>
        <w:ind w:left="3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 dohodě obou stran může být nad rámec výše uvedeného uzavřena samostatná smlouva na ochranu osobních údajů nebo smluvní doložka. </w:t>
      </w: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XI.</w:t>
      </w: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Další ujednání</w:t>
      </w: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D7AE6" w:rsidRDefault="00D1420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Objednatel v případě využití upgrade ceny licence systému ztrácí licenci původního systému Clavius a do 3 měsíců po ostrém startu systému ji nesmí nadále používat. </w:t>
      </w:r>
    </w:p>
    <w:p w:rsidR="003D7AE6" w:rsidRDefault="00D1420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 se zavazuje včas upozornit na problémy, které brání dodržení termínu nebo kvality provedení díla.</w:t>
      </w:r>
    </w:p>
    <w:p w:rsidR="003D7AE6" w:rsidRDefault="00D1420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Při zpoždění termínu realizace zaviněné zhotovitelem má právo objednatel uložit zhotoviteli smluvní pokutu ve výši 0.05% z ceny díla za každý den prodlení.</w:t>
      </w:r>
    </w:p>
    <w:p w:rsidR="003D7AE6" w:rsidRDefault="00D1420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Při nedodržení termínu splatnosti faktur má zhotovitel právo uložit smluvní pokutu ve výši 0.05% z ceny díla za každý den prodlení.</w:t>
      </w:r>
    </w:p>
    <w:p w:rsidR="003D7AE6" w:rsidRDefault="00D1420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Tato smlouva je sepsána ve dvou vyhotoveních, z toho jedno vyhotovení obdrží zhotovitel a druhé vyhotovení objednatel.</w:t>
      </w:r>
    </w:p>
    <w:p w:rsidR="003D7AE6" w:rsidRDefault="00D14209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Smluvní strany prohlašují, že souhlasí s uveřejněním této smlouvy i příp. jejích dodatků v registru smluv dle zákona č. 340/2015 Sb., vzhledem k tomu, že se na tuto smlouvu v plném rozsahu vztahuje povinnost uveřejnění dle tohoto zákona. </w:t>
      </w:r>
    </w:p>
    <w:p w:rsidR="003D7AE6" w:rsidRDefault="00D14209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Tato smlouva nabývá platnosti dnem podpisu obou zúčastněných stran a účinnosti okamžikem uveřejnění v registru smluv dle zákona č. 340/2015 Sb. Smluvní strany potvrzují, že smlouva neobsahuje obchodní tajemství, a žádnou její část ani její metadata proto nevyloučily z uveřejnění.</w:t>
      </w:r>
    </w:p>
    <w:p w:rsidR="003D7AE6" w:rsidRDefault="00D1420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Obě strany prohlašují, že smlouvu uzavřely bez nátlaku o své svobodné vůli.</w:t>
      </w: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Přílohy: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č. 1.  Předávací protokol - licenční smlouva</w:t>
      </w: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V Brně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dne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V </w:t>
      </w:r>
      <w:r>
        <w:rPr>
          <w:rFonts w:ascii="Arial" w:eastAsia="Arial" w:hAnsi="Arial" w:cs="Arial"/>
          <w:sz w:val="22"/>
          <w:szCs w:val="22"/>
        </w:rPr>
        <w:t xml:space="preserve">     </w:t>
      </w:r>
      <w:r w:rsidR="00EB2B1B">
        <w:rPr>
          <w:rFonts w:ascii="Arial" w:eastAsia="Arial" w:hAnsi="Arial" w:cs="Arial"/>
          <w:sz w:val="22"/>
          <w:szCs w:val="22"/>
        </w:rPr>
        <w:t>Jihlavě</w:t>
      </w: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dne </w:t>
      </w: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3D7AE6" w:rsidRDefault="00D14209">
      <w:pPr>
        <w:keepNext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1134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Zhotovitel: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Objednatel:</w:t>
      </w: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3D7AE6" w:rsidRDefault="003D7AE6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3D7AE6" w:rsidRDefault="00D14209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….........................……….....…….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………….......................................</w:t>
      </w:r>
    </w:p>
    <w:sectPr w:rsidR="003D7AE6">
      <w:headerReference w:type="default" r:id="rId12"/>
      <w:footerReference w:type="default" r:id="rId13"/>
      <w:pgSz w:w="11906" w:h="16838"/>
      <w:pgMar w:top="1653" w:right="1417" w:bottom="2220" w:left="156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2B" w:rsidRDefault="00F82F2B">
      <w:r>
        <w:separator/>
      </w:r>
    </w:p>
  </w:endnote>
  <w:endnote w:type="continuationSeparator" w:id="0">
    <w:p w:rsidR="00F82F2B" w:rsidRDefault="00F8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E6" w:rsidRDefault="00D14209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417"/>
      <w:jc w:val="center"/>
      <w:rPr>
        <w:color w:val="000000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B454C5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2B" w:rsidRDefault="00F82F2B">
      <w:r>
        <w:separator/>
      </w:r>
    </w:p>
  </w:footnote>
  <w:footnote w:type="continuationSeparator" w:id="0">
    <w:p w:rsidR="00F82F2B" w:rsidRDefault="00F82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E6" w:rsidRDefault="003D7AE6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417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A32"/>
    <w:multiLevelType w:val="multilevel"/>
    <w:tmpl w:val="C0B69EBE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/>
        <w:b w:val="0"/>
        <w:i w:val="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0F380C96"/>
    <w:multiLevelType w:val="multilevel"/>
    <w:tmpl w:val="119E54F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nsid w:val="345A2E30"/>
    <w:multiLevelType w:val="multilevel"/>
    <w:tmpl w:val="3D02F4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8E44B87"/>
    <w:multiLevelType w:val="multilevel"/>
    <w:tmpl w:val="A29827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5BBF7AA9"/>
    <w:multiLevelType w:val="multilevel"/>
    <w:tmpl w:val="FCD63828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nsid w:val="65995D25"/>
    <w:multiLevelType w:val="multilevel"/>
    <w:tmpl w:val="3E76BCCA"/>
    <w:lvl w:ilvl="0">
      <w:start w:val="1"/>
      <w:numFmt w:val="decimal"/>
      <w:lvlText w:val="%1."/>
      <w:lvlJc w:val="left"/>
      <w:pPr>
        <w:ind w:left="695" w:hanging="360"/>
      </w:pPr>
      <w:rPr>
        <w:rFonts w:ascii="Arial" w:eastAsia="Arial" w:hAnsi="Arial" w:cs="Arial"/>
        <w:b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55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15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75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35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495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55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15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575" w:hanging="360"/>
      </w:pPr>
      <w:rPr>
        <w:vertAlign w:val="baseline"/>
      </w:rPr>
    </w:lvl>
  </w:abstractNum>
  <w:abstractNum w:abstractNumId="6">
    <w:nsid w:val="6ED81895"/>
    <w:multiLevelType w:val="multilevel"/>
    <w:tmpl w:val="666CB91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">
    <w:nsid w:val="7A86317E"/>
    <w:multiLevelType w:val="multilevel"/>
    <w:tmpl w:val="E7ECF96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>
    <w:nsid w:val="7D64346C"/>
    <w:multiLevelType w:val="multilevel"/>
    <w:tmpl w:val="7CB48E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7AE6"/>
    <w:rsid w:val="000B27EF"/>
    <w:rsid w:val="000D5F7B"/>
    <w:rsid w:val="00211C2C"/>
    <w:rsid w:val="00387AFB"/>
    <w:rsid w:val="003A155F"/>
    <w:rsid w:val="003D7AE6"/>
    <w:rsid w:val="006E1244"/>
    <w:rsid w:val="00B454C5"/>
    <w:rsid w:val="00CD33B8"/>
    <w:rsid w:val="00D14209"/>
    <w:rsid w:val="00EB2B1B"/>
    <w:rsid w:val="00F820C0"/>
    <w:rsid w:val="00F8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onfluence.tritius.cz/pages/viewpage.action?pageId=7648136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nfluence.tritius.cz/pages/viewpage.action?pageId=723533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fluence.tritius.cz/pages/viewpage.action?pageId=839852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1496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MěK Jihlava-PhDr. Jarmila Daňková</dc:creator>
  <cp:lastModifiedBy>MěK Jihlava-Útvar ekonomicko-správní</cp:lastModifiedBy>
  <cp:revision>2</cp:revision>
  <dcterms:created xsi:type="dcterms:W3CDTF">2018-05-02T12:41:00Z</dcterms:created>
  <dcterms:modified xsi:type="dcterms:W3CDTF">2018-05-02T12:41:00Z</dcterms:modified>
</cp:coreProperties>
</file>