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EFFC7" w14:textId="77777777" w:rsidR="00DC6493" w:rsidRDefault="00DC6493" w:rsidP="00F45C79">
      <w:pPr>
        <w:pStyle w:val="smlouvabodytextbold"/>
        <w:jc w:val="center"/>
      </w:pPr>
    </w:p>
    <w:p w14:paraId="4FFB2E2A" w14:textId="77777777" w:rsidR="00DC6493" w:rsidRDefault="00DC6493" w:rsidP="00F45C79">
      <w:pPr>
        <w:pStyle w:val="smlouvabodytextbold"/>
        <w:jc w:val="center"/>
      </w:pPr>
    </w:p>
    <w:p w14:paraId="1BF9F710" w14:textId="0E5E3A9C" w:rsidR="00B7025F" w:rsidRPr="00955DE6" w:rsidRDefault="00B7025F" w:rsidP="00F45C79">
      <w:pPr>
        <w:pStyle w:val="smlouvabodytextbold"/>
        <w:jc w:val="center"/>
      </w:pPr>
      <w:r w:rsidRPr="00955DE6">
        <w:t>Smlouva o poskytování poradenských služeb</w:t>
      </w:r>
    </w:p>
    <w:p w14:paraId="5F87E7FE" w14:textId="77777777" w:rsidR="00B7025F" w:rsidRPr="00955DE6" w:rsidRDefault="00B7025F" w:rsidP="00F45C79">
      <w:pPr>
        <w:pStyle w:val="smlouvabodytext"/>
        <w:spacing w:after="120"/>
        <w:jc w:val="center"/>
      </w:pPr>
      <w:r w:rsidRPr="00750A85">
        <w:t xml:space="preserve">uzavřená v souladu s ustanovením </w:t>
      </w:r>
      <w:r w:rsidRPr="00C828CE">
        <w:t xml:space="preserve">§ </w:t>
      </w:r>
      <w:r>
        <w:t>1746</w:t>
      </w:r>
      <w:r w:rsidRPr="00C828CE">
        <w:t xml:space="preserve"> odst. 2. zák. č. </w:t>
      </w:r>
      <w:r>
        <w:t>89/2012</w:t>
      </w:r>
      <w:r w:rsidRPr="00C828CE">
        <w:t xml:space="preserve"> Sb., o</w:t>
      </w:r>
      <w:r>
        <w:t>bčanský</w:t>
      </w:r>
      <w:r w:rsidRPr="00C828CE">
        <w:t xml:space="preserve"> zákoník, ve znění pozdějších předpisů (dále jen „</w:t>
      </w:r>
      <w:r w:rsidRPr="0017755B">
        <w:rPr>
          <w:b/>
        </w:rPr>
        <w:t>občanský zákoník</w:t>
      </w:r>
      <w:r w:rsidRPr="00C828CE">
        <w:t>“)</w:t>
      </w:r>
    </w:p>
    <w:p w14:paraId="7BDBEA8A" w14:textId="77777777" w:rsidR="00B7025F" w:rsidRPr="00955DE6" w:rsidRDefault="00B7025F" w:rsidP="00B7025F">
      <w:pPr>
        <w:pStyle w:val="smlouvabodytext"/>
        <w:spacing w:after="120"/>
        <w:jc w:val="left"/>
      </w:pPr>
    </w:p>
    <w:p w14:paraId="3EC1A638" w14:textId="77777777" w:rsidR="00B7025F" w:rsidRPr="00955DE6" w:rsidRDefault="00B7025F" w:rsidP="00B7025F">
      <w:pPr>
        <w:pStyle w:val="smlouvabodytext"/>
        <w:spacing w:after="120"/>
        <w:jc w:val="left"/>
      </w:pPr>
      <w:r w:rsidRPr="00955DE6">
        <w:t xml:space="preserve">mezi </w:t>
      </w:r>
    </w:p>
    <w:p w14:paraId="26129660" w14:textId="77777777" w:rsidR="00B7025F" w:rsidRPr="00F41AD7" w:rsidRDefault="00B7025F" w:rsidP="00B7025F">
      <w:pPr>
        <w:pStyle w:val="smlouvabodytext"/>
        <w:spacing w:after="120"/>
        <w:jc w:val="left"/>
      </w:pPr>
    </w:p>
    <w:p w14:paraId="321FA729" w14:textId="77777777" w:rsidR="00B7025F" w:rsidRPr="00955DE6" w:rsidRDefault="00B7025F" w:rsidP="00B7025F">
      <w:pPr>
        <w:pStyle w:val="smlouvabodytext"/>
        <w:spacing w:after="120"/>
        <w:jc w:val="left"/>
        <w:rPr>
          <w:b/>
        </w:rPr>
      </w:pPr>
      <w:r w:rsidRPr="00955DE6">
        <w:t>společností</w:t>
      </w:r>
      <w:r w:rsidRPr="00955DE6">
        <w:rPr>
          <w:b/>
        </w:rPr>
        <w:t xml:space="preserve"> Deloitte </w:t>
      </w:r>
      <w:r>
        <w:rPr>
          <w:b/>
        </w:rPr>
        <w:t>Advisory s.r.o.</w:t>
      </w:r>
    </w:p>
    <w:p w14:paraId="035C91E9" w14:textId="77777777" w:rsidR="00B7025F" w:rsidRPr="00955DE6" w:rsidRDefault="00B7025F" w:rsidP="00B7025F">
      <w:pPr>
        <w:pStyle w:val="smlouvabodytext"/>
        <w:spacing w:after="120"/>
        <w:jc w:val="left"/>
      </w:pPr>
      <w:r w:rsidRPr="00955DE6">
        <w:t xml:space="preserve">se sídlem </w:t>
      </w:r>
      <w:r w:rsidRPr="00D03E46">
        <w:t>Karolinská 654/2, Praha 8, 186 00, Česká republika,</w:t>
      </w:r>
    </w:p>
    <w:p w14:paraId="11564C19" w14:textId="77777777" w:rsidR="00B7025F" w:rsidRPr="00955DE6" w:rsidRDefault="00B7025F" w:rsidP="00B7025F">
      <w:pPr>
        <w:pStyle w:val="smlouvabodytext"/>
        <w:spacing w:after="120"/>
        <w:jc w:val="left"/>
      </w:pPr>
      <w:r>
        <w:t>zapsanou</w:t>
      </w:r>
      <w:r w:rsidRPr="00955DE6">
        <w:t xml:space="preserve"> </w:t>
      </w:r>
      <w:r w:rsidRPr="00D03E46">
        <w:t>v obchodním rejstříku vedeném Městským soudem v Praze, oddíle C, vložce 113225</w:t>
      </w:r>
      <w:r>
        <w:t>,</w:t>
      </w:r>
    </w:p>
    <w:p w14:paraId="36B21441" w14:textId="77777777" w:rsidR="00B7025F" w:rsidRPr="00955DE6" w:rsidRDefault="00B7025F" w:rsidP="00B7025F">
      <w:pPr>
        <w:pStyle w:val="smlouvabodytext"/>
        <w:spacing w:after="120"/>
        <w:jc w:val="left"/>
      </w:pPr>
    </w:p>
    <w:p w14:paraId="68BFCBCA" w14:textId="2CB1C4B4" w:rsidR="00B7025F" w:rsidRPr="00955DE6" w:rsidRDefault="00B7025F" w:rsidP="00B7025F">
      <w:pPr>
        <w:pStyle w:val="smlouvabodytext"/>
        <w:spacing w:after="120"/>
        <w:jc w:val="left"/>
      </w:pPr>
      <w:r w:rsidRPr="00591A85">
        <w:t>zastoupenou</w:t>
      </w:r>
      <w:r w:rsidR="00F41AD7" w:rsidRPr="00591A85">
        <w:t xml:space="preserve"> </w:t>
      </w:r>
      <w:bookmarkStart w:id="0" w:name="Partner1"/>
      <w:bookmarkEnd w:id="0"/>
      <w:r w:rsidR="00C4550A" w:rsidRPr="00591A85">
        <w:t>Pavlem Šiškou</w:t>
      </w:r>
      <w:r w:rsidRPr="00591A85">
        <w:t xml:space="preserve">, </w:t>
      </w:r>
      <w:r w:rsidR="00591A85" w:rsidRPr="00591A85">
        <w:t>na základě plné moci</w:t>
      </w:r>
    </w:p>
    <w:p w14:paraId="20F9FDD8" w14:textId="77777777" w:rsidR="00B7025F" w:rsidRPr="00955DE6" w:rsidRDefault="00B7025F" w:rsidP="00B7025F">
      <w:pPr>
        <w:pStyle w:val="smlouvabodytext"/>
        <w:spacing w:after="120"/>
        <w:jc w:val="left"/>
      </w:pPr>
    </w:p>
    <w:p w14:paraId="318C0BCE" w14:textId="77777777" w:rsidR="00B7025F" w:rsidRPr="00955DE6" w:rsidRDefault="00B7025F" w:rsidP="00B7025F">
      <w:pPr>
        <w:pStyle w:val="smlouvabodytext"/>
        <w:spacing w:after="120"/>
        <w:jc w:val="left"/>
      </w:pPr>
      <w:r w:rsidRPr="00955DE6">
        <w:t>IČ</w:t>
      </w:r>
      <w:r>
        <w:t>O</w:t>
      </w:r>
      <w:r w:rsidRPr="00955DE6">
        <w:t xml:space="preserve">: </w:t>
      </w:r>
      <w:r w:rsidRPr="00D03E46">
        <w:t>27582167</w:t>
      </w:r>
      <w:r w:rsidRPr="00955DE6">
        <w:t xml:space="preserve">, DIČ: </w:t>
      </w:r>
      <w:r w:rsidRPr="00D03E46">
        <w:t>CZ27582167</w:t>
      </w:r>
    </w:p>
    <w:p w14:paraId="64ADAA7C" w14:textId="3585B98F" w:rsidR="00B7025F" w:rsidRDefault="00B7025F" w:rsidP="00B7025F">
      <w:pPr>
        <w:pStyle w:val="smlouvabodytext"/>
        <w:spacing w:after="120"/>
        <w:jc w:val="left"/>
      </w:pPr>
      <w:r w:rsidRPr="00955DE6">
        <w:t xml:space="preserve">bankovní spojení: </w:t>
      </w:r>
      <w:r w:rsidRPr="00F225C3">
        <w:t>ING Bank N.V.,</w:t>
      </w:r>
      <w:r w:rsidRPr="00907132">
        <w:t xml:space="preserve"> </w:t>
      </w:r>
      <w:r w:rsidRPr="00A36C8D">
        <w:t>Českomoravská 2420/15, 190 00 Praha 9</w:t>
      </w:r>
      <w:r w:rsidR="00F41AD7">
        <w:t xml:space="preserve"> </w:t>
      </w:r>
    </w:p>
    <w:p w14:paraId="75725047" w14:textId="418F6CB4" w:rsidR="00B7025F" w:rsidRDefault="00B7025F" w:rsidP="00B7025F">
      <w:pPr>
        <w:pStyle w:val="smlouvabodytext"/>
        <w:spacing w:after="120"/>
        <w:jc w:val="left"/>
      </w:pPr>
      <w:r w:rsidRPr="00F225C3">
        <w:t xml:space="preserve">číslo účtu CZK: </w:t>
      </w:r>
      <w:r w:rsidR="006746CB">
        <w:t>xxxxxxx</w:t>
      </w:r>
      <w:r>
        <w:t xml:space="preserve"> </w:t>
      </w:r>
    </w:p>
    <w:p w14:paraId="3D7EAFF3" w14:textId="1CD3BF9A" w:rsidR="00B7025F" w:rsidRPr="00955DE6" w:rsidRDefault="00B7025F" w:rsidP="00B7025F">
      <w:pPr>
        <w:pStyle w:val="smlouvabodytext"/>
        <w:spacing w:after="120"/>
        <w:jc w:val="left"/>
      </w:pPr>
      <w:r>
        <w:t>č</w:t>
      </w:r>
      <w:r w:rsidRPr="00D03E46">
        <w:t>íslo</w:t>
      </w:r>
      <w:r w:rsidRPr="0039530D">
        <w:t xml:space="preserve"> účtu EUR: </w:t>
      </w:r>
      <w:r w:rsidR="006746CB">
        <w:t>xxxxxxx</w:t>
      </w:r>
    </w:p>
    <w:p w14:paraId="4030D65E" w14:textId="77777777" w:rsidR="00B7025F" w:rsidRDefault="00B7025F" w:rsidP="00B7025F">
      <w:pPr>
        <w:pStyle w:val="smlouvabodytext"/>
        <w:spacing w:after="120"/>
        <w:jc w:val="left"/>
      </w:pPr>
    </w:p>
    <w:p w14:paraId="2C9CACDD" w14:textId="77777777" w:rsidR="00B7025F" w:rsidRPr="00955DE6" w:rsidRDefault="00B7025F" w:rsidP="00B7025F">
      <w:pPr>
        <w:pStyle w:val="smlouvabodytext"/>
        <w:spacing w:after="120"/>
        <w:jc w:val="left"/>
      </w:pPr>
      <w:r w:rsidRPr="00955DE6">
        <w:t>(dále jen „</w:t>
      </w:r>
      <w:r w:rsidRPr="00955DE6">
        <w:rPr>
          <w:b/>
        </w:rPr>
        <w:t>Deloitte</w:t>
      </w:r>
      <w:r w:rsidRPr="00955DE6">
        <w:t>“)</w:t>
      </w:r>
    </w:p>
    <w:p w14:paraId="11A07686" w14:textId="77777777" w:rsidR="00B7025F" w:rsidRPr="00955DE6" w:rsidRDefault="00B7025F" w:rsidP="00B7025F">
      <w:pPr>
        <w:pStyle w:val="smlouvabodytext"/>
        <w:spacing w:after="120"/>
        <w:jc w:val="left"/>
      </w:pPr>
    </w:p>
    <w:p w14:paraId="53EFBD28" w14:textId="77777777" w:rsidR="00B7025F" w:rsidRPr="00955DE6" w:rsidRDefault="00B7025F" w:rsidP="00B7025F">
      <w:pPr>
        <w:pStyle w:val="smlouvabodytext"/>
        <w:spacing w:after="120"/>
        <w:jc w:val="left"/>
      </w:pPr>
      <w:r w:rsidRPr="00955DE6">
        <w:t xml:space="preserve">a </w:t>
      </w:r>
    </w:p>
    <w:p w14:paraId="2F389680" w14:textId="77777777" w:rsidR="00B7025F" w:rsidRPr="00955DE6" w:rsidRDefault="00B7025F" w:rsidP="00B7025F">
      <w:pPr>
        <w:pStyle w:val="smlouvabodytext"/>
        <w:spacing w:after="120"/>
        <w:jc w:val="left"/>
      </w:pPr>
    </w:p>
    <w:p w14:paraId="28F286B7" w14:textId="21AEF7E1" w:rsidR="00B7025F" w:rsidRPr="00253371" w:rsidRDefault="00716314" w:rsidP="00B7025F">
      <w:pPr>
        <w:pStyle w:val="smlouvabodytext"/>
        <w:spacing w:after="120"/>
        <w:jc w:val="left"/>
      </w:pPr>
      <w:bookmarkStart w:id="1" w:name="DNazev"/>
      <w:bookmarkEnd w:id="1"/>
      <w:r>
        <w:t>Karlovarským krajem</w:t>
      </w:r>
    </w:p>
    <w:p w14:paraId="7B26E8A1" w14:textId="7F04F30D" w:rsidR="00B7025F" w:rsidRPr="00955DE6" w:rsidRDefault="00B7025F" w:rsidP="00B65145">
      <w:pPr>
        <w:pStyle w:val="smlouvabodytext"/>
        <w:spacing w:after="120"/>
      </w:pPr>
      <w:r w:rsidRPr="00955DE6">
        <w:t xml:space="preserve">se sídlem </w:t>
      </w:r>
      <w:bookmarkStart w:id="2" w:name="AdresaKl"/>
      <w:bookmarkEnd w:id="2"/>
      <w:r w:rsidR="00B65145">
        <w:t xml:space="preserve">na adrese </w:t>
      </w:r>
      <w:r w:rsidR="00180B55">
        <w:t>Závodní 353/88, 360 06 Karlovy Vary</w:t>
      </w:r>
    </w:p>
    <w:p w14:paraId="101B58C5" w14:textId="77777777" w:rsidR="00180B55" w:rsidRDefault="00180B55" w:rsidP="00B7025F">
      <w:pPr>
        <w:pStyle w:val="smlouvabodytext"/>
        <w:spacing w:after="120"/>
        <w:jc w:val="left"/>
      </w:pPr>
    </w:p>
    <w:p w14:paraId="61EAF14F" w14:textId="659B228D" w:rsidR="00B7025F" w:rsidRPr="00955DE6" w:rsidRDefault="00B7025F" w:rsidP="00B7025F">
      <w:pPr>
        <w:pStyle w:val="smlouvabodytext"/>
        <w:spacing w:after="120"/>
        <w:jc w:val="left"/>
      </w:pPr>
      <w:r w:rsidRPr="00955DE6">
        <w:t>zastoupen</w:t>
      </w:r>
      <w:r w:rsidR="00180B55">
        <w:t>ým</w:t>
      </w:r>
      <w:r w:rsidRPr="00955DE6">
        <w:t xml:space="preserve"> </w:t>
      </w:r>
      <w:r w:rsidR="00716314">
        <w:t xml:space="preserve"> Ing. Janem Burešem, na základě usnesení Rady Karlovarského kraje č. ……………..</w:t>
      </w:r>
    </w:p>
    <w:p w14:paraId="0D385A04" w14:textId="77777777" w:rsidR="00B7025F" w:rsidRPr="00955DE6" w:rsidRDefault="00B7025F" w:rsidP="00B7025F">
      <w:pPr>
        <w:pStyle w:val="smlouvabodytext"/>
        <w:spacing w:after="120"/>
        <w:jc w:val="left"/>
      </w:pPr>
    </w:p>
    <w:p w14:paraId="45E1F7A9" w14:textId="37B0D1D6" w:rsidR="00B7025F" w:rsidRPr="00180B55" w:rsidRDefault="00B7025F" w:rsidP="00180B55">
      <w:pPr>
        <w:pStyle w:val="smlouvabodytext"/>
        <w:spacing w:after="120"/>
        <w:jc w:val="left"/>
      </w:pPr>
      <w:r w:rsidRPr="00955DE6">
        <w:t>IČ</w:t>
      </w:r>
      <w:r>
        <w:t>O</w:t>
      </w:r>
      <w:r w:rsidRPr="00955DE6">
        <w:t xml:space="preserve">: </w:t>
      </w:r>
      <w:bookmarkStart w:id="3" w:name="ICO"/>
      <w:bookmarkEnd w:id="3"/>
      <w:r w:rsidR="00180B55" w:rsidRPr="00180B55">
        <w:t xml:space="preserve">70891168 </w:t>
      </w:r>
      <w:r w:rsidRPr="00955DE6">
        <w:t>DIČ:</w:t>
      </w:r>
      <w:r w:rsidR="00F41AD7">
        <w:t xml:space="preserve"> </w:t>
      </w:r>
      <w:r w:rsidR="00180B55" w:rsidRPr="00180B55">
        <w:t>CZ 70891168</w:t>
      </w:r>
    </w:p>
    <w:p w14:paraId="2B4D47F5" w14:textId="5410663F" w:rsidR="00180B55" w:rsidRDefault="00B7025F" w:rsidP="00180B55">
      <w:pPr>
        <w:pStyle w:val="smlouvabodytext"/>
        <w:spacing w:after="120"/>
      </w:pPr>
      <w:r w:rsidRPr="00955DE6">
        <w:t xml:space="preserve">bankovní spojení: </w:t>
      </w:r>
      <w:bookmarkStart w:id="4" w:name="BankSpoj"/>
      <w:bookmarkEnd w:id="4"/>
      <w:r w:rsidR="00180B55">
        <w:t>Komerční banka, a.s.</w:t>
      </w:r>
      <w:r w:rsidR="008A70D1">
        <w:t>,</w:t>
      </w:r>
      <w:r w:rsidR="00180B55">
        <w:t xml:space="preserve"> Praha, pobočka Karlovy Vary</w:t>
      </w:r>
    </w:p>
    <w:p w14:paraId="08E6EEAE" w14:textId="125D2C58" w:rsidR="00B7025F" w:rsidRPr="00180B55" w:rsidRDefault="00B7025F" w:rsidP="00180B55">
      <w:pPr>
        <w:pStyle w:val="smlouvabodytext"/>
        <w:spacing w:after="120"/>
      </w:pPr>
      <w:r w:rsidRPr="00955DE6">
        <w:t xml:space="preserve">číslo účtu: </w:t>
      </w:r>
      <w:r w:rsidR="006746CB">
        <w:t>xxxxxx</w:t>
      </w:r>
    </w:p>
    <w:p w14:paraId="1E5F4C59" w14:textId="77777777" w:rsidR="00B7025F" w:rsidRPr="00955DE6" w:rsidRDefault="00B7025F" w:rsidP="00B7025F">
      <w:pPr>
        <w:pStyle w:val="smlouvabodytext"/>
        <w:spacing w:after="120"/>
        <w:jc w:val="left"/>
      </w:pPr>
      <w:r w:rsidRPr="00955DE6">
        <w:t xml:space="preserve">(dále jen </w:t>
      </w:r>
      <w:bookmarkStart w:id="5" w:name="ZN1"/>
      <w:bookmarkEnd w:id="5"/>
      <w:r w:rsidRPr="00955DE6">
        <w:t>„</w:t>
      </w:r>
      <w:r w:rsidRPr="00955DE6">
        <w:rPr>
          <w:b/>
        </w:rPr>
        <w:t>Klient</w:t>
      </w:r>
      <w:r w:rsidRPr="00955DE6">
        <w:t>“)</w:t>
      </w:r>
    </w:p>
    <w:p w14:paraId="4900C294" w14:textId="77777777" w:rsidR="00B7025F" w:rsidRPr="00955DE6" w:rsidRDefault="00B7025F" w:rsidP="00B7025F">
      <w:pPr>
        <w:pStyle w:val="smlouvabodytext"/>
        <w:spacing w:after="120"/>
        <w:jc w:val="left"/>
      </w:pPr>
    </w:p>
    <w:p w14:paraId="3D359636" w14:textId="3CBBC06E" w:rsidR="00B7025F" w:rsidRPr="00955DE6" w:rsidRDefault="00B7025F" w:rsidP="00B7025F">
      <w:pPr>
        <w:pStyle w:val="smlouvabodytext"/>
        <w:spacing w:after="120"/>
        <w:jc w:val="left"/>
      </w:pPr>
      <w:r w:rsidRPr="00955DE6">
        <w:t>Na Deloitte a Klienta je dále odkazováno jednotlivě jako na „</w:t>
      </w:r>
      <w:r w:rsidRPr="0017755B">
        <w:rPr>
          <w:b/>
        </w:rPr>
        <w:t>smluvní stranu</w:t>
      </w:r>
      <w:r w:rsidRPr="00955DE6">
        <w:t>“, případně dohromady jako na „</w:t>
      </w:r>
      <w:r w:rsidRPr="0017755B">
        <w:rPr>
          <w:b/>
        </w:rPr>
        <w:t>smluvní strany</w:t>
      </w:r>
      <w:r w:rsidRPr="00955DE6">
        <w:t>“.</w:t>
      </w:r>
      <w:r w:rsidR="00F41AD7">
        <w:t xml:space="preserve"> </w:t>
      </w:r>
    </w:p>
    <w:p w14:paraId="77350363" w14:textId="4E5B61B8" w:rsidR="00B7025F" w:rsidRDefault="00B7025F" w:rsidP="003E572E">
      <w:pPr>
        <w:pStyle w:val="Zkladntext"/>
        <w:rPr>
          <w:lang w:val="cs-CZ"/>
        </w:rPr>
      </w:pPr>
      <w:r w:rsidRPr="002D43EF">
        <w:rPr>
          <w:lang w:val="cs-CZ"/>
        </w:rPr>
        <w:t>Obě smluvní strany se dohodly, že budou vázány následujícím zněním této Smlouvy o poskytování poradenských služeb, která je definována v Obchodních podmínkách jako Smluvní dopis (dále jen „</w:t>
      </w:r>
      <w:r w:rsidRPr="002D43EF">
        <w:rPr>
          <w:b/>
          <w:lang w:val="cs-CZ"/>
        </w:rPr>
        <w:t>Smluvní dopis</w:t>
      </w:r>
      <w:r w:rsidRPr="002D43EF">
        <w:rPr>
          <w:lang w:val="cs-CZ"/>
        </w:rPr>
        <w:t>“).</w:t>
      </w:r>
      <w:r w:rsidR="00F41AD7" w:rsidRPr="002D43EF">
        <w:rPr>
          <w:lang w:val="cs-CZ"/>
        </w:rPr>
        <w:t xml:space="preserve"> </w:t>
      </w:r>
    </w:p>
    <w:p w14:paraId="22C0A650" w14:textId="77777777" w:rsidR="00DC6493" w:rsidRPr="002D43EF" w:rsidRDefault="00DC6493" w:rsidP="003E572E">
      <w:pPr>
        <w:pStyle w:val="Zkladntext"/>
        <w:rPr>
          <w:lang w:val="cs-CZ"/>
        </w:rPr>
      </w:pPr>
    </w:p>
    <w:p w14:paraId="47CFD5B7" w14:textId="77777777" w:rsidR="00B7025F" w:rsidRPr="00955DE6" w:rsidRDefault="00B7025F" w:rsidP="003E572E">
      <w:pPr>
        <w:pStyle w:val="Smlouvaheading1"/>
      </w:pPr>
      <w:r w:rsidRPr="00955DE6">
        <w:lastRenderedPageBreak/>
        <w:t xml:space="preserve">Úvodní ustanovení </w:t>
      </w:r>
    </w:p>
    <w:p w14:paraId="0B46A4ED" w14:textId="21C13E1C" w:rsidR="00B7025F" w:rsidRPr="00955DE6" w:rsidRDefault="00B7025F" w:rsidP="003E572E">
      <w:pPr>
        <w:pStyle w:val="Smlouvaheading2"/>
      </w:pPr>
      <w:r w:rsidRPr="00955DE6">
        <w:t xml:space="preserve">Účelem tohoto Smluvního dopisu je stanovit podmínky a pravidla </w:t>
      </w:r>
      <w:r>
        <w:t xml:space="preserve">pro </w:t>
      </w:r>
      <w:r w:rsidRPr="00955DE6">
        <w:t xml:space="preserve">poskytování </w:t>
      </w:r>
      <w:r>
        <w:t>odborných</w:t>
      </w:r>
      <w:r w:rsidRPr="00955DE6">
        <w:t xml:space="preserve"> služeb v oblasti </w:t>
      </w:r>
      <w:r w:rsidR="00B65145">
        <w:t xml:space="preserve">Posouzení ekonomické situace Karlovarské krajské nemocnice </w:t>
      </w:r>
      <w:proofErr w:type="gramStart"/>
      <w:r w:rsidR="00B65145">
        <w:t>a.s</w:t>
      </w:r>
      <w:proofErr w:type="gramEnd"/>
      <w:r w:rsidR="00B65145">
        <w:t>.</w:t>
      </w:r>
      <w:r>
        <w:t xml:space="preserve"> </w:t>
      </w:r>
      <w:r w:rsidRPr="00955DE6">
        <w:t>(dále jen „</w:t>
      </w:r>
      <w:r w:rsidRPr="00955DE6">
        <w:rPr>
          <w:b/>
        </w:rPr>
        <w:t>Služby</w:t>
      </w:r>
      <w:r w:rsidRPr="00955DE6">
        <w:t xml:space="preserve">“) </w:t>
      </w:r>
      <w:r>
        <w:t>společností</w:t>
      </w:r>
      <w:r w:rsidRPr="00955DE6">
        <w:t xml:space="preserve"> Deloitte Klient</w:t>
      </w:r>
      <w:r>
        <w:t>ovi</w:t>
      </w:r>
      <w:r w:rsidRPr="00955DE6">
        <w:t xml:space="preserve">. </w:t>
      </w:r>
    </w:p>
    <w:p w14:paraId="3031CA9A" w14:textId="77777777" w:rsidR="00B7025F" w:rsidRPr="00955DE6" w:rsidRDefault="00B7025F" w:rsidP="003E572E">
      <w:pPr>
        <w:pStyle w:val="Smlouvaheading2"/>
      </w:pPr>
      <w:r w:rsidRPr="00955DE6">
        <w:t xml:space="preserve">Služby budou poskytovány v souladu s tímto Smluvním dopisem, jeho přílohami, včetně </w:t>
      </w:r>
      <w:r>
        <w:t>P</w:t>
      </w:r>
      <w:r w:rsidRPr="00955DE6">
        <w:t>řílohy č. 3 Obchodní podmínky Deloitte CE (dále jen „</w:t>
      </w:r>
      <w:r w:rsidRPr="00955DE6">
        <w:rPr>
          <w:b/>
        </w:rPr>
        <w:t>Obchodní podmínky</w:t>
      </w:r>
      <w:r w:rsidRPr="00955DE6">
        <w:t>“)</w:t>
      </w:r>
      <w:r>
        <w:t xml:space="preserve">, </w:t>
      </w:r>
      <w:r w:rsidRPr="00955DE6">
        <w:t xml:space="preserve">přičemž všechny přílohy tvoří nedílnou součást Smluvního dopisu. </w:t>
      </w:r>
    </w:p>
    <w:p w14:paraId="013639C2" w14:textId="77777777" w:rsidR="00B7025F" w:rsidRPr="00955DE6" w:rsidRDefault="00B7025F" w:rsidP="003E572E">
      <w:pPr>
        <w:pStyle w:val="Smlouvaheading2"/>
      </w:pPr>
      <w:r w:rsidRPr="00955DE6">
        <w:t>Rozsah Služeb je podrobněji vymezen v </w:t>
      </w:r>
      <w:r>
        <w:t>P</w:t>
      </w:r>
      <w:r w:rsidRPr="00955DE6">
        <w:t xml:space="preserve">říloze č. 1 tohoto Smluvního dopisu. </w:t>
      </w:r>
    </w:p>
    <w:p w14:paraId="185289B7" w14:textId="77777777" w:rsidR="00B7025F" w:rsidRPr="00955DE6" w:rsidRDefault="00B7025F" w:rsidP="003E572E">
      <w:pPr>
        <w:pStyle w:val="Smlouvaheading2"/>
      </w:pPr>
      <w:r w:rsidRPr="00955DE6">
        <w:t>Smluvní dopis včetně příloh je podle tohoto Smluvního dopisu označován jako „</w:t>
      </w:r>
      <w:r w:rsidRPr="00955DE6">
        <w:rPr>
          <w:b/>
        </w:rPr>
        <w:t>Smlouva</w:t>
      </w:r>
      <w:r w:rsidRPr="00955DE6">
        <w:t xml:space="preserve">“. </w:t>
      </w:r>
      <w:r>
        <w:t>Termíny</w:t>
      </w:r>
      <w:r w:rsidRPr="00955DE6">
        <w:t xml:space="preserve"> nedefinované v tomto Smluvním dopise mají význam specifikovaný v Obchodních podmínkách. V případě rozporu mezi tímto Smluvním d</w:t>
      </w:r>
      <w:r>
        <w:t>o</w:t>
      </w:r>
      <w:r w:rsidRPr="00955DE6">
        <w:t xml:space="preserve">pisem a jeho přílohami mají Smluvní dopis a </w:t>
      </w:r>
      <w:r>
        <w:t>P</w:t>
      </w:r>
      <w:r w:rsidRPr="00955DE6">
        <w:t xml:space="preserve">řílohy č. 1 a 2 v příslušném rozsahu přednost před Obchodními podmínkami. </w:t>
      </w:r>
    </w:p>
    <w:p w14:paraId="3179FAD6" w14:textId="77777777" w:rsidR="00B7025F" w:rsidRPr="00955DE6" w:rsidRDefault="00B7025F" w:rsidP="003E572E">
      <w:pPr>
        <w:pStyle w:val="Smlouvaheading1"/>
      </w:pPr>
      <w:r w:rsidRPr="003E572E">
        <w:t>Předmět</w:t>
      </w:r>
      <w:r w:rsidRPr="00955DE6">
        <w:t xml:space="preserve"> </w:t>
      </w:r>
      <w:r w:rsidRPr="003E572E">
        <w:t>Smlouvy</w:t>
      </w:r>
      <w:r w:rsidRPr="00955DE6">
        <w:t xml:space="preserve"> </w:t>
      </w:r>
    </w:p>
    <w:p w14:paraId="2F98C26A" w14:textId="77777777" w:rsidR="00B7025F" w:rsidRPr="00B204BA" w:rsidRDefault="00B7025F" w:rsidP="000445D6">
      <w:pPr>
        <w:pStyle w:val="Smlouvaheading2"/>
      </w:pPr>
      <w:r w:rsidRPr="00B204BA">
        <w:t xml:space="preserve">Předmětem této Smlouvy je závazek Deloitte poskytovat Služby, jejichž rozsah je vymezen v Příloze č. 1, a tomu odpovídající závazek Klienta uhradit za tyto Služby odměnu způsobem v této Smlouvě dále stanoveným. </w:t>
      </w:r>
    </w:p>
    <w:p w14:paraId="12673676" w14:textId="77777777" w:rsidR="00B7025F" w:rsidRPr="00B204BA" w:rsidRDefault="00B7025F" w:rsidP="000445D6">
      <w:pPr>
        <w:pStyle w:val="Smlouvaheading2"/>
      </w:pPr>
      <w:r w:rsidRPr="00B204BA">
        <w:t xml:space="preserve">Dohodnou-li se Klient a Deloitte </w:t>
      </w:r>
      <w:proofErr w:type="gramStart"/>
      <w:r w:rsidRPr="00B204BA">
        <w:t>na</w:t>
      </w:r>
      <w:proofErr w:type="gramEnd"/>
      <w:r w:rsidRPr="00B204BA">
        <w:t xml:space="preserve"> dalších službách neuvedených v Příloze č. 1, tyto služby (včetně jejich očekávaného rozsahu, náplně a obchodních podmínek Deloitte) budou smluvními stranami specifikovány a dohodnuty v dalších samostatných dodatcích k této Smlouvě. </w:t>
      </w:r>
    </w:p>
    <w:p w14:paraId="1CA115D0" w14:textId="77777777" w:rsidR="00B7025F" w:rsidRPr="00955DE6" w:rsidRDefault="00B7025F" w:rsidP="003E572E">
      <w:pPr>
        <w:pStyle w:val="Smlouvaheading1"/>
      </w:pPr>
      <w:bookmarkStart w:id="6" w:name="ZN5"/>
      <w:bookmarkStart w:id="7" w:name="ZN6"/>
      <w:bookmarkStart w:id="8" w:name="ZN7"/>
      <w:bookmarkStart w:id="9" w:name="ZN8"/>
      <w:bookmarkStart w:id="10" w:name="ZN9"/>
      <w:bookmarkStart w:id="11" w:name="ZN10"/>
      <w:bookmarkStart w:id="12" w:name="ZN11"/>
      <w:bookmarkStart w:id="13" w:name="ZN12"/>
      <w:bookmarkStart w:id="14" w:name="ZN13"/>
      <w:bookmarkStart w:id="15" w:name="ZN14"/>
      <w:bookmarkEnd w:id="6"/>
      <w:bookmarkEnd w:id="7"/>
      <w:bookmarkEnd w:id="8"/>
      <w:bookmarkEnd w:id="9"/>
      <w:bookmarkEnd w:id="10"/>
      <w:bookmarkEnd w:id="11"/>
      <w:bookmarkEnd w:id="12"/>
      <w:bookmarkEnd w:id="13"/>
      <w:bookmarkEnd w:id="14"/>
      <w:bookmarkEnd w:id="15"/>
      <w:r w:rsidRPr="00955DE6">
        <w:t xml:space="preserve">Cena za Služby a platební podmínky </w:t>
      </w:r>
    </w:p>
    <w:p w14:paraId="6ACE8C96" w14:textId="77777777" w:rsidR="00B7025F" w:rsidRPr="00955DE6" w:rsidRDefault="00B7025F" w:rsidP="003E572E">
      <w:pPr>
        <w:pStyle w:val="Smlouvaheading2"/>
      </w:pPr>
      <w:bookmarkStart w:id="16" w:name="ZN15"/>
      <w:bookmarkEnd w:id="16"/>
      <w:r w:rsidRPr="00955DE6">
        <w:t xml:space="preserve">Klient se zavazuje platit Deloitte za plnění provedená </w:t>
      </w:r>
      <w:proofErr w:type="gramStart"/>
      <w:r w:rsidRPr="00955DE6">
        <w:t>na</w:t>
      </w:r>
      <w:proofErr w:type="gramEnd"/>
      <w:r w:rsidRPr="00955DE6">
        <w:t xml:space="preserve"> základě této Smlouvy cenu uvedenou v Příloze č. 2</w:t>
      </w:r>
      <w:r>
        <w:t xml:space="preserve"> (dále jen „</w:t>
      </w:r>
      <w:r w:rsidRPr="0017755B">
        <w:rPr>
          <w:b/>
        </w:rPr>
        <w:t>Cena za Služby</w:t>
      </w:r>
      <w:r>
        <w:t>“)</w:t>
      </w:r>
      <w:r w:rsidRPr="00955DE6">
        <w:t xml:space="preserve">. </w:t>
      </w:r>
    </w:p>
    <w:p w14:paraId="10F44BA5" w14:textId="18681607" w:rsidR="00B7025F" w:rsidRDefault="00B7025F" w:rsidP="003E572E">
      <w:pPr>
        <w:pStyle w:val="Smlouvaheading2"/>
      </w:pPr>
      <w:bookmarkStart w:id="17" w:name="Mena17"/>
      <w:bookmarkStart w:id="18" w:name="ZN16"/>
      <w:bookmarkStart w:id="19" w:name="ZN17"/>
      <w:bookmarkStart w:id="20" w:name="ZN20"/>
      <w:bookmarkStart w:id="21" w:name="Mena16"/>
      <w:bookmarkStart w:id="22" w:name="ZN59"/>
      <w:bookmarkStart w:id="23" w:name="ZNemployees"/>
      <w:bookmarkStart w:id="24" w:name="ZN27"/>
      <w:bookmarkStart w:id="25" w:name="ZN28"/>
      <w:bookmarkStart w:id="26" w:name="ZN29"/>
      <w:bookmarkStart w:id="27" w:name="ZN30"/>
      <w:bookmarkStart w:id="28" w:name="ZN31"/>
      <w:bookmarkStart w:id="29" w:name="ZN66"/>
      <w:bookmarkStart w:id="30" w:name="ZN32"/>
      <w:bookmarkStart w:id="31" w:name="ZN33"/>
      <w:bookmarkStart w:id="32" w:name="ZN34"/>
      <w:bookmarkStart w:id="33" w:name="ZN35"/>
      <w:bookmarkStart w:id="34" w:name="ZN36"/>
      <w:bookmarkStart w:id="35" w:name="ZN37"/>
      <w:bookmarkStart w:id="36" w:name="ZN67"/>
      <w:bookmarkStart w:id="37" w:name="ZN38"/>
      <w:bookmarkStart w:id="38" w:name="ZN39"/>
      <w:bookmarkStart w:id="39" w:name="ZN40"/>
      <w:bookmarkStart w:id="40" w:name="ZN41"/>
      <w:bookmarkStart w:id="41" w:name="ZN42"/>
      <w:bookmarkStart w:id="42" w:name="Zn61"/>
      <w:bookmarkStart w:id="43" w:name="ZN60"/>
      <w:bookmarkStart w:id="44" w:name="ZN43"/>
      <w:bookmarkStart w:id="45" w:name="ZN44"/>
      <w:bookmarkStart w:id="46" w:name="ZN46"/>
      <w:bookmarkStart w:id="47" w:name="ZN47"/>
      <w:bookmarkStart w:id="48" w:name="ZN48"/>
      <w:bookmarkStart w:id="49" w:name="ZN50"/>
      <w:bookmarkStart w:id="50" w:name="ZN51"/>
      <w:bookmarkStart w:id="51" w:name="ZN52"/>
      <w:bookmarkStart w:id="52" w:name="ZN53"/>
      <w:bookmarkStart w:id="53" w:name="ZN54"/>
      <w:bookmarkStart w:id="54" w:name="ZN55"/>
      <w:bookmarkStart w:id="55" w:name="ZN56"/>
      <w:bookmarkStart w:id="56" w:name="ZN57"/>
      <w:bookmarkStart w:id="57" w:name="ZN58"/>
      <w:bookmarkStart w:id="58" w:name="ZN6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9E1961">
        <w:t xml:space="preserve">Klient výslovně souhlasí s možností elektronické formy fakturace za podmínek stanovených touto Smlouvou a platnými právními předpisy. Faktura </w:t>
      </w:r>
      <w:r>
        <w:t xml:space="preserve">společnosti </w:t>
      </w:r>
      <w:r w:rsidRPr="009E1961">
        <w:t xml:space="preserve">Deloitte bude považována za doručenou okamžikem zaslání </w:t>
      </w:r>
      <w:proofErr w:type="gramStart"/>
      <w:r w:rsidRPr="009E1961">
        <w:t>na</w:t>
      </w:r>
      <w:proofErr w:type="gramEnd"/>
      <w:r w:rsidRPr="009E1961">
        <w:t xml:space="preserve"> e-mailovou adresu určenou Klientem pro zasílání faktur. Klient je povinen společnost Deloitte neprodleně informovat o jakékoliv změně e-mailové adresy pro zasílání faktur a zajistit řádnou funkčnost jím uvedené e-mailové adresy po dobu trvání této Smlouvy. Jestliže bude z okolností zřejmé, že fakturu nelze doručit </w:t>
      </w:r>
      <w:proofErr w:type="gramStart"/>
      <w:r w:rsidRPr="009E1961">
        <w:t>na</w:t>
      </w:r>
      <w:proofErr w:type="gramEnd"/>
      <w:r w:rsidRPr="009E1961">
        <w:t xml:space="preserve"> e-mailovou adresu určenou Klientem pro zasílání faktur, např. </w:t>
      </w:r>
      <w:proofErr w:type="gramStart"/>
      <w:r w:rsidRPr="009E1961">
        <w:t>se</w:t>
      </w:r>
      <w:proofErr w:type="gramEnd"/>
      <w:r w:rsidRPr="009E1961">
        <w:t xml:space="preserve"> zpráva vrátí jako nedoručitelná, bude neprodleně na adresu sídla Klienta zaslána faktura v papírové podobě, přičemž však faktura bude splatná v termínu, jakoby byla úspěšně doručena Klientovi prostřednictvím e</w:t>
      </w:r>
      <w:r w:rsidR="00E83F73">
        <w:t>-</w:t>
      </w:r>
      <w:r w:rsidRPr="009E1961">
        <w:t>mailu</w:t>
      </w:r>
      <w:r w:rsidRPr="00955DE6">
        <w:t>.</w:t>
      </w:r>
    </w:p>
    <w:p w14:paraId="58B564FE" w14:textId="75C8CF8B" w:rsidR="00E83F73" w:rsidRPr="00E83F73" w:rsidRDefault="00E83F73" w:rsidP="003E572E">
      <w:pPr>
        <w:pStyle w:val="Smlouvaheading2"/>
        <w:rPr>
          <w:szCs w:val="18"/>
        </w:rPr>
      </w:pPr>
      <w:r w:rsidRPr="00E83F73">
        <w:rPr>
          <w:szCs w:val="18"/>
        </w:rPr>
        <w:t>Faktur</w:t>
      </w:r>
      <w:r>
        <w:rPr>
          <w:szCs w:val="18"/>
        </w:rPr>
        <w:t>a</w:t>
      </w:r>
      <w:r w:rsidRPr="00E83F73">
        <w:rPr>
          <w:szCs w:val="18"/>
        </w:rPr>
        <w:t xml:space="preserve"> bud</w:t>
      </w:r>
      <w:r>
        <w:rPr>
          <w:szCs w:val="18"/>
        </w:rPr>
        <w:t>e</w:t>
      </w:r>
      <w:r w:rsidRPr="00E83F73">
        <w:rPr>
          <w:szCs w:val="18"/>
        </w:rPr>
        <w:t xml:space="preserve"> mít splatnost 21 dní ode dne řádného předání </w:t>
      </w:r>
      <w:r>
        <w:rPr>
          <w:szCs w:val="18"/>
        </w:rPr>
        <w:t>Klientovi</w:t>
      </w:r>
      <w:r w:rsidRPr="00E83F73">
        <w:rPr>
          <w:szCs w:val="18"/>
        </w:rPr>
        <w:t>.</w:t>
      </w:r>
    </w:p>
    <w:p w14:paraId="0739D040" w14:textId="3D60CF72" w:rsidR="00E83F73" w:rsidRPr="00E83F73" w:rsidRDefault="00E83F73" w:rsidP="003E572E">
      <w:pPr>
        <w:pStyle w:val="Smlouvaheading2"/>
        <w:rPr>
          <w:szCs w:val="18"/>
        </w:rPr>
      </w:pPr>
      <w:r w:rsidRPr="00E83F73">
        <w:rPr>
          <w:szCs w:val="18"/>
        </w:rPr>
        <w:t xml:space="preserve">Zjistí-li </w:t>
      </w:r>
      <w:r>
        <w:rPr>
          <w:szCs w:val="18"/>
        </w:rPr>
        <w:t>Klient</w:t>
      </w:r>
      <w:r w:rsidRPr="00E83F73">
        <w:rPr>
          <w:szCs w:val="18"/>
        </w:rPr>
        <w:t xml:space="preserve"> do </w:t>
      </w:r>
      <w:r>
        <w:rPr>
          <w:szCs w:val="18"/>
        </w:rPr>
        <w:t>15</w:t>
      </w:r>
      <w:r w:rsidRPr="00E83F73">
        <w:rPr>
          <w:szCs w:val="18"/>
        </w:rPr>
        <w:t xml:space="preserve"> dnů po řádném protokolárním předání a převzetí díla, že dílo má vady, a </w:t>
      </w:r>
      <w:r>
        <w:rPr>
          <w:szCs w:val="18"/>
        </w:rPr>
        <w:t>Deloitte</w:t>
      </w:r>
      <w:r w:rsidRPr="00E83F73">
        <w:rPr>
          <w:szCs w:val="18"/>
        </w:rPr>
        <w:t xml:space="preserve"> již vystavil</w:t>
      </w:r>
      <w:r>
        <w:rPr>
          <w:szCs w:val="18"/>
        </w:rPr>
        <w:t>a</w:t>
      </w:r>
      <w:r w:rsidRPr="00E83F73">
        <w:rPr>
          <w:szCs w:val="18"/>
        </w:rPr>
        <w:t xml:space="preserve"> fakturu, je </w:t>
      </w:r>
      <w:r>
        <w:rPr>
          <w:szCs w:val="18"/>
        </w:rPr>
        <w:t>Klient</w:t>
      </w:r>
      <w:r w:rsidRPr="00E83F73">
        <w:rPr>
          <w:szCs w:val="18"/>
        </w:rPr>
        <w:t xml:space="preserve"> oprávněn fakturu </w:t>
      </w:r>
      <w:r>
        <w:rPr>
          <w:szCs w:val="18"/>
        </w:rPr>
        <w:t>Deloitte</w:t>
      </w:r>
      <w:r w:rsidRPr="00E83F73">
        <w:rPr>
          <w:szCs w:val="18"/>
        </w:rPr>
        <w:t xml:space="preserve"> vrátit. </w:t>
      </w:r>
      <w:r>
        <w:rPr>
          <w:szCs w:val="18"/>
        </w:rPr>
        <w:t>F</w:t>
      </w:r>
      <w:r w:rsidRPr="00E83F73">
        <w:rPr>
          <w:szCs w:val="18"/>
        </w:rPr>
        <w:t xml:space="preserve">akturu je </w:t>
      </w:r>
      <w:r>
        <w:rPr>
          <w:szCs w:val="18"/>
        </w:rPr>
        <w:t>Deloitte</w:t>
      </w:r>
      <w:r w:rsidRPr="00E83F73">
        <w:rPr>
          <w:szCs w:val="18"/>
        </w:rPr>
        <w:t xml:space="preserve"> oprávněn</w:t>
      </w:r>
      <w:r>
        <w:rPr>
          <w:szCs w:val="18"/>
        </w:rPr>
        <w:t>a</w:t>
      </w:r>
      <w:r w:rsidRPr="00E83F73">
        <w:rPr>
          <w:szCs w:val="18"/>
        </w:rPr>
        <w:t xml:space="preserve"> vystavit až po odstranění vad. </w:t>
      </w:r>
      <w:r>
        <w:rPr>
          <w:szCs w:val="18"/>
        </w:rPr>
        <w:t xml:space="preserve">Lhůta pro splatnost běží opět </w:t>
      </w:r>
      <w:proofErr w:type="gramStart"/>
      <w:r>
        <w:rPr>
          <w:szCs w:val="18"/>
        </w:rPr>
        <w:t>od</w:t>
      </w:r>
      <w:proofErr w:type="gramEnd"/>
      <w:r>
        <w:rPr>
          <w:szCs w:val="18"/>
        </w:rPr>
        <w:t xml:space="preserve"> začátku.</w:t>
      </w:r>
    </w:p>
    <w:p w14:paraId="0706BF74" w14:textId="0CC5AFF9" w:rsidR="00B7025F" w:rsidRPr="009E1961" w:rsidRDefault="00E83F73" w:rsidP="00253371">
      <w:pPr>
        <w:pStyle w:val="smlouvabodytext"/>
        <w:ind w:left="142"/>
        <w:rPr>
          <w:b/>
        </w:rPr>
      </w:pPr>
      <w:r>
        <w:t xml:space="preserve">3.5 </w:t>
      </w:r>
      <w:r w:rsidR="00B7025F" w:rsidRPr="009E1961">
        <w:t>Pro účely elektronické fakturace se stanovuje níže uvedená emailová adresa pro zasílání faktur:</w:t>
      </w:r>
    </w:p>
    <w:p w14:paraId="28EB75B2" w14:textId="739D2071" w:rsidR="00B7025F" w:rsidRPr="00F41AD7" w:rsidRDefault="00B7025F" w:rsidP="000445D6">
      <w:pPr>
        <w:pStyle w:val="smlouvabodytext"/>
        <w:ind w:left="425"/>
        <w:rPr>
          <w:b/>
        </w:rPr>
      </w:pPr>
      <w:r w:rsidRPr="00F41AD7">
        <w:rPr>
          <w:b/>
        </w:rPr>
        <w:t>E-mail:</w:t>
      </w:r>
      <w:r w:rsidRPr="006270EC">
        <w:t xml:space="preserve"> </w:t>
      </w:r>
      <w:r w:rsidR="006746CB">
        <w:t>xxxxx</w:t>
      </w:r>
    </w:p>
    <w:p w14:paraId="6C0EFC1D" w14:textId="0F1233D7" w:rsidR="00B7025F" w:rsidRPr="00955DE6" w:rsidRDefault="00B7025F" w:rsidP="003E572E">
      <w:pPr>
        <w:pStyle w:val="Smlouvaheading1"/>
      </w:pPr>
      <w:r w:rsidRPr="00955DE6">
        <w:t>Trvání Smlouvy</w:t>
      </w:r>
      <w:r w:rsidR="003C787B">
        <w:t>, časové plnění</w:t>
      </w:r>
      <w:r w:rsidRPr="00955DE6">
        <w:t xml:space="preserve"> </w:t>
      </w:r>
    </w:p>
    <w:p w14:paraId="5A15B8E8" w14:textId="253B88AA" w:rsidR="00253371" w:rsidRDefault="00B7025F" w:rsidP="00253371">
      <w:pPr>
        <w:pStyle w:val="Smlouvaheading2"/>
      </w:pPr>
      <w:r w:rsidRPr="00253371">
        <w:t xml:space="preserve">Smlouva </w:t>
      </w:r>
      <w:r w:rsidR="00253371" w:rsidRPr="00253371">
        <w:t xml:space="preserve">je uzavřena </w:t>
      </w:r>
      <w:proofErr w:type="gramStart"/>
      <w:r w:rsidR="00253371" w:rsidRPr="00253371">
        <w:t>na</w:t>
      </w:r>
      <w:proofErr w:type="gramEnd"/>
      <w:r w:rsidR="00253371" w:rsidRPr="00253371">
        <w:t xml:space="preserve"> </w:t>
      </w:r>
      <w:r w:rsidR="00253371">
        <w:t>d</w:t>
      </w:r>
      <w:r w:rsidR="00253371" w:rsidRPr="00B65145">
        <w:t xml:space="preserve">obu určitou, a to do okamžiku řádného splnění všech povinností vyplývajících z této Smlouvy oběma smluvními stranami, tj. </w:t>
      </w:r>
      <w:proofErr w:type="gramStart"/>
      <w:r w:rsidR="00253371" w:rsidRPr="00B65145">
        <w:t>do</w:t>
      </w:r>
      <w:proofErr w:type="gramEnd"/>
      <w:r w:rsidR="00253371" w:rsidRPr="00B65145">
        <w:t xml:space="preserve"> poskytnutí Služeb a do úplného uhrazení veškerých odměn definovaných v této Smlouvě ze strany Klienta. Ujednání 11 (a) Obchodních podmínek tímto není dotčeno.</w:t>
      </w:r>
    </w:p>
    <w:p w14:paraId="1CCF7DFA" w14:textId="20E27405" w:rsidR="002B735A" w:rsidRPr="00253371" w:rsidRDefault="002B735A" w:rsidP="00253371">
      <w:pPr>
        <w:pStyle w:val="Smlouvaheading2"/>
        <w:rPr>
          <w:lang w:val="cs-CZ"/>
        </w:rPr>
      </w:pPr>
      <w:r w:rsidRPr="00253371">
        <w:rPr>
          <w:lang w:val="cs-CZ"/>
        </w:rPr>
        <w:t xml:space="preserve">Lhůta pro předání </w:t>
      </w:r>
      <w:r w:rsidR="00253371">
        <w:rPr>
          <w:lang w:val="cs-CZ"/>
        </w:rPr>
        <w:t>návrhu výstupů k připomínkam Klienta</w:t>
      </w:r>
      <w:r w:rsidRPr="00253371">
        <w:rPr>
          <w:lang w:val="cs-CZ"/>
        </w:rPr>
        <w:t xml:space="preserve"> činí </w:t>
      </w:r>
      <w:r w:rsidR="00253371">
        <w:rPr>
          <w:lang w:val="cs-CZ"/>
        </w:rPr>
        <w:t>4</w:t>
      </w:r>
      <w:r w:rsidRPr="00253371">
        <w:rPr>
          <w:lang w:val="cs-CZ"/>
        </w:rPr>
        <w:t xml:space="preserve"> </w:t>
      </w:r>
      <w:r w:rsidR="00253371">
        <w:rPr>
          <w:lang w:val="cs-CZ"/>
        </w:rPr>
        <w:t>týdny</w:t>
      </w:r>
      <w:r w:rsidRPr="00253371">
        <w:rPr>
          <w:lang w:val="cs-CZ"/>
        </w:rPr>
        <w:t xml:space="preserve"> ode dne účinnosti smlouvy.</w:t>
      </w:r>
      <w:r>
        <w:rPr>
          <w:lang w:val="cs-CZ"/>
        </w:rPr>
        <w:t xml:space="preserve"> </w:t>
      </w:r>
      <w:r w:rsidR="00253371">
        <w:rPr>
          <w:lang w:val="cs-CZ"/>
        </w:rPr>
        <w:t xml:space="preserve">Lhůta pro následné zapracování připomínek činí 2 týdny od doručení připomínek Deloitte. </w:t>
      </w:r>
      <w:r>
        <w:rPr>
          <w:lang w:val="cs-CZ"/>
        </w:rPr>
        <w:t xml:space="preserve">V případě prodlení s poskytnutím součinosti ze strany Klienta se lhůta prodlužuje o </w:t>
      </w:r>
      <w:r w:rsidR="003C787B">
        <w:rPr>
          <w:lang w:val="cs-CZ"/>
        </w:rPr>
        <w:t>lhůtu, po kterou nebyla součinnost nezbytná pro plnění smlouvy poskytnuta</w:t>
      </w:r>
      <w:r>
        <w:rPr>
          <w:lang w:val="cs-CZ"/>
        </w:rPr>
        <w:t xml:space="preserve"> </w:t>
      </w:r>
    </w:p>
    <w:p w14:paraId="19C2661C" w14:textId="4851B81F" w:rsidR="00B7025F" w:rsidRPr="00955DE6" w:rsidRDefault="00B7025F" w:rsidP="003E572E">
      <w:pPr>
        <w:pStyle w:val="Smlouvaheading1"/>
      </w:pPr>
      <w:r w:rsidRPr="00955DE6">
        <w:t xml:space="preserve">Oznámení </w:t>
      </w:r>
    </w:p>
    <w:p w14:paraId="51D40A20" w14:textId="77777777" w:rsidR="00B7025F" w:rsidRPr="00955DE6" w:rsidRDefault="00B7025F" w:rsidP="00B204BA">
      <w:pPr>
        <w:pStyle w:val="Smlouvaheading2"/>
      </w:pPr>
      <w:r w:rsidRPr="00955DE6">
        <w:t xml:space="preserve">Adresy, telefonní čísla, faxová čísla a e-maily </w:t>
      </w:r>
      <w:r>
        <w:t xml:space="preserve">smluvních </w:t>
      </w:r>
      <w:r w:rsidRPr="00955DE6">
        <w:t xml:space="preserve">stran pro účely </w:t>
      </w:r>
      <w:r>
        <w:t>této Smlouvy</w:t>
      </w:r>
      <w:r w:rsidRPr="00955DE6">
        <w:t xml:space="preserve"> budou následující:</w:t>
      </w:r>
    </w:p>
    <w:p w14:paraId="4E95522E" w14:textId="77777777" w:rsidR="00B7025F" w:rsidRPr="00955DE6" w:rsidRDefault="00B7025F" w:rsidP="000445D6">
      <w:pPr>
        <w:pStyle w:val="smlouvabodytext"/>
        <w:ind w:left="425"/>
      </w:pPr>
      <w:r w:rsidRPr="00955DE6">
        <w:t>Deloitte: Adresa uvedená na titulní straně Smlouvy</w:t>
      </w:r>
    </w:p>
    <w:p w14:paraId="517E7F68" w14:textId="033D403B" w:rsidR="00B7025F" w:rsidRPr="00955DE6" w:rsidRDefault="00B7025F" w:rsidP="000445D6">
      <w:pPr>
        <w:pStyle w:val="smlouvabodytext"/>
        <w:ind w:left="425"/>
      </w:pPr>
      <w:r w:rsidRPr="00955DE6">
        <w:t xml:space="preserve">Tel.: </w:t>
      </w:r>
      <w:r w:rsidR="006746CB">
        <w:t>xxxxx</w:t>
      </w:r>
      <w:r w:rsidR="00B65145" w:rsidRPr="00B65145">
        <w:rPr>
          <w:highlight w:val="yellow"/>
        </w:rPr>
        <w:t xml:space="preserve"> </w:t>
      </w:r>
    </w:p>
    <w:p w14:paraId="51A265EB" w14:textId="16049AA2" w:rsidR="00B7025F" w:rsidRPr="00220010" w:rsidRDefault="00B7025F" w:rsidP="000445D6">
      <w:pPr>
        <w:pStyle w:val="smlouvabodytext"/>
        <w:ind w:left="425"/>
      </w:pPr>
      <w:r w:rsidRPr="00955DE6">
        <w:t xml:space="preserve">e-mail: </w:t>
      </w:r>
      <w:r w:rsidR="006746CB">
        <w:t>xxxxx</w:t>
      </w:r>
    </w:p>
    <w:p w14:paraId="790EC1A9" w14:textId="77777777" w:rsidR="00B7025F" w:rsidRPr="00955DE6" w:rsidRDefault="00B7025F" w:rsidP="000445D6">
      <w:pPr>
        <w:pStyle w:val="smlouvabodytext"/>
        <w:ind w:left="425"/>
      </w:pPr>
      <w:bookmarkStart w:id="59" w:name="ZN64"/>
      <w:bookmarkEnd w:id="59"/>
      <w:r w:rsidRPr="00955DE6">
        <w:t xml:space="preserve">Klient: Adresa uvedené na titulní straně Smlouvy </w:t>
      </w:r>
    </w:p>
    <w:p w14:paraId="462872D8" w14:textId="64787395" w:rsidR="00B7025F" w:rsidRPr="00220010" w:rsidRDefault="00B7025F" w:rsidP="000445D6">
      <w:pPr>
        <w:pStyle w:val="smlouvabodytext"/>
        <w:ind w:left="425"/>
      </w:pPr>
      <w:r w:rsidRPr="00955DE6">
        <w:t>Tel</w:t>
      </w:r>
      <w:r w:rsidRPr="00253371">
        <w:t xml:space="preserve">.: </w:t>
      </w:r>
      <w:bookmarkStart w:id="60" w:name="Tel"/>
      <w:bookmarkEnd w:id="60"/>
      <w:r w:rsidR="006746CB">
        <w:t>xxxxx</w:t>
      </w:r>
    </w:p>
    <w:p w14:paraId="32203298" w14:textId="61DB4008" w:rsidR="00B7025F" w:rsidRPr="00955DE6" w:rsidRDefault="00B7025F" w:rsidP="000445D6">
      <w:pPr>
        <w:pStyle w:val="smlouvabodytext"/>
        <w:ind w:left="425"/>
      </w:pPr>
      <w:r w:rsidRPr="00955DE6">
        <w:t>e- mail</w:t>
      </w:r>
      <w:r w:rsidRPr="00253371">
        <w:t xml:space="preserve">: </w:t>
      </w:r>
      <w:r w:rsidR="006746CB">
        <w:t>xxxxx</w:t>
      </w:r>
    </w:p>
    <w:p w14:paraId="1841C691" w14:textId="77777777" w:rsidR="00B7025F" w:rsidRPr="00955DE6" w:rsidRDefault="00B7025F" w:rsidP="003E572E">
      <w:pPr>
        <w:pStyle w:val="Smlouvaheading1"/>
      </w:pPr>
      <w:r w:rsidRPr="00955DE6">
        <w:t xml:space="preserve">Všeobecné podmínky </w:t>
      </w:r>
    </w:p>
    <w:p w14:paraId="2E6B57E2" w14:textId="77777777" w:rsidR="00B7025F" w:rsidRDefault="00B7025F" w:rsidP="00B204BA">
      <w:pPr>
        <w:pStyle w:val="Smlouvaheading2"/>
      </w:pPr>
      <w:r w:rsidRPr="00955DE6">
        <w:t xml:space="preserve">Obchodní podmínky tvořící </w:t>
      </w:r>
      <w:r>
        <w:t>P</w:t>
      </w:r>
      <w:r w:rsidRPr="00955DE6">
        <w:t xml:space="preserve">řílohu č. 3 představují </w:t>
      </w:r>
      <w:r>
        <w:t>v</w:t>
      </w:r>
      <w:r w:rsidRPr="00D55143">
        <w:t> souladu s</w:t>
      </w:r>
      <w:r>
        <w:t xml:space="preserve"> ustanovením </w:t>
      </w:r>
      <w:r w:rsidRPr="00680376">
        <w:t>§ 1751 odst. 1 občanského zákoníku</w:t>
      </w:r>
      <w:r w:rsidRPr="00955DE6">
        <w:t xml:space="preserve"> nedílnou součást </w:t>
      </w:r>
      <w:r>
        <w:t>tohoto Smluvního dopisu</w:t>
      </w:r>
      <w:r w:rsidRPr="00955DE6">
        <w:t>.</w:t>
      </w:r>
    </w:p>
    <w:p w14:paraId="485B81A5" w14:textId="3C06F4A2" w:rsidR="003C787B" w:rsidRDefault="003C787B" w:rsidP="00B204BA">
      <w:pPr>
        <w:pStyle w:val="Smlouvaheading2"/>
      </w:pPr>
      <w:r w:rsidRPr="003C787B">
        <w:t>Lhůta pro akceptaci výstupu Klietem se prodluž</w:t>
      </w:r>
      <w:r w:rsidRPr="00253371">
        <w:t xml:space="preserve">uje </w:t>
      </w:r>
      <w:proofErr w:type="gramStart"/>
      <w:r w:rsidRPr="00253371">
        <w:t>na</w:t>
      </w:r>
      <w:proofErr w:type="gramEnd"/>
      <w:r w:rsidRPr="00253371">
        <w:t xml:space="preserve"> 15 pracovních dní. </w:t>
      </w:r>
    </w:p>
    <w:p w14:paraId="15C0689B" w14:textId="77777777" w:rsidR="00B51A89" w:rsidRDefault="00B51A89" w:rsidP="00B204BA">
      <w:pPr>
        <w:pStyle w:val="Smlouvaheading2"/>
      </w:pPr>
      <w:r>
        <w:t>Klient může požadovat bezplatné odstranění vad, pokud jejich povaha byla zaviněna Deloittem.</w:t>
      </w:r>
    </w:p>
    <w:p w14:paraId="36768DCE" w14:textId="7D5A204E" w:rsidR="00B51A89" w:rsidRDefault="00B51A89" w:rsidP="00B204BA">
      <w:pPr>
        <w:pStyle w:val="Smlouvaheading2"/>
      </w:pPr>
      <w:r>
        <w:t>Sluvní strany sjednávají pro případ nedodržení termínu předání výstupu (viz 4.2) a odstranění vad (viz 6.3) smluvní pokutu ve výši 3 000</w:t>
      </w:r>
      <w:proofErr w:type="gramStart"/>
      <w:r>
        <w:t>,-</w:t>
      </w:r>
      <w:proofErr w:type="gramEnd"/>
      <w:r>
        <w:t xml:space="preserve"> Kč (slovy: tři tisíce korun českých) za každý den prodlení.</w:t>
      </w:r>
    </w:p>
    <w:p w14:paraId="4556545B" w14:textId="593E9190" w:rsidR="00B51A89" w:rsidRPr="003C787B" w:rsidRDefault="00B51A89" w:rsidP="00B204BA">
      <w:pPr>
        <w:pStyle w:val="Smlouvaheading2"/>
      </w:pPr>
      <w:r>
        <w:t xml:space="preserve">Smluvní strany sjednávají, že zaplacení smluvní pokuty se nezapočítává do nároku </w:t>
      </w:r>
      <w:proofErr w:type="gramStart"/>
      <w:r>
        <w:t>na</w:t>
      </w:r>
      <w:proofErr w:type="gramEnd"/>
      <w:r>
        <w:t xml:space="preserve"> náhradu škody v plné výši (</w:t>
      </w:r>
      <w:r w:rsidR="00597899">
        <w:t>omezení odpovědnosti dle Obechodních podmínek čl. 6. Odpovědnost za škody písmeno a) tímto není dotčena)</w:t>
      </w:r>
      <w:r>
        <w:t xml:space="preserve">. </w:t>
      </w:r>
    </w:p>
    <w:p w14:paraId="2020ABD4" w14:textId="77777777" w:rsidR="00B7025F" w:rsidRPr="00955DE6" w:rsidRDefault="00B7025F" w:rsidP="003E572E">
      <w:pPr>
        <w:pStyle w:val="Smlouvaheading1"/>
      </w:pPr>
      <w:r w:rsidRPr="00955DE6">
        <w:t xml:space="preserve">Závěrečná </w:t>
      </w:r>
      <w:r>
        <w:t>ujednání</w:t>
      </w:r>
      <w:r w:rsidRPr="00955DE6">
        <w:t xml:space="preserve"> </w:t>
      </w:r>
    </w:p>
    <w:p w14:paraId="206C9AB7" w14:textId="77777777" w:rsidR="00B7025F" w:rsidRPr="00955DE6" w:rsidRDefault="00B7025F" w:rsidP="00B204BA">
      <w:pPr>
        <w:pStyle w:val="Smlouvaheading2"/>
      </w:pPr>
      <w:r w:rsidRPr="00955DE6">
        <w:t xml:space="preserve">Obě </w:t>
      </w:r>
      <w:r>
        <w:t xml:space="preserve">smluvní </w:t>
      </w:r>
      <w:r w:rsidRPr="00955DE6">
        <w:t xml:space="preserve">strany se seznámily s obsahem této Smlouvy a souhlasí, že budou vázány jejími </w:t>
      </w:r>
      <w:r>
        <w:t>ujednání</w:t>
      </w:r>
      <w:r w:rsidRPr="00955DE6">
        <w:t xml:space="preserve">mi. </w:t>
      </w:r>
    </w:p>
    <w:p w14:paraId="017828E3" w14:textId="29130C50" w:rsidR="00B7025F" w:rsidRDefault="00B7025F" w:rsidP="00B204BA">
      <w:pPr>
        <w:pStyle w:val="Smlouvaheading2"/>
      </w:pPr>
      <w:r w:rsidRPr="009B0ABD">
        <w:t xml:space="preserve">Veškeré změny nebo dodatky ke Smlouvě musejí být provedeny písemně. </w:t>
      </w:r>
      <w:r>
        <w:t>J</w:t>
      </w:r>
      <w:r w:rsidRPr="000C05F6">
        <w:t>akékoliv změny návrhu Smlouvy nebo návrhu dodatku Smlouvy budou Smluvní strany považovat za nový návrh Smlouvy nebo nový návrh dodatku Smlouvy. Smluvní strany použití § 1740 odst. 3, občanského zákoníku, vylučují</w:t>
      </w:r>
      <w:r w:rsidRPr="009B0ABD">
        <w:t>. Klient bere v potaz a souhlasí s článkem 6 Obchodních podmínek omezujícím odpovědnost za škodu.</w:t>
      </w:r>
      <w:r w:rsidR="0008662A">
        <w:t xml:space="preserve"> </w:t>
      </w:r>
      <w:r w:rsidR="0008662A" w:rsidRPr="0008662A">
        <w:rPr>
          <w:szCs w:val="18"/>
        </w:rPr>
        <w:t>Strany se dohodly, že se obchodní zvyklosti ve smyslu ustanovení § 558 odst. 2 občanského zákoníku při výkladu této Smlouvy nepoužijí.</w:t>
      </w:r>
    </w:p>
    <w:p w14:paraId="79C54E19" w14:textId="77777777" w:rsidR="00B7025F" w:rsidRPr="00955DE6" w:rsidRDefault="00B7025F" w:rsidP="00B204BA">
      <w:pPr>
        <w:pStyle w:val="Smlouvaheading2"/>
      </w:pPr>
      <w:r w:rsidRPr="00955DE6">
        <w:t xml:space="preserve">Tato Smlouva bude vyhotovena ve dvou (2) stejnopisech s platností originálu. Každá </w:t>
      </w:r>
      <w:r>
        <w:t xml:space="preserve">smluvní </w:t>
      </w:r>
      <w:r w:rsidRPr="00955DE6">
        <w:t xml:space="preserve">strana obdrží jeden stejnopis včetně příloh, které tvoří nedílnou součást Smlouvy. </w:t>
      </w:r>
    </w:p>
    <w:p w14:paraId="1ECF652F" w14:textId="32FDB5D5" w:rsidR="00AF692F" w:rsidRPr="00253371" w:rsidRDefault="00AF692F" w:rsidP="00253371">
      <w:pPr>
        <w:pStyle w:val="Smlouvaheading2"/>
        <w:rPr>
          <w:b/>
          <w:lang w:val="cs-CZ"/>
        </w:rPr>
      </w:pPr>
      <w:r w:rsidRPr="00253371">
        <w:rPr>
          <w:lang w:val="cs-CZ"/>
        </w:rPr>
        <w:t>Smlouva nabývá platnosti dnem jejího podpisu oprávněnými zástupci obou smluvních stran a</w:t>
      </w:r>
      <w:r w:rsidR="00253371">
        <w:rPr>
          <w:lang w:val="cs-CZ"/>
        </w:rPr>
        <w:t xml:space="preserve"> </w:t>
      </w:r>
      <w:r w:rsidRPr="00253371">
        <w:rPr>
          <w:lang w:val="cs-CZ"/>
        </w:rPr>
        <w:t>účinnosti dnem uveřejnění v registru smluv podle zákona č. 340/2015 Sb., o registru smluv, ve znění pozdějších předpisů. Smluvní strany se dohodly, že zveřejnění smlouvy provede Klient. Kontaktní e-mail na doručení oznámení o vložení smlouvy do registru smluv Deloitte:</w:t>
      </w:r>
      <w:r w:rsidR="006746CB">
        <w:rPr>
          <w:lang w:val="cs-CZ"/>
        </w:rPr>
        <w:t>xxxx</w:t>
      </w:r>
      <w:bookmarkStart w:id="61" w:name="_GoBack"/>
      <w:bookmarkEnd w:id="61"/>
    </w:p>
    <w:p w14:paraId="215219C9" w14:textId="77777777" w:rsidR="00B7025F" w:rsidRPr="00253371" w:rsidRDefault="00B7025F" w:rsidP="00AF692F">
      <w:pPr>
        <w:pStyle w:val="Smlouvaheading2"/>
        <w:numPr>
          <w:ilvl w:val="1"/>
          <w:numId w:val="33"/>
        </w:numPr>
        <w:rPr>
          <w:lang w:val="cs-CZ"/>
        </w:rPr>
      </w:pPr>
      <w:r w:rsidRPr="00AF692F">
        <w:rPr>
          <w:lang w:val="cs-CZ"/>
        </w:rPr>
        <w:t xml:space="preserve">Smluvní strany prohlašují, že text této Smlouvy vzájemně projednaly a že ve věci jejího obsahu i znění dosáhly úplné shody. </w:t>
      </w:r>
      <w:r w:rsidRPr="00253371">
        <w:rPr>
          <w:lang w:val="cs-CZ"/>
        </w:rPr>
        <w:t xml:space="preserve">Na důkaz toho, že text Smlouvy zcela odpovídá vůli smluvních stran a že nebyl podepsán v tísni ani za nápadně nevýhodných podmínek, smluvní strany připojují své podpisy. </w:t>
      </w:r>
    </w:p>
    <w:p w14:paraId="65B3E70B" w14:textId="57FF4910" w:rsidR="00B7025F" w:rsidRDefault="00B7025F" w:rsidP="000445D6">
      <w:pPr>
        <w:rPr>
          <w:lang w:val="cs-CZ"/>
        </w:rPr>
      </w:pPr>
    </w:p>
    <w:p w14:paraId="77A2DB6D" w14:textId="77777777" w:rsidR="00253371" w:rsidRPr="00253371" w:rsidRDefault="00253371" w:rsidP="000445D6">
      <w:pPr>
        <w:rPr>
          <w:lang w:val="cs-CZ"/>
        </w:rPr>
      </w:pPr>
    </w:p>
    <w:p w14:paraId="41B38596" w14:textId="1E329C8F" w:rsidR="00B7025F" w:rsidRPr="00253371" w:rsidRDefault="00B7025F" w:rsidP="000445D6">
      <w:pPr>
        <w:tabs>
          <w:tab w:val="left" w:pos="4536"/>
        </w:tabs>
        <w:rPr>
          <w:lang w:val="cs-CZ"/>
        </w:rPr>
      </w:pPr>
      <w:r w:rsidRPr="00253371">
        <w:rPr>
          <w:lang w:val="cs-CZ"/>
        </w:rPr>
        <w:t xml:space="preserve">V </w:t>
      </w:r>
      <w:r w:rsidR="00DE7594" w:rsidRPr="00253371">
        <w:rPr>
          <w:lang w:val="cs-CZ"/>
        </w:rPr>
        <w:t>Praze</w:t>
      </w:r>
      <w:r w:rsidRPr="00253371">
        <w:rPr>
          <w:lang w:val="cs-CZ"/>
        </w:rPr>
        <w:t xml:space="preserve"> dne: </w:t>
      </w:r>
      <w:r w:rsidRPr="00253371">
        <w:rPr>
          <w:lang w:val="cs-CZ"/>
        </w:rPr>
        <w:tab/>
        <w:t xml:space="preserve">V </w:t>
      </w:r>
      <w:r w:rsidR="00DE7594" w:rsidRPr="00253371">
        <w:rPr>
          <w:lang w:val="cs-CZ"/>
        </w:rPr>
        <w:t>Karlových Varech</w:t>
      </w:r>
      <w:r w:rsidRPr="00253371">
        <w:rPr>
          <w:lang w:val="cs-CZ"/>
        </w:rPr>
        <w:t xml:space="preserve"> dne: </w:t>
      </w:r>
    </w:p>
    <w:p w14:paraId="0D6F17DE" w14:textId="77777777" w:rsidR="00B7025F" w:rsidRPr="00253371" w:rsidRDefault="00B7025F" w:rsidP="000445D6">
      <w:pPr>
        <w:rPr>
          <w:lang w:val="cs-CZ"/>
        </w:rPr>
      </w:pPr>
    </w:p>
    <w:p w14:paraId="79F35A2A" w14:textId="2A7321F8" w:rsidR="00B7025F" w:rsidRDefault="00B7025F" w:rsidP="000445D6">
      <w:pPr>
        <w:tabs>
          <w:tab w:val="left" w:pos="4536"/>
        </w:tabs>
      </w:pPr>
      <w:r w:rsidRPr="00955DE6">
        <w:rPr>
          <w:b/>
        </w:rPr>
        <w:t xml:space="preserve">Deloitte </w:t>
      </w:r>
      <w:r>
        <w:rPr>
          <w:b/>
        </w:rPr>
        <w:t>Advisory s.r.o.</w:t>
      </w:r>
      <w:r w:rsidRPr="00955DE6">
        <w:tab/>
      </w:r>
      <w:r w:rsidR="00DE7594" w:rsidRPr="00DE7594">
        <w:rPr>
          <w:b/>
        </w:rPr>
        <w:t>Karlovarsk</w:t>
      </w:r>
      <w:r w:rsidR="00AF692F">
        <w:rPr>
          <w:b/>
        </w:rPr>
        <w:t>ý</w:t>
      </w:r>
      <w:r w:rsidR="00DE7594" w:rsidRPr="00DE7594">
        <w:rPr>
          <w:b/>
        </w:rPr>
        <w:t xml:space="preserve"> kraj</w:t>
      </w:r>
    </w:p>
    <w:p w14:paraId="07D6F825" w14:textId="1B9F309A" w:rsidR="00B7025F" w:rsidRDefault="00B7025F" w:rsidP="000445D6"/>
    <w:p w14:paraId="45184A01" w14:textId="2F627708" w:rsidR="00253371" w:rsidRDefault="00253371" w:rsidP="000445D6"/>
    <w:p w14:paraId="6F7D3C34" w14:textId="77777777" w:rsidR="00253371" w:rsidRDefault="00253371" w:rsidP="000445D6"/>
    <w:p w14:paraId="5CFA52B8" w14:textId="53E13D8C" w:rsidR="00B7025F" w:rsidRDefault="00DE7594" w:rsidP="000445D6">
      <w:pPr>
        <w:tabs>
          <w:tab w:val="left" w:pos="4536"/>
        </w:tabs>
      </w:pPr>
      <w:r>
        <w:t>Pavel Šiška</w:t>
      </w:r>
      <w:r w:rsidR="00B7025F" w:rsidRPr="006F317C">
        <w:tab/>
      </w:r>
      <w:r w:rsidR="001010A6">
        <w:t>Ing. Jan Bureš</w:t>
      </w:r>
    </w:p>
    <w:p w14:paraId="0A444E4A" w14:textId="5BE57D7A" w:rsidR="00B7025F" w:rsidRPr="00253371" w:rsidRDefault="00DE7594" w:rsidP="000445D6">
      <w:pPr>
        <w:tabs>
          <w:tab w:val="left" w:pos="4536"/>
        </w:tabs>
        <w:rPr>
          <w:lang w:val="de-DE"/>
        </w:rPr>
      </w:pPr>
      <w:r w:rsidRPr="00253371">
        <w:rPr>
          <w:lang w:val="de-DE"/>
        </w:rPr>
        <w:t>Vedoucí partner poradenských služeb</w:t>
      </w:r>
      <w:r w:rsidR="00B7025F" w:rsidRPr="00253371">
        <w:rPr>
          <w:lang w:val="de-DE"/>
        </w:rPr>
        <w:tab/>
      </w:r>
      <w:r w:rsidR="001010A6" w:rsidRPr="00253371">
        <w:rPr>
          <w:lang w:val="de-DE"/>
        </w:rPr>
        <w:t>člen rady kraje</w:t>
      </w:r>
    </w:p>
    <w:p w14:paraId="3044D336" w14:textId="77777777" w:rsidR="00F41AD7" w:rsidRPr="00253371" w:rsidRDefault="00F41AD7">
      <w:pPr>
        <w:spacing w:after="0" w:line="240" w:lineRule="auto"/>
        <w:rPr>
          <w:rFonts w:ascii="Times New Roman" w:hAnsi="Times New Roman"/>
          <w:b/>
          <w:sz w:val="22"/>
          <w:lang w:val="de-DE"/>
        </w:rPr>
      </w:pPr>
    </w:p>
    <w:p w14:paraId="5B678041" w14:textId="77777777" w:rsidR="00F41AD7" w:rsidRPr="00253371" w:rsidRDefault="00F41AD7">
      <w:pPr>
        <w:spacing w:after="0" w:line="240" w:lineRule="auto"/>
        <w:rPr>
          <w:rFonts w:ascii="Times New Roman" w:hAnsi="Times New Roman"/>
          <w:b/>
          <w:sz w:val="22"/>
          <w:lang w:val="de-DE"/>
        </w:rPr>
        <w:sectPr w:rsidR="00F41AD7" w:rsidRPr="00253371" w:rsidSect="00F41AD7">
          <w:headerReference w:type="default" r:id="rId8"/>
          <w:pgSz w:w="11906" w:h="16838" w:code="9"/>
          <w:pgMar w:top="1417" w:right="1417" w:bottom="1417" w:left="1417" w:header="680" w:footer="567" w:gutter="0"/>
          <w:cols w:space="284"/>
          <w:docGrid w:linePitch="360"/>
        </w:sectPr>
      </w:pPr>
    </w:p>
    <w:p w14:paraId="295EB4E4" w14:textId="57CDB7CD" w:rsidR="00B7025F" w:rsidRPr="000A5FAE" w:rsidRDefault="00B7025F" w:rsidP="00F45C79">
      <w:pPr>
        <w:pStyle w:val="Zkladntext"/>
        <w:jc w:val="center"/>
        <w:rPr>
          <w:b/>
        </w:rPr>
      </w:pPr>
      <w:r w:rsidRPr="000A5FAE">
        <w:rPr>
          <w:b/>
        </w:rPr>
        <w:t>Příloha č. 1</w:t>
      </w:r>
      <w:r w:rsidR="000A5FAE">
        <w:rPr>
          <w:b/>
        </w:rPr>
        <w:br/>
      </w:r>
      <w:r w:rsidRPr="000A5FAE">
        <w:rPr>
          <w:b/>
        </w:rPr>
        <w:t>Rozsah Služeb</w:t>
      </w:r>
    </w:p>
    <w:p w14:paraId="79327189" w14:textId="00FB4075" w:rsidR="00B7025F" w:rsidRDefault="00B7025F" w:rsidP="000A5FAE">
      <w:pPr>
        <w:pStyle w:val="Zkladntext"/>
      </w:pPr>
      <w:r w:rsidRPr="00955DE6">
        <w:t>Služby budou zahrnovat</w:t>
      </w:r>
      <w:r w:rsidR="004A11A0">
        <w:t>:</w:t>
      </w:r>
    </w:p>
    <w:p w14:paraId="41E4698C" w14:textId="046A3F38" w:rsidR="004A11A0" w:rsidRPr="004A11A0" w:rsidRDefault="004A11A0" w:rsidP="004A11A0">
      <w:pPr>
        <w:pStyle w:val="Zkladntext"/>
        <w:numPr>
          <w:ilvl w:val="0"/>
          <w:numId w:val="31"/>
        </w:numPr>
        <w:spacing w:after="120"/>
        <w:rPr>
          <w:b/>
        </w:rPr>
      </w:pPr>
      <w:r w:rsidRPr="004A11A0">
        <w:rPr>
          <w:b/>
        </w:rPr>
        <w:t>Zhodnocení výchozího stavu</w:t>
      </w:r>
    </w:p>
    <w:p w14:paraId="729F8440" w14:textId="6F12C8EC" w:rsidR="004A11A0" w:rsidRPr="004A11A0" w:rsidRDefault="004A11A0" w:rsidP="004A11A0">
      <w:pPr>
        <w:pStyle w:val="Zkladntext"/>
        <w:numPr>
          <w:ilvl w:val="1"/>
          <w:numId w:val="31"/>
        </w:numPr>
        <w:spacing w:after="120"/>
      </w:pPr>
      <w:r w:rsidRPr="004A11A0">
        <w:rPr>
          <w:lang w:val="en-US"/>
        </w:rPr>
        <w:t>Popis výchozího stavu (finanční a provozní výsledky nemocnice, současná strategie)                   a předpokladů pro zpracování analýzy</w:t>
      </w:r>
    </w:p>
    <w:p w14:paraId="3EB30A95" w14:textId="62D214C7" w:rsidR="004A11A0" w:rsidRPr="004A11A0" w:rsidRDefault="004A11A0" w:rsidP="004A11A0">
      <w:pPr>
        <w:pStyle w:val="Zkladntext"/>
        <w:numPr>
          <w:ilvl w:val="0"/>
          <w:numId w:val="31"/>
        </w:numPr>
        <w:spacing w:after="120"/>
        <w:rPr>
          <w:b/>
        </w:rPr>
      </w:pPr>
      <w:r w:rsidRPr="004A11A0">
        <w:rPr>
          <w:b/>
          <w:lang w:val="en-US"/>
        </w:rPr>
        <w:t>Revizi vnitřních úspor, výnosů a rozvahy</w:t>
      </w:r>
    </w:p>
    <w:p w14:paraId="20D9D2E3" w14:textId="77777777" w:rsidR="004A11A0" w:rsidRPr="004A11A0" w:rsidRDefault="004A11A0" w:rsidP="004A11A0">
      <w:pPr>
        <w:pStyle w:val="Zkladntext"/>
        <w:numPr>
          <w:ilvl w:val="1"/>
          <w:numId w:val="31"/>
        </w:numPr>
        <w:spacing w:after="120"/>
      </w:pPr>
      <w:r w:rsidRPr="004A11A0">
        <w:t>Revize vnitřních úspor a nových výnosů v horizontu 12 měsíců:</w:t>
      </w:r>
    </w:p>
    <w:p w14:paraId="5F7C1C8A" w14:textId="77777777" w:rsidR="004A11A0" w:rsidRPr="004A11A0" w:rsidRDefault="004A11A0" w:rsidP="004A11A0">
      <w:pPr>
        <w:pStyle w:val="Zkladntext"/>
        <w:numPr>
          <w:ilvl w:val="2"/>
          <w:numId w:val="31"/>
        </w:numPr>
        <w:spacing w:after="120"/>
      </w:pPr>
      <w:r w:rsidRPr="004A11A0">
        <w:t>Vytvoření přehledu již identifikovaných potenciálních úsporných opatření a nových výnosů a jejich dopadů na HV</w:t>
      </w:r>
    </w:p>
    <w:p w14:paraId="375FBE50" w14:textId="77777777" w:rsidR="004A11A0" w:rsidRPr="004A11A0" w:rsidRDefault="004A11A0" w:rsidP="004A11A0">
      <w:pPr>
        <w:pStyle w:val="Zkladntext"/>
        <w:numPr>
          <w:ilvl w:val="1"/>
          <w:numId w:val="31"/>
        </w:numPr>
        <w:spacing w:after="120"/>
      </w:pPr>
      <w:r w:rsidRPr="004A11A0">
        <w:t xml:space="preserve">Revize rozvahy a z ní plynoucích ekonomických příležitostí a hrozeb: </w:t>
      </w:r>
    </w:p>
    <w:p w14:paraId="6F14D748" w14:textId="77777777" w:rsidR="004A11A0" w:rsidRPr="004A11A0" w:rsidRDefault="004A11A0" w:rsidP="004A11A0">
      <w:pPr>
        <w:pStyle w:val="Zkladntext"/>
        <w:numPr>
          <w:ilvl w:val="2"/>
          <w:numId w:val="31"/>
        </w:numPr>
        <w:spacing w:after="120"/>
      </w:pPr>
      <w:r w:rsidRPr="004A11A0">
        <w:t xml:space="preserve">Základní položková analýza rozvahy společnosti s důrazem na dlouhodobý majetek </w:t>
      </w:r>
      <w:r w:rsidRPr="004A11A0">
        <w:br/>
        <w:t>a možnosti jeho využití, správu závazků a pohledávek</w:t>
      </w:r>
    </w:p>
    <w:p w14:paraId="307401E4" w14:textId="6947B5C8" w:rsidR="004A11A0" w:rsidRDefault="004A11A0" w:rsidP="002E0D3C">
      <w:pPr>
        <w:pStyle w:val="Zkladntext"/>
        <w:spacing w:after="120"/>
        <w:rPr>
          <w:lang w:val="en-US"/>
        </w:rPr>
      </w:pPr>
      <w:r w:rsidRPr="002E0D3C">
        <w:rPr>
          <w:b/>
          <w:lang w:val="en-US"/>
        </w:rPr>
        <w:t>Náš přístup:</w:t>
      </w:r>
      <w:r w:rsidRPr="004A11A0">
        <w:rPr>
          <w:lang w:val="en-US"/>
        </w:rPr>
        <w:t xml:space="preserve"> Analýza dostupných interních dat a rozvahy Karlovarské krajské nemocnice za rok 2016 a 2017. Následn</w:t>
      </w:r>
      <w:r w:rsidR="002E0D3C">
        <w:rPr>
          <w:lang w:val="en-US"/>
        </w:rPr>
        <w:t>ě</w:t>
      </w:r>
      <w:r w:rsidRPr="004A11A0">
        <w:rPr>
          <w:lang w:val="en-US"/>
        </w:rPr>
        <w:t xml:space="preserve"> bude realizován workshop s managementem za účelem vyhodnocení oblastí pro potenciální ekonomické příležitosti a hrozby</w:t>
      </w:r>
    </w:p>
    <w:p w14:paraId="7F15A074" w14:textId="6547ADF3" w:rsidR="002E0D3C" w:rsidRPr="004A11A0" w:rsidRDefault="002E0D3C" w:rsidP="002E0D3C">
      <w:pPr>
        <w:pStyle w:val="Zkladntext"/>
        <w:spacing w:after="120"/>
      </w:pPr>
      <w:r w:rsidRPr="002E0D3C">
        <w:rPr>
          <w:b/>
          <w:lang w:val="en-US"/>
        </w:rPr>
        <w:t>Výstup:</w:t>
      </w:r>
      <w:r>
        <w:rPr>
          <w:lang w:val="en-US"/>
        </w:rPr>
        <w:t xml:space="preserve"> </w:t>
      </w:r>
      <w:r w:rsidRPr="002E0D3C">
        <w:rPr>
          <w:lang w:val="en-US"/>
        </w:rPr>
        <w:t xml:space="preserve">Revidovaný položkový seznam plánovaných úsporných a rozvojových opatření a jejich </w:t>
      </w:r>
      <w:r>
        <w:rPr>
          <w:lang w:val="en-US"/>
        </w:rPr>
        <w:t xml:space="preserve">dopad </w:t>
      </w:r>
      <w:proofErr w:type="gramStart"/>
      <w:r>
        <w:rPr>
          <w:lang w:val="en-US"/>
        </w:rPr>
        <w:t>na</w:t>
      </w:r>
      <w:proofErr w:type="gramEnd"/>
      <w:r>
        <w:rPr>
          <w:lang w:val="en-US"/>
        </w:rPr>
        <w:t xml:space="preserve"> HV, společně s přehledem</w:t>
      </w:r>
      <w:r w:rsidRPr="002E0D3C">
        <w:rPr>
          <w:lang w:val="en-US"/>
        </w:rPr>
        <w:t xml:space="preserve"> hrozeb a příležitostí.</w:t>
      </w:r>
    </w:p>
    <w:p w14:paraId="089C83B9" w14:textId="08A823C8" w:rsidR="004A11A0" w:rsidRPr="004A11A0" w:rsidRDefault="004A11A0" w:rsidP="004A11A0">
      <w:pPr>
        <w:pStyle w:val="Zkladntext"/>
        <w:numPr>
          <w:ilvl w:val="0"/>
          <w:numId w:val="31"/>
        </w:numPr>
        <w:spacing w:after="120"/>
        <w:rPr>
          <w:b/>
        </w:rPr>
      </w:pPr>
      <w:r w:rsidRPr="004A11A0">
        <w:rPr>
          <w:b/>
          <w:lang w:val="en-US"/>
        </w:rPr>
        <w:t>Analýza a vyhodnocení obchodně-provozních modelů nemocnice z pohledu kraje</w:t>
      </w:r>
    </w:p>
    <w:p w14:paraId="6F30732B" w14:textId="77777777" w:rsidR="00B57046" w:rsidRPr="004A11A0" w:rsidRDefault="00900B15" w:rsidP="004A11A0">
      <w:pPr>
        <w:pStyle w:val="Zkladntext"/>
        <w:numPr>
          <w:ilvl w:val="1"/>
          <w:numId w:val="31"/>
        </w:numPr>
        <w:spacing w:after="120"/>
        <w:rPr>
          <w:lang w:val="cs-CZ"/>
        </w:rPr>
      </w:pPr>
      <w:r w:rsidRPr="004A11A0">
        <w:rPr>
          <w:lang w:val="cs-CZ"/>
        </w:rPr>
        <w:t>Popis vybraných obchodně-provozních modelů:</w:t>
      </w:r>
    </w:p>
    <w:p w14:paraId="30BF3887" w14:textId="77777777" w:rsidR="00B57046" w:rsidRPr="004A11A0" w:rsidRDefault="00900B15" w:rsidP="004A11A0">
      <w:pPr>
        <w:pStyle w:val="Zkladntext"/>
        <w:numPr>
          <w:ilvl w:val="2"/>
          <w:numId w:val="31"/>
        </w:numPr>
        <w:spacing w:after="60"/>
        <w:ind w:hanging="181"/>
        <w:rPr>
          <w:lang w:val="cs-CZ"/>
        </w:rPr>
      </w:pPr>
      <w:r w:rsidRPr="004A11A0">
        <w:rPr>
          <w:lang w:val="cs-CZ"/>
        </w:rPr>
        <w:t>Dlouhodobý provoz krajem – zachování současného stavu</w:t>
      </w:r>
    </w:p>
    <w:p w14:paraId="32E8574E" w14:textId="77777777" w:rsidR="00B57046" w:rsidRPr="004A11A0" w:rsidRDefault="00900B15" w:rsidP="004A11A0">
      <w:pPr>
        <w:pStyle w:val="Zkladntext"/>
        <w:numPr>
          <w:ilvl w:val="2"/>
          <w:numId w:val="31"/>
        </w:numPr>
        <w:spacing w:after="60"/>
        <w:ind w:hanging="181"/>
        <w:rPr>
          <w:lang w:val="cs-CZ"/>
        </w:rPr>
      </w:pPr>
      <w:r w:rsidRPr="004A11A0">
        <w:rPr>
          <w:lang w:val="cs-CZ"/>
        </w:rPr>
        <w:t>Výběr strategického partnera formou manažérské smlouvy</w:t>
      </w:r>
    </w:p>
    <w:p w14:paraId="166A1106" w14:textId="64A38F52" w:rsidR="00B57046" w:rsidRPr="004A11A0" w:rsidRDefault="00900B15" w:rsidP="004A11A0">
      <w:pPr>
        <w:pStyle w:val="Zkladntext"/>
        <w:numPr>
          <w:ilvl w:val="2"/>
          <w:numId w:val="31"/>
        </w:numPr>
        <w:spacing w:after="60"/>
        <w:ind w:hanging="181"/>
        <w:rPr>
          <w:lang w:val="cs-CZ"/>
        </w:rPr>
      </w:pPr>
      <w:r w:rsidRPr="004A11A0">
        <w:rPr>
          <w:lang w:val="cs-CZ"/>
        </w:rPr>
        <w:t>Výběr strategického partnera formou koncesní smlouvy</w:t>
      </w:r>
    </w:p>
    <w:p w14:paraId="7E1BC3CE" w14:textId="77777777" w:rsidR="00B57046" w:rsidRPr="004A11A0" w:rsidRDefault="00900B15" w:rsidP="004A11A0">
      <w:pPr>
        <w:pStyle w:val="Zkladntext"/>
        <w:numPr>
          <w:ilvl w:val="2"/>
          <w:numId w:val="31"/>
        </w:numPr>
        <w:spacing w:after="60"/>
        <w:ind w:hanging="181"/>
        <w:rPr>
          <w:lang w:val="cs-CZ"/>
        </w:rPr>
      </w:pPr>
      <w:r w:rsidRPr="004A11A0">
        <w:rPr>
          <w:lang w:val="cs-CZ"/>
        </w:rPr>
        <w:t>Odprodej Karlovarské krajské nemocnice, a.s.</w:t>
      </w:r>
    </w:p>
    <w:p w14:paraId="0A33B19F" w14:textId="77777777" w:rsidR="00B57046" w:rsidRPr="004A11A0" w:rsidRDefault="00900B15" w:rsidP="004A11A0">
      <w:pPr>
        <w:pStyle w:val="Zkladntext"/>
        <w:numPr>
          <w:ilvl w:val="1"/>
          <w:numId w:val="31"/>
        </w:numPr>
        <w:spacing w:after="120"/>
        <w:rPr>
          <w:lang w:val="cs-CZ"/>
        </w:rPr>
      </w:pPr>
      <w:r w:rsidRPr="004A11A0">
        <w:rPr>
          <w:lang w:val="cs-CZ"/>
        </w:rPr>
        <w:t>Vyhodnocení jednotlivých modelů z pohledu výhodnosti pro kraj a dlouhodobý rozvoj nemocnice na základě vybraného souboru ukazatelů:</w:t>
      </w:r>
    </w:p>
    <w:p w14:paraId="7C31D6EE" w14:textId="77777777" w:rsidR="00B57046" w:rsidRPr="004A11A0" w:rsidRDefault="00900B15" w:rsidP="004A11A0">
      <w:pPr>
        <w:pStyle w:val="Zkladntext"/>
        <w:numPr>
          <w:ilvl w:val="2"/>
          <w:numId w:val="31"/>
        </w:numPr>
        <w:spacing w:after="60"/>
        <w:ind w:hanging="181"/>
        <w:rPr>
          <w:lang w:val="cs-CZ"/>
        </w:rPr>
      </w:pPr>
      <w:r w:rsidRPr="004A11A0">
        <w:rPr>
          <w:lang w:val="cs-CZ"/>
        </w:rPr>
        <w:t>Optimalizace provozu (optimalizační potenciál v oblasti nákupu, materiálu, zásob…</w:t>
      </w:r>
      <w:r w:rsidRPr="00253371">
        <w:rPr>
          <w:lang w:val="cs-CZ"/>
        </w:rPr>
        <w:t xml:space="preserve">; </w:t>
      </w:r>
      <w:r w:rsidRPr="004A11A0">
        <w:rPr>
          <w:lang w:val="cs-CZ"/>
        </w:rPr>
        <w:t>možný rozsah a náročnost realizace identifikovaných úsporných opatření</w:t>
      </w:r>
      <w:r w:rsidRPr="00253371">
        <w:rPr>
          <w:lang w:val="cs-CZ"/>
        </w:rPr>
        <w:t>;</w:t>
      </w:r>
      <w:r w:rsidRPr="004A11A0">
        <w:rPr>
          <w:lang w:val="cs-CZ"/>
        </w:rPr>
        <w:t xml:space="preserve"> vliv rizika nutnosti provozních dotací</w:t>
      </w:r>
      <w:r w:rsidRPr="00253371">
        <w:rPr>
          <w:lang w:val="cs-CZ"/>
        </w:rPr>
        <w:t>;</w:t>
      </w:r>
      <w:r w:rsidRPr="004A11A0">
        <w:rPr>
          <w:lang w:val="cs-CZ"/>
        </w:rPr>
        <w:t xml:space="preserve"> vliv na čerpání dotací…)</w:t>
      </w:r>
    </w:p>
    <w:p w14:paraId="1F0F752E" w14:textId="77777777" w:rsidR="00B57046" w:rsidRPr="004A11A0" w:rsidRDefault="00900B15" w:rsidP="004A11A0">
      <w:pPr>
        <w:pStyle w:val="Zkladntext"/>
        <w:numPr>
          <w:ilvl w:val="2"/>
          <w:numId w:val="31"/>
        </w:numPr>
        <w:spacing w:after="60"/>
        <w:ind w:hanging="181"/>
        <w:rPr>
          <w:lang w:val="cs-CZ"/>
        </w:rPr>
      </w:pPr>
      <w:r w:rsidRPr="004A11A0">
        <w:rPr>
          <w:lang w:val="cs-CZ"/>
        </w:rPr>
        <w:t>Strategie a rozvoj (možný rozsah a náročnost realizace nových výnosových příležitostí</w:t>
      </w:r>
      <w:r w:rsidRPr="00253371">
        <w:rPr>
          <w:lang w:val="cs-CZ"/>
        </w:rPr>
        <w:t>;</w:t>
      </w:r>
      <w:r w:rsidRPr="004A11A0">
        <w:rPr>
          <w:lang w:val="cs-CZ"/>
        </w:rPr>
        <w:t xml:space="preserve"> schopnost čelit hrozbám</w:t>
      </w:r>
      <w:r w:rsidRPr="00253371">
        <w:rPr>
          <w:lang w:val="cs-CZ"/>
        </w:rPr>
        <w:t xml:space="preserve">; </w:t>
      </w:r>
      <w:r w:rsidRPr="004A11A0">
        <w:rPr>
          <w:lang w:val="cs-CZ"/>
        </w:rPr>
        <w:t>spoluúčast na financování rozvoje a investicích…)</w:t>
      </w:r>
    </w:p>
    <w:p w14:paraId="2F0F1DFC" w14:textId="77777777" w:rsidR="00B57046" w:rsidRPr="004A11A0" w:rsidRDefault="00900B15" w:rsidP="004A11A0">
      <w:pPr>
        <w:pStyle w:val="Zkladntext"/>
        <w:numPr>
          <w:ilvl w:val="2"/>
          <w:numId w:val="31"/>
        </w:numPr>
        <w:spacing w:after="60"/>
        <w:ind w:hanging="181"/>
        <w:rPr>
          <w:lang w:val="cs-CZ"/>
        </w:rPr>
      </w:pPr>
      <w:r w:rsidRPr="004A11A0">
        <w:rPr>
          <w:lang w:val="cs-CZ"/>
        </w:rPr>
        <w:t>Jiné (kvalita péče o pacienta</w:t>
      </w:r>
      <w:r w:rsidRPr="00253371">
        <w:rPr>
          <w:lang w:val="cs-CZ"/>
        </w:rPr>
        <w:t>;</w:t>
      </w:r>
      <w:r w:rsidRPr="004A11A0">
        <w:rPr>
          <w:lang w:val="cs-CZ"/>
        </w:rPr>
        <w:t xml:space="preserve"> možnost ovlivňovat strategické záměry</w:t>
      </w:r>
      <w:r w:rsidRPr="00253371">
        <w:rPr>
          <w:lang w:val="cs-CZ"/>
        </w:rPr>
        <w:t>;</w:t>
      </w:r>
      <w:r w:rsidRPr="004A11A0">
        <w:rPr>
          <w:lang w:val="cs-CZ"/>
        </w:rPr>
        <w:t xml:space="preserve"> časová náročnost realizace modelu</w:t>
      </w:r>
      <w:r w:rsidRPr="00253371">
        <w:rPr>
          <w:lang w:val="cs-CZ"/>
        </w:rPr>
        <w:t>;</w:t>
      </w:r>
      <w:r w:rsidRPr="004A11A0">
        <w:rPr>
          <w:lang w:val="cs-CZ"/>
        </w:rPr>
        <w:t xml:space="preserve"> vratnost modelu případně jeho revokace</w:t>
      </w:r>
      <w:r w:rsidRPr="00253371">
        <w:rPr>
          <w:lang w:val="cs-CZ"/>
        </w:rPr>
        <w:t xml:space="preserve">; </w:t>
      </w:r>
      <w:r w:rsidRPr="004A11A0">
        <w:rPr>
          <w:lang w:val="cs-CZ"/>
        </w:rPr>
        <w:t>soulad s dlouhodobou strategií kraje…)</w:t>
      </w:r>
    </w:p>
    <w:p w14:paraId="28D76A5E" w14:textId="3D5F9DD8" w:rsidR="00B7025F" w:rsidRDefault="00900B15" w:rsidP="002E0D3C">
      <w:pPr>
        <w:pStyle w:val="Zkladntext"/>
        <w:spacing w:after="120"/>
        <w:rPr>
          <w:lang w:val="cs-CZ"/>
        </w:rPr>
      </w:pPr>
      <w:r w:rsidRPr="002E0D3C">
        <w:rPr>
          <w:b/>
          <w:bCs/>
          <w:lang w:val="cs-CZ"/>
        </w:rPr>
        <w:t>Náš přístup:</w:t>
      </w:r>
      <w:r w:rsidRPr="004A11A0">
        <w:rPr>
          <w:bCs/>
          <w:lang w:val="cs-CZ"/>
        </w:rPr>
        <w:t xml:space="preserve"> </w:t>
      </w:r>
      <w:r w:rsidRPr="004A11A0">
        <w:rPr>
          <w:lang w:val="cs-CZ"/>
        </w:rPr>
        <w:t>Návrh jednotlivých kritérií včetně jejich vah, validace v průběhu workshopu s managementem společnosti a představiteli kraje</w:t>
      </w:r>
    </w:p>
    <w:p w14:paraId="18373C84" w14:textId="6C95CCE2" w:rsidR="002E0D3C" w:rsidRPr="002E0D3C" w:rsidRDefault="002E0D3C" w:rsidP="002E0D3C">
      <w:pPr>
        <w:pStyle w:val="Zkladntext"/>
        <w:spacing w:after="120"/>
        <w:rPr>
          <w:lang w:val="cs-CZ"/>
        </w:rPr>
      </w:pPr>
      <w:r w:rsidRPr="002E0D3C">
        <w:rPr>
          <w:b/>
          <w:lang w:val="cs-CZ"/>
        </w:rPr>
        <w:t>Výstup:</w:t>
      </w:r>
      <w:r>
        <w:rPr>
          <w:b/>
          <w:lang w:val="cs-CZ"/>
        </w:rPr>
        <w:t xml:space="preserve"> </w:t>
      </w:r>
      <w:r w:rsidRPr="002E0D3C">
        <w:rPr>
          <w:lang w:val="cs-CZ"/>
        </w:rPr>
        <w:t>Přehledné vyhodnocení identifikovaných obchodně-provozních modelů a doporučení Radě Karlovarského kraje.</w:t>
      </w:r>
    </w:p>
    <w:p w14:paraId="369EC20C" w14:textId="77777777" w:rsidR="002E0D3C" w:rsidRPr="002E0D3C" w:rsidRDefault="002E0D3C" w:rsidP="002E0D3C">
      <w:pPr>
        <w:pStyle w:val="Zkladntext"/>
        <w:spacing w:after="120"/>
        <w:ind w:left="1440"/>
        <w:rPr>
          <w:lang w:val="cs-CZ"/>
        </w:rPr>
      </w:pPr>
    </w:p>
    <w:p w14:paraId="1FE8D5FA" w14:textId="3B33A59A" w:rsidR="00B7025F" w:rsidRPr="00253371" w:rsidRDefault="00B7025F" w:rsidP="000A5FAE">
      <w:pPr>
        <w:pStyle w:val="Zkladntext"/>
        <w:rPr>
          <w:lang w:val="cs-CZ"/>
        </w:rPr>
      </w:pPr>
      <w:r w:rsidRPr="00253371">
        <w:rPr>
          <w:lang w:val="cs-CZ"/>
        </w:rPr>
        <w:t>Po úspěšném poskytnutí Služeb společnost Deloitte poskytne Klientovi</w:t>
      </w:r>
      <w:r w:rsidR="002E0D3C" w:rsidRPr="00253371">
        <w:rPr>
          <w:lang w:val="cs-CZ"/>
        </w:rPr>
        <w:t xml:space="preserve"> ucelenou závěrečnou zprávu (dale jen “Výstup”), která bude zahrnovat </w:t>
      </w:r>
      <w:r w:rsidR="00C4550A" w:rsidRPr="00253371">
        <w:rPr>
          <w:lang w:val="cs-CZ"/>
        </w:rPr>
        <w:t>výstupy ze všech tří výše uvedených částí</w:t>
      </w:r>
      <w:r w:rsidR="002E0D3C" w:rsidRPr="00253371">
        <w:rPr>
          <w:lang w:val="cs-CZ"/>
        </w:rPr>
        <w:t>.</w:t>
      </w:r>
    </w:p>
    <w:p w14:paraId="509D063E" w14:textId="77777777" w:rsidR="00B7025F" w:rsidRPr="00253371" w:rsidRDefault="00B7025F" w:rsidP="000A5FAE">
      <w:pPr>
        <w:pStyle w:val="Zkladntext"/>
        <w:rPr>
          <w:i/>
          <w:highlight w:val="lightGray"/>
          <w:lang w:val="cs-CZ"/>
        </w:rPr>
      </w:pPr>
      <w:r w:rsidRPr="00253371">
        <w:rPr>
          <w:lang w:val="cs-CZ"/>
        </w:rPr>
        <w:t>Výstupy společnosti Deloitte budou odevzdány vedoucímu projektu ve třech (3) písemných vyhotovených a v jedné (1) elektronické verzi s využitím nástrojů aplikací MS Office.</w:t>
      </w:r>
      <w:r w:rsidRPr="00253371">
        <w:rPr>
          <w:i/>
          <w:highlight w:val="lightGray"/>
          <w:lang w:val="cs-CZ"/>
        </w:rPr>
        <w:t xml:space="preserve"> </w:t>
      </w:r>
    </w:p>
    <w:p w14:paraId="44ACD252" w14:textId="284A7B43" w:rsidR="00B7025F" w:rsidRPr="000A5FAE" w:rsidRDefault="00B7025F" w:rsidP="00F45C79">
      <w:pPr>
        <w:pStyle w:val="Zkladntext"/>
        <w:jc w:val="center"/>
        <w:rPr>
          <w:b/>
        </w:rPr>
      </w:pPr>
      <w:r w:rsidRPr="000A5FAE">
        <w:rPr>
          <w:b/>
        </w:rPr>
        <w:t>Příloha č. 2</w:t>
      </w:r>
      <w:r w:rsidR="000A5FAE" w:rsidRPr="000A5FAE">
        <w:rPr>
          <w:b/>
        </w:rPr>
        <w:br/>
      </w:r>
      <w:r w:rsidRPr="000A5FAE">
        <w:rPr>
          <w:b/>
        </w:rPr>
        <w:t>Cena za Služby a platební podmínky</w:t>
      </w:r>
    </w:p>
    <w:p w14:paraId="3CF7B76B" w14:textId="63A20C8A" w:rsidR="00B7025F" w:rsidRPr="00955DE6" w:rsidRDefault="00B7025F" w:rsidP="00E50FBB">
      <w:pPr>
        <w:pStyle w:val="Zkladntext"/>
        <w:rPr>
          <w:i/>
          <w:szCs w:val="22"/>
        </w:rPr>
      </w:pPr>
      <w:r w:rsidRPr="006F317C">
        <w:t xml:space="preserve">Cena za Služby je dohodnuta jako pevná částka ve výši </w:t>
      </w:r>
      <w:r w:rsidR="001E2C8D">
        <w:t>250 000 Kč</w:t>
      </w:r>
      <w:r>
        <w:t xml:space="preserve"> bez DPH. </w:t>
      </w:r>
      <w:r w:rsidRPr="006F317C">
        <w:t>Nastanou-li nepředvídatelné okolnosti</w:t>
      </w:r>
      <w:r>
        <w:t>, jejichž důsledkem bude nutné</w:t>
      </w:r>
      <w:r w:rsidRPr="006F317C">
        <w:t xml:space="preserve"> Cenu za Služby navýšit, smluvní strany tímto prohlašují a potvrzují, že budou o takovém navýšení v dobré víře jednat.</w:t>
      </w:r>
    </w:p>
    <w:p w14:paraId="27B22FB0" w14:textId="14C54BD5" w:rsidR="00B7025F" w:rsidRPr="0017755B" w:rsidRDefault="00B7025F" w:rsidP="00E50FBB">
      <w:pPr>
        <w:pStyle w:val="Zkladntext"/>
      </w:pPr>
      <w:r>
        <w:t xml:space="preserve">Cena za </w:t>
      </w:r>
      <w:r w:rsidRPr="000F43FF">
        <w:t xml:space="preserve">Služby </w:t>
      </w:r>
      <w:r w:rsidRPr="00F8530A">
        <w:t>nezahrnuje</w:t>
      </w:r>
      <w:r w:rsidRPr="000F43FF">
        <w:t xml:space="preserve"> ná</w:t>
      </w:r>
      <w:r>
        <w:t>klady spojené s poskytováním Služeb ve smyslu ujednání čl. 3 písm. c) Obchodních podmínek</w:t>
      </w:r>
      <w:r w:rsidR="001E2C8D">
        <w:t xml:space="preserve">. </w:t>
      </w:r>
      <w:r w:rsidRPr="0017755B">
        <w:t>Výše nákladů účtovaných</w:t>
      </w:r>
      <w:r w:rsidR="001E2C8D">
        <w:t xml:space="preserve"> ze strany Deloitte nepřesáhne 10 </w:t>
      </w:r>
      <w:r w:rsidRPr="0017755B">
        <w:t>% Ceny za Služby.</w:t>
      </w:r>
    </w:p>
    <w:p w14:paraId="28D2DDC5" w14:textId="77777777" w:rsidR="00B7025F" w:rsidRPr="00E50FBB" w:rsidRDefault="00B7025F" w:rsidP="00E50FBB">
      <w:pPr>
        <w:pStyle w:val="Zkladntext"/>
        <w:rPr>
          <w:b/>
        </w:rPr>
      </w:pPr>
      <w:r w:rsidRPr="00E50FBB">
        <w:rPr>
          <w:b/>
        </w:rPr>
        <w:t xml:space="preserve">Platební kalendář </w:t>
      </w:r>
    </w:p>
    <w:p w14:paraId="0C675164" w14:textId="107D2005" w:rsidR="00B7025F" w:rsidRPr="00955DE6" w:rsidRDefault="00B7025F" w:rsidP="00E50FBB">
      <w:pPr>
        <w:pStyle w:val="Zkladntext"/>
        <w:rPr>
          <w:szCs w:val="22"/>
        </w:rPr>
      </w:pPr>
      <w:r w:rsidRPr="00955DE6">
        <w:rPr>
          <w:szCs w:val="22"/>
        </w:rPr>
        <w:t xml:space="preserve">Faktura bude vystavena po dokončení prací a po odevzdání Výstupů Deloitte. </w:t>
      </w:r>
      <w:r w:rsidRPr="0017755B">
        <w:rPr>
          <w:szCs w:val="22"/>
        </w:rPr>
        <w:t>Současně budou vyúčtovány výdaje za dobu trvání projektu (dle ujednání čl. 3 písm. c) Obchodních podmínek).</w:t>
      </w:r>
    </w:p>
    <w:p w14:paraId="7FA36C18" w14:textId="77777777" w:rsidR="002F2418" w:rsidRDefault="002F2418" w:rsidP="00B7025F">
      <w:pPr>
        <w:rPr>
          <w:lang w:val="cs-CZ"/>
        </w:rPr>
        <w:sectPr w:rsidR="002F2418" w:rsidSect="00F41AD7">
          <w:headerReference w:type="default" r:id="rId9"/>
          <w:pgSz w:w="11906" w:h="16838" w:code="9"/>
          <w:pgMar w:top="1417" w:right="1417" w:bottom="1417" w:left="1417" w:header="680" w:footer="567" w:gutter="0"/>
          <w:cols w:space="284"/>
          <w:docGrid w:linePitch="360"/>
        </w:sectPr>
      </w:pPr>
    </w:p>
    <w:p w14:paraId="2DFE6B8D" w14:textId="455977B9" w:rsidR="00B7025F" w:rsidRPr="00E50FBB" w:rsidRDefault="00B7025F" w:rsidP="00F45C79">
      <w:pPr>
        <w:pStyle w:val="Zkladntext"/>
        <w:jc w:val="center"/>
        <w:rPr>
          <w:b/>
          <w:lang w:val="cs-CZ"/>
        </w:rPr>
      </w:pPr>
      <w:r w:rsidRPr="00E50FBB">
        <w:rPr>
          <w:b/>
          <w:lang w:val="cs-CZ"/>
        </w:rPr>
        <w:t>Příloha č. 3</w:t>
      </w:r>
      <w:r w:rsidR="00E50FBB" w:rsidRPr="00E50FBB">
        <w:rPr>
          <w:b/>
          <w:lang w:val="cs-CZ"/>
        </w:rPr>
        <w:br/>
      </w:r>
      <w:r w:rsidRPr="00E50FBB">
        <w:rPr>
          <w:b/>
          <w:lang w:val="cs-CZ"/>
        </w:rPr>
        <w:t>Obchodní podmínky Deloitte CE</w:t>
      </w:r>
    </w:p>
    <w:p w14:paraId="1470C037" w14:textId="77777777" w:rsidR="00B7025F" w:rsidRPr="00E50FBB" w:rsidRDefault="00B7025F" w:rsidP="00B7025F">
      <w:pPr>
        <w:ind w:right="70"/>
        <w:jc w:val="center"/>
        <w:rPr>
          <w:rFonts w:ascii="Times New Roman" w:hAnsi="Times New Roman"/>
          <w:b/>
          <w:sz w:val="22"/>
          <w:lang w:val="cs-CZ"/>
        </w:rPr>
      </w:pPr>
    </w:p>
    <w:p w14:paraId="7CED984C" w14:textId="77777777" w:rsidR="000F0DFC" w:rsidRPr="00C56476" w:rsidRDefault="000F0DFC" w:rsidP="00E50FBB">
      <w:pPr>
        <w:keepNext/>
        <w:numPr>
          <w:ilvl w:val="0"/>
          <w:numId w:val="12"/>
        </w:numPr>
        <w:spacing w:after="120" w:line="120" w:lineRule="atLeast"/>
        <w:ind w:left="0" w:right="70" w:hanging="357"/>
        <w:jc w:val="both"/>
        <w:outlineLvl w:val="0"/>
        <w:rPr>
          <w:rFonts w:asciiTheme="minorHAnsi" w:hAnsiTheme="minorHAnsi" w:cstheme="minorHAnsi"/>
          <w:b/>
          <w:kern w:val="28"/>
          <w:sz w:val="16"/>
          <w:szCs w:val="16"/>
          <w:lang w:val="cs-CZ"/>
        </w:rPr>
        <w:sectPr w:rsidR="000F0DFC" w:rsidRPr="00C56476" w:rsidSect="00F41AD7">
          <w:headerReference w:type="default" r:id="rId10"/>
          <w:pgSz w:w="11906" w:h="16838" w:code="9"/>
          <w:pgMar w:top="1417" w:right="1417" w:bottom="1417" w:left="1417" w:header="680" w:footer="567" w:gutter="0"/>
          <w:cols w:space="284"/>
          <w:docGrid w:linePitch="360"/>
        </w:sectPr>
      </w:pPr>
    </w:p>
    <w:p w14:paraId="448AB61A" w14:textId="1FE70668" w:rsidR="00B7025F" w:rsidRPr="00E50FBB" w:rsidRDefault="00B7025F" w:rsidP="008832E9">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Smlouva a smluvní strany </w:t>
      </w:r>
    </w:p>
    <w:p w14:paraId="1878DF29" w14:textId="77777777" w:rsidR="00B7025F" w:rsidRPr="00E50FBB" w:rsidRDefault="00B7025F" w:rsidP="008832E9">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Ujednání Smlouvy a/nebo Smluvního dopisu a/nebo Objednávky prací</w:t>
      </w:r>
      <w:r w:rsidRPr="00E50FBB">
        <w:rPr>
          <w:b/>
        </w:rPr>
        <w:t xml:space="preserve"> </w:t>
      </w:r>
      <w:r w:rsidRPr="00E50FBB">
        <w:rPr>
          <w:rFonts w:asciiTheme="minorHAnsi" w:hAnsiTheme="minorHAnsi" w:cstheme="minorHAnsi"/>
          <w:sz w:val="16"/>
          <w:szCs w:val="16"/>
        </w:rPr>
        <w:t>a jakýchkoli jiných příloh, než jsou tyto Obchodní podmínky („Smluvní dopis“), vydaných Deloitte Advisory s.r.o., IČO: 27582167, se sídlem: Praha 8, Karolinská 654/2, PSČ: 18600, Česká republika, zapsanou v obchodním rejstříku vedeném Městským soudem v Praze, spis. zn.: C 113225</w:t>
      </w:r>
      <w:r w:rsidRPr="00E50FBB">
        <w:t xml:space="preserve"> </w:t>
      </w:r>
      <w:r w:rsidRPr="00E50FBB">
        <w:rPr>
          <w:rFonts w:asciiTheme="minorHAnsi" w:hAnsiTheme="minorHAnsi" w:cstheme="minorHAnsi"/>
          <w:sz w:val="16"/>
          <w:szCs w:val="16"/>
        </w:rPr>
        <w:t xml:space="preserve">(„Deloitte“) a adresovaných subjektu identifikovanému ve Smluvním dopise („Klient“) a tyto Obchodní podmínky (společně „Smlouva“) tvoří úplnou dohodu mezi Klientem a Deloitte ve vztahu ke službám, dodávkám a výsledkům práce, které jsou popsány v příslušném Smluvním dopise a které mají být poskytnuty společností Deloitte (včetně Výstupů definovaných níže), a ve vztahu k odpovědnostem společnosti Deloitte za ně („Služby“). Použitelnost těchto Obchodních podmínek může být vyloučena nebo omezena pouze zákonem, nařízeními nebo výslovnou písemnou dohodou mezi Deloitte a Klientem. Termíny s velkými písmeny, které nejsou definovány v Obchodních podmínkách, mají význam vymezený ve Smluvním dopise. Pokud dojde k rozporu mezi zněním těchto Obchodních podmínek a Smluvním dopisem, má přednost znění Smluvního dopisu. </w:t>
      </w:r>
    </w:p>
    <w:p w14:paraId="7015E7F5" w14:textId="5C7DF789" w:rsidR="00B7025F" w:rsidRPr="00E50FBB" w:rsidRDefault="00B7025F" w:rsidP="008832E9">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Pro účely této Smlouvy znamená termín „Klient“ subjekt, který podepsal Smluvní dopis, a/nebo člena(y) skupiny Klienta, kteří jsou smluvní stranou nebo jsou identifikováni v příslušném Smluvním dopise. Klient prohlašuje a zaručuje, že má pravomoc a pověření (a) podepsat Smlouvu a (b) zavázat </w:t>
      </w:r>
      <w:proofErr w:type="gramStart"/>
      <w:r w:rsidRPr="00E50FBB">
        <w:rPr>
          <w:rFonts w:asciiTheme="minorHAnsi" w:hAnsiTheme="minorHAnsi" w:cstheme="minorHAnsi"/>
          <w:sz w:val="16"/>
          <w:szCs w:val="16"/>
        </w:rPr>
        <w:t>sebe</w:t>
      </w:r>
      <w:proofErr w:type="gramEnd"/>
      <w:r w:rsidRPr="00E50FBB">
        <w:rPr>
          <w:rFonts w:asciiTheme="minorHAnsi" w:hAnsiTheme="minorHAnsi" w:cstheme="minorHAnsi"/>
          <w:sz w:val="16"/>
          <w:szCs w:val="16"/>
        </w:rPr>
        <w:t xml:space="preserve"> a členy skupiny Klienta identifikované ve Smluvním dopise. Pro účely této Smlouvy znamená termín „Oprávněná osoba</w:t>
      </w:r>
      <w:proofErr w:type="gramStart"/>
      <w:r w:rsidRPr="00E50FBB">
        <w:rPr>
          <w:rFonts w:asciiTheme="minorHAnsi" w:hAnsiTheme="minorHAnsi" w:cstheme="minorHAnsi"/>
          <w:sz w:val="16"/>
          <w:szCs w:val="16"/>
        </w:rPr>
        <w:t>“ takové</w:t>
      </w:r>
      <w:proofErr w:type="gramEnd"/>
      <w:r w:rsidRPr="00E50FBB">
        <w:rPr>
          <w:rFonts w:asciiTheme="minorHAnsi" w:hAnsiTheme="minorHAnsi" w:cstheme="minorHAnsi"/>
          <w:sz w:val="16"/>
          <w:szCs w:val="16"/>
        </w:rPr>
        <w:t xml:space="preserve"> osoby (pokud existují), (a) které Deloitte a Klient odsouhlasili ve Smluvním dopise a které mohou mít užitek z Výstupu (nebo z jeho částí) a mohou se na něj (nebo na jeho část) spoléhat a (b) přijaly podmínky této Smlouvy na základě písemných ujednání se společností Deloitte, jak je podrobně specifikováno v ustanovení</w:t>
      </w:r>
      <w:r w:rsidR="001840F7">
        <w:rPr>
          <w:rFonts w:asciiTheme="minorHAnsi" w:hAnsiTheme="minorHAnsi" w:cstheme="minorHAnsi"/>
          <w:sz w:val="16"/>
          <w:szCs w:val="16"/>
        </w:rPr>
        <w:t xml:space="preserve"> 25</w:t>
      </w:r>
      <w:r w:rsidRPr="00E50FBB">
        <w:rPr>
          <w:rFonts w:asciiTheme="minorHAnsi" w:hAnsiTheme="minorHAnsi" w:cstheme="minorHAnsi"/>
          <w:sz w:val="16"/>
          <w:szCs w:val="16"/>
        </w:rPr>
        <w:t xml:space="preserve"> níže, ale žádná Oprávněná osoba nebude stranou této Smlouvy.</w:t>
      </w:r>
      <w:r w:rsidR="00F41AD7">
        <w:rPr>
          <w:rFonts w:asciiTheme="minorHAnsi" w:hAnsiTheme="minorHAnsi" w:cstheme="minorHAnsi"/>
          <w:sz w:val="16"/>
          <w:szCs w:val="16"/>
        </w:rPr>
        <w:t xml:space="preserve"> </w:t>
      </w:r>
      <w:r w:rsidRPr="00E50FBB">
        <w:rPr>
          <w:rFonts w:asciiTheme="minorHAnsi" w:hAnsiTheme="minorHAnsi" w:cstheme="minorHAnsi"/>
          <w:sz w:val="16"/>
          <w:szCs w:val="16"/>
        </w:rPr>
        <w:t xml:space="preserve">Termín </w:t>
      </w:r>
      <w:r w:rsidRPr="009C6EE0">
        <w:rPr>
          <w:rFonts w:asciiTheme="minorHAnsi" w:hAnsiTheme="minorHAnsi" w:cstheme="minorHAnsi"/>
          <w:sz w:val="16"/>
          <w:szCs w:val="16"/>
        </w:rPr>
        <w:t>„</w:t>
      </w:r>
      <w:proofErr w:type="gramStart"/>
      <w:r w:rsidRPr="009C6EE0">
        <w:rPr>
          <w:rFonts w:asciiTheme="minorHAnsi" w:hAnsiTheme="minorHAnsi" w:cstheme="minorHAnsi"/>
          <w:sz w:val="16"/>
          <w:szCs w:val="16"/>
        </w:rPr>
        <w:t xml:space="preserve">Příjemce </w:t>
      </w:r>
      <w:r w:rsidR="0000173F" w:rsidRPr="009C6EE0">
        <w:rPr>
          <w:rFonts w:asciiTheme="minorHAnsi" w:hAnsiTheme="minorHAnsi" w:cstheme="minorHAnsi"/>
          <w:sz w:val="16"/>
          <w:szCs w:val="16"/>
        </w:rPr>
        <w:t xml:space="preserve"> Výstupu</w:t>
      </w:r>
      <w:proofErr w:type="gramEnd"/>
      <w:r w:rsidRPr="009C6EE0">
        <w:rPr>
          <w:rFonts w:asciiTheme="minorHAnsi" w:hAnsiTheme="minorHAnsi" w:cstheme="minorHAnsi"/>
          <w:sz w:val="16"/>
          <w:szCs w:val="16"/>
        </w:rPr>
        <w:t>“ znamená</w:t>
      </w:r>
      <w:r w:rsidRPr="00E50FBB">
        <w:rPr>
          <w:rFonts w:asciiTheme="minorHAnsi" w:hAnsiTheme="minorHAnsi" w:cstheme="minorHAnsi"/>
          <w:sz w:val="16"/>
          <w:szCs w:val="16"/>
        </w:rPr>
        <w:t xml:space="preserve"> </w:t>
      </w:r>
      <w:r w:rsidR="009C6EE0">
        <w:rPr>
          <w:rFonts w:asciiTheme="minorHAnsi" w:hAnsiTheme="minorHAnsi" w:cstheme="minorHAnsi"/>
          <w:sz w:val="16"/>
          <w:szCs w:val="16"/>
        </w:rPr>
        <w:t xml:space="preserve">takové </w:t>
      </w:r>
      <w:r w:rsidRPr="00E50FBB">
        <w:rPr>
          <w:rFonts w:asciiTheme="minorHAnsi" w:hAnsiTheme="minorHAnsi" w:cstheme="minorHAnsi"/>
          <w:sz w:val="16"/>
          <w:szCs w:val="16"/>
        </w:rPr>
        <w:t xml:space="preserve">osoby, včetně mj. Klienta, skupinu Klienta </w:t>
      </w:r>
      <w:proofErr w:type="gramStart"/>
      <w:r w:rsidRPr="00E50FBB">
        <w:rPr>
          <w:rFonts w:asciiTheme="minorHAnsi" w:hAnsiTheme="minorHAnsi" w:cstheme="minorHAnsi"/>
          <w:sz w:val="16"/>
          <w:szCs w:val="16"/>
        </w:rPr>
        <w:t>a</w:t>
      </w:r>
      <w:proofErr w:type="gramEnd"/>
      <w:r w:rsidRPr="00E50FBB">
        <w:rPr>
          <w:rFonts w:asciiTheme="minorHAnsi" w:hAnsiTheme="minorHAnsi" w:cstheme="minorHAnsi"/>
          <w:sz w:val="16"/>
          <w:szCs w:val="16"/>
        </w:rPr>
        <w:t xml:space="preserve"> Oprávněné osoby, (i) u nichž Deloitte a Klient odsouhlasili, že mohou mít přístup k Výstupu (nebo jeho části) a (b) přijaly ty podmínky Smlouvy, které Deloitte v jednotlivých případech požaduje. Příjemce</w:t>
      </w:r>
      <w:r w:rsidR="0000173F">
        <w:rPr>
          <w:rFonts w:asciiTheme="minorHAnsi" w:hAnsiTheme="minorHAnsi" w:cstheme="minorHAnsi"/>
          <w:sz w:val="16"/>
          <w:szCs w:val="16"/>
        </w:rPr>
        <w:t xml:space="preserve"> Výstupu</w:t>
      </w:r>
      <w:r w:rsidRPr="00E50FBB">
        <w:rPr>
          <w:rFonts w:asciiTheme="minorHAnsi" w:hAnsiTheme="minorHAnsi" w:cstheme="minorHAnsi"/>
          <w:sz w:val="16"/>
          <w:szCs w:val="16"/>
        </w:rPr>
        <w:t>, který není Klientem a/nebo součástí skupiny Klienta, není stranou Smlouvy.</w:t>
      </w:r>
      <w:r w:rsidR="00F41AD7">
        <w:rPr>
          <w:rFonts w:asciiTheme="minorHAnsi" w:hAnsiTheme="minorHAnsi" w:cstheme="minorHAnsi"/>
          <w:sz w:val="16"/>
          <w:szCs w:val="16"/>
        </w:rPr>
        <w:t xml:space="preserve"> </w:t>
      </w:r>
    </w:p>
    <w:p w14:paraId="13708776" w14:textId="77777777" w:rsidR="00B7025F" w:rsidRPr="00E50FBB" w:rsidRDefault="00B7025F" w:rsidP="008832E9">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Společnost Deloitte může zadat zajištění jakýchkoli Služeb dle této Smlouvy jakékoliv jiné Společnosti skupiny Deloitte a/nebo jiné třetí straně jako subdodavateli</w:t>
      </w:r>
      <w:r w:rsidRPr="00E50FBB">
        <w:rPr>
          <w:i/>
        </w:rPr>
        <w:t xml:space="preserve"> </w:t>
      </w:r>
      <w:r w:rsidRPr="00E50FBB">
        <w:rPr>
          <w:rFonts w:asciiTheme="minorHAnsi" w:hAnsiTheme="minorHAnsi" w:cstheme="minorHAnsi"/>
          <w:sz w:val="16"/>
          <w:szCs w:val="16"/>
        </w:rPr>
        <w:t xml:space="preserve">(společně „Subdodavatel“). Vztah Klienta je pouze se společností Deloitte jako se subjektem, který se smluvně zavázal k poskytování Služeb. Každá smluvní strana je nezávislou smluvní stranou a žádná z nich není zprostředkovatelem, distributorem, zaměstnavatelem, partnerem, zmocněncem, společníkem ve společném podniku, spoluvlastníkem nebo zástupcem druhé smluvní strany ani za něj nebude považována. </w:t>
      </w:r>
    </w:p>
    <w:p w14:paraId="5F096B3E" w14:textId="77777777" w:rsidR="00B7025F" w:rsidRPr="00E50FBB" w:rsidRDefault="00B7025F" w:rsidP="008832E9">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Společnost Deloitte zůstává odpovědná vůči Klientovi za všechny Služby, které jsou nebo budou poskytovány podle této Smlouvy, včetně Služeb poskytovaných ze strany jejích Subdodavatelů. Tudíž v maximálním přípustném rozsahu dle platného práva nemá</w:t>
      </w:r>
      <w:r w:rsidRPr="00E50FBB" w:rsidDel="00E80251">
        <w:rPr>
          <w:rFonts w:asciiTheme="minorHAnsi" w:hAnsiTheme="minorHAnsi" w:cstheme="minorHAnsi"/>
          <w:sz w:val="16"/>
          <w:szCs w:val="16"/>
        </w:rPr>
        <w:t xml:space="preserve"> </w:t>
      </w:r>
      <w:r w:rsidRPr="00E50FBB">
        <w:rPr>
          <w:rFonts w:asciiTheme="minorHAnsi" w:hAnsiTheme="minorHAnsi" w:cstheme="minorHAnsi"/>
          <w:sz w:val="16"/>
          <w:szCs w:val="16"/>
        </w:rPr>
        <w:t xml:space="preserve">(a) žádná ze Společností skupiny Deloitte (kromě Deloitte) odpovědnost vůči skupině Klienta, (b) Klient nevznese žádný nárok ani nezahájí žádné řízení jakékoli povahy (ať jde o smlouvu, občanskoprávní delikt, porušení zákonné povinnosti nebo jinou záležitost, a to včetně mj. žaloby pro nedbalost) žádným způsobem s ohledem na Smlouvu nebo v souvislosti s ní proti jakékoli Společnosti skupiny Deloitte (kromě Deloitte) a (c) Klient zároveň zajistí, že žádný člen skupiny Klienta, který není stranou Smlouvy, nevznese nárok ani nezahájí řízení jakékoli povahy (ať jde o smlouvu, občanskoprávní delikt, porušení zákonné povinnosti nebo jinou záležitost, a to včetně mj. žaloby pro nedbalost) jakýmkoli způsobem s ohledem na Smlouvu nebo v souvislosti s ní proti žádné Společnosti skupiny Deloitte. Žádný jednotlivý partner ani zaměstnanec nepřevezme odpovědnost (včetně odpovědnosti sám za </w:t>
      </w:r>
      <w:proofErr w:type="gramStart"/>
      <w:r w:rsidRPr="00E50FBB">
        <w:rPr>
          <w:rFonts w:asciiTheme="minorHAnsi" w:hAnsiTheme="minorHAnsi" w:cstheme="minorHAnsi"/>
          <w:sz w:val="16"/>
          <w:szCs w:val="16"/>
        </w:rPr>
        <w:t>sebe</w:t>
      </w:r>
      <w:proofErr w:type="gramEnd"/>
      <w:r w:rsidRPr="00E50FBB">
        <w:rPr>
          <w:rFonts w:asciiTheme="minorHAnsi" w:hAnsiTheme="minorHAnsi" w:cstheme="minorHAnsi"/>
          <w:sz w:val="16"/>
          <w:szCs w:val="16"/>
        </w:rPr>
        <w:t xml:space="preserve">) za Služby poskytované podle této Smlouvy. Klient souhlasí, že nevznese žádný nárok vůči jakémukoli jednotlivému partnerovi nebo zaměstnanci Deloitte, jelikož společnost Deloitte zůstává právně odpovědná vůči Klientovi za jednání nebo opomenutí ve vztahu ke Službám poskytovaným za podmínek této Smlouvy. </w:t>
      </w:r>
    </w:p>
    <w:p w14:paraId="07641E44" w14:textId="77777777" w:rsidR="00B7025F" w:rsidRPr="00E50FBB" w:rsidRDefault="00B7025F" w:rsidP="008832E9">
      <w:pPr>
        <w:numPr>
          <w:ilvl w:val="0"/>
          <w:numId w:val="11"/>
        </w:numPr>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Pod pojmem „Společnosti skupiny Deloitte</w:t>
      </w:r>
      <w:proofErr w:type="gramStart"/>
      <w:r w:rsidRPr="00E50FBB">
        <w:rPr>
          <w:rFonts w:asciiTheme="minorHAnsi" w:hAnsiTheme="minorHAnsi" w:cstheme="minorHAnsi"/>
          <w:sz w:val="16"/>
          <w:szCs w:val="16"/>
        </w:rPr>
        <w:t>“ se</w:t>
      </w:r>
      <w:proofErr w:type="gramEnd"/>
      <w:r w:rsidRPr="00E50FBB">
        <w:rPr>
          <w:rFonts w:asciiTheme="minorHAnsi" w:hAnsiTheme="minorHAnsi" w:cstheme="minorHAnsi"/>
          <w:sz w:val="16"/>
          <w:szCs w:val="16"/>
        </w:rPr>
        <w:t xml:space="preserve"> rozumí Deloitte Touche Tohmatsu Limited, společnost s ručením omezeným zárukou („private company limited by guarantee“) založené podle práva Spojeného království Velké Británie a Severního Irska („DTTL“), její členské firmy a jejich příslušné dceřiné a přidružené společnosti (včetně Deloitte), jejich předchůdci, nástupci a postupníci a všichni partneři, vedoucí, členové, vlastníci, ředitelé, zaměstnanci, subdodavatelé a zástupci těchto společností. Není-li v této Smlouvě uvedeno jinak, DTTL ani žádná z jejích členských firem navzájem nenesou odpovědnost za jednání či opomenutí ostatních členských firem. Každá členská firma DTTL je oddělenou a nezávislou právnickou osobou působící pod názvem „Deloitte, „Deloitte &amp; Touche“, „Deloitte Touche Tohmatsu“ či jiným obdobným názvem; služby jsou poskytovány členskými firmami a jejich dceřinými nebo přidruženými podniky a nikoli DTTL. „Deloitte Central Europe</w:t>
      </w:r>
      <w:proofErr w:type="gramStart"/>
      <w:r w:rsidRPr="00E50FBB">
        <w:rPr>
          <w:rFonts w:asciiTheme="minorHAnsi" w:hAnsiTheme="minorHAnsi" w:cstheme="minorHAnsi"/>
          <w:sz w:val="16"/>
          <w:szCs w:val="16"/>
        </w:rPr>
        <w:t>“ je</w:t>
      </w:r>
      <w:proofErr w:type="gramEnd"/>
      <w:r w:rsidRPr="00E50FBB">
        <w:rPr>
          <w:rFonts w:asciiTheme="minorHAnsi" w:hAnsiTheme="minorHAnsi" w:cstheme="minorHAnsi"/>
          <w:sz w:val="16"/>
          <w:szCs w:val="16"/>
        </w:rPr>
        <w:t xml:space="preserve"> regionálním sdružením subjektů zastřešených společností Deloitte Central Europe Holdings Limited, členskou firmou DTTL ve střední Evropě. Služby jsou poskytovány dceřinými a přidruženými podniky Deloitte Central Europe Holdings Limited, které jsou samostatnými a nezávislými právními subjekty. </w:t>
      </w:r>
    </w:p>
    <w:p w14:paraId="26E9CA08" w14:textId="77777777" w:rsidR="00B7025F" w:rsidRPr="00E50FBB" w:rsidRDefault="00B7025F" w:rsidP="008832E9">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Odpovědnosti Klienta a Deloitte </w:t>
      </w:r>
    </w:p>
    <w:p w14:paraId="71F858A4" w14:textId="77777777" w:rsidR="00B7025F" w:rsidRPr="00E50FBB" w:rsidRDefault="00B7025F" w:rsidP="008832E9">
      <w:pPr>
        <w:numPr>
          <w:ilvl w:val="0"/>
          <w:numId w:val="15"/>
        </w:numPr>
        <w:spacing w:after="120" w:line="120" w:lineRule="atLeast"/>
        <w:ind w:left="568" w:hanging="284"/>
        <w:jc w:val="both"/>
        <w:rPr>
          <w:b/>
          <w:sz w:val="16"/>
          <w:szCs w:val="16"/>
        </w:rPr>
      </w:pPr>
      <w:r w:rsidRPr="00E50FBB">
        <w:rPr>
          <w:b/>
          <w:sz w:val="16"/>
          <w:szCs w:val="16"/>
        </w:rPr>
        <w:t>Odpovědnosti Klienta</w:t>
      </w:r>
    </w:p>
    <w:p w14:paraId="5F6D6D35" w14:textId="77777777" w:rsidR="00B7025F" w:rsidRPr="00E50FBB" w:rsidRDefault="00B7025F" w:rsidP="008832E9">
      <w:pPr>
        <w:numPr>
          <w:ilvl w:val="0"/>
          <w:numId w:val="10"/>
        </w:numPr>
        <w:tabs>
          <w:tab w:val="left" w:pos="567"/>
        </w:tabs>
        <w:spacing w:after="120" w:line="120" w:lineRule="atLeast"/>
        <w:ind w:left="568" w:right="70" w:hanging="284"/>
        <w:jc w:val="both"/>
        <w:rPr>
          <w:rFonts w:asciiTheme="minorHAnsi" w:hAnsiTheme="minorHAnsi" w:cstheme="minorHAnsi"/>
          <w:sz w:val="16"/>
          <w:szCs w:val="16"/>
          <w:lang w:val="de-DE"/>
        </w:rPr>
      </w:pPr>
      <w:r w:rsidRPr="00E50FBB">
        <w:rPr>
          <w:rFonts w:asciiTheme="minorHAnsi" w:hAnsiTheme="minorHAnsi" w:cstheme="minorHAnsi"/>
          <w:sz w:val="16"/>
          <w:szCs w:val="16"/>
          <w:lang w:val="de-DE"/>
        </w:rPr>
        <w:t xml:space="preserve">Klient je odpovědný za stanovení rozsahu Služeb. Klient poskytne součinnost společnosti Deloitte a jejím Subdodavatelům v souvislosti s poskytováním Služeb, včetně mj. poskytnutí společnosti Deloitte a jejím Subdodavatelům přiměřeného zařízení a včasného přístupu k údajům, systémům, informacím, prostorám a personálu skupiny Klienta nebo jiných osob, jejichž součinnost je nezbytná a jež mají příslušné dovednosti a zkušenosti pro poskytování Služeb. Klient bude odpovědný za řízení takového personálu a jeho výkonnost, včetně časových harmonogramů a kvality jejich vstupů a práce. Pokud Klient vyžaduje, aby měla společnost Deloitte přístup na webové stránky nebo na fórum pro sdílení elektronických dat ve vztahu ke Službám, jež mají být poskytnuty, projedná a odsouhlasí se společností Deloitte konkrétní oblasti a/nebo informace, u nichž Klient vyžaduje, aby se s nimi společnost Deloitte obeznámila. Klient je odpovědný za činnost svého personálu a zástupců, za včasnost, přesnost a úplnost všech údajů a informací (včetně všech finančních informací a výkazů) poskytnutých společnosti Deloitte a jejím Subdodavatelům skupinou Klienta nebo jejím jménem a za implementaci všech výstupů, stanovisek, zpráv nebo jiných výsledků práce v jakékoli formě („Výstup“) poskytnutých společností Deloitte nebo jejím jménem a/nebo jejími Subdodavateli či jejich jménem jako součást Služeb. Pokud se Klient dozví, že je jakákoli informace nepravdivá nebo zavádějící, bude o takové skutečnosti bezodkladně informovat Deloitte. Společnost Deloitte a její Subdodavatelé mohou používat informace a údaje dodané Klientem nebo jinými osobami identifikovanými Klientem a spoléhat se na ně bez ověření. Poskytování Služeb závisí na včasném plnění odpovědností ze strany Klienta podle této Smlouvy a včasných rozhodnutích a schváleních Klienta v souvislosti se Službami. Společnost Deloitte a její Subdodavatelé mají právo spoléhat se na všechna rozhodnutí a schválení Klienta. Klient souhlasí, že veškeré údaje, informace a dokumentace nezbytné pro poskytování Služeb musí být poskytnuty přímo personálu Deloitte poskytujícímu Služby, a to i v případě, že takové údaje, informace a dokumentace již byly poskytnuty jinému personálu Deloitte v průběhu jiné zakázky. </w:t>
      </w:r>
    </w:p>
    <w:p w14:paraId="04037E2C" w14:textId="77777777" w:rsidR="00B7025F" w:rsidRPr="00E50FBB" w:rsidRDefault="00B7025F" w:rsidP="008832E9">
      <w:pPr>
        <w:numPr>
          <w:ilvl w:val="0"/>
          <w:numId w:val="10"/>
        </w:numPr>
        <w:tabs>
          <w:tab w:val="left" w:pos="567"/>
        </w:tabs>
        <w:spacing w:after="120" w:line="120" w:lineRule="atLeast"/>
        <w:ind w:left="568" w:right="70" w:hanging="284"/>
        <w:jc w:val="both"/>
        <w:rPr>
          <w:rFonts w:asciiTheme="minorHAnsi" w:hAnsiTheme="minorHAnsi" w:cstheme="minorHAnsi"/>
          <w:sz w:val="16"/>
          <w:szCs w:val="16"/>
          <w:lang w:val="de-DE"/>
        </w:rPr>
      </w:pPr>
      <w:r w:rsidRPr="00E50FBB">
        <w:rPr>
          <w:rFonts w:asciiTheme="minorHAnsi" w:hAnsiTheme="minorHAnsi" w:cstheme="minorHAnsi"/>
          <w:sz w:val="16"/>
          <w:szCs w:val="16"/>
          <w:lang w:val="de-DE"/>
        </w:rPr>
        <w:t xml:space="preserve">Klient bude výhradně odpovědný mimo jiné za: (A) provádění všech manažerských úsudků a rozhodnutí a převzetí všech manažerských odpovědností, (B) jmenování osoby, pokud možno z řad vyššího vedení, která bude odpovědná za Klientova rozhodnutí a bude dohlížet na Služby, (C) provádění dohledu nad Službami a posuzování přiměřenosti a výsledků Služeb, (D) přijetí odpovědnosti za případné kroky učiněné v návaznosti na výsledky Služeb. </w:t>
      </w:r>
    </w:p>
    <w:p w14:paraId="150C1163" w14:textId="77777777" w:rsidR="00B7025F" w:rsidRPr="00E50FBB" w:rsidRDefault="00B7025F" w:rsidP="008832E9">
      <w:pPr>
        <w:numPr>
          <w:ilvl w:val="0"/>
          <w:numId w:val="10"/>
        </w:numPr>
        <w:tabs>
          <w:tab w:val="left" w:pos="567"/>
        </w:tabs>
        <w:spacing w:after="120" w:line="120" w:lineRule="atLeast"/>
        <w:ind w:left="568" w:right="70" w:hanging="284"/>
        <w:jc w:val="both"/>
        <w:rPr>
          <w:rFonts w:asciiTheme="minorHAnsi" w:hAnsiTheme="minorHAnsi" w:cstheme="minorHAnsi"/>
          <w:sz w:val="16"/>
          <w:szCs w:val="16"/>
          <w:lang w:val="de-DE"/>
        </w:rPr>
      </w:pPr>
      <w:r w:rsidRPr="00E50FBB">
        <w:rPr>
          <w:rFonts w:asciiTheme="minorHAnsi" w:hAnsiTheme="minorHAnsi" w:cstheme="minorHAnsi"/>
          <w:sz w:val="16"/>
          <w:szCs w:val="16"/>
          <w:lang w:val="de-DE"/>
        </w:rPr>
        <w:t xml:space="preserve">Pokud Klient neposkytne společnosti Deloitte přesné a úplné informace, asistenci nebo materiály specifikované v tomto článku výše a/nebo pokud Klient neumožní Deloitte přístup k personálu podle podmínek uvedených v této Smlouvě, Deloitte neponese odpovědnost za žádné prodlení nebo vadu ve Službách. Deloitte si dále vyhrazuje právo prodloužit všechny termíny o dobu odpovídající každému jednotlivému prodlení způsobenému Klientem. </w:t>
      </w:r>
    </w:p>
    <w:p w14:paraId="0B03CDAC" w14:textId="77777777" w:rsidR="00B7025F" w:rsidRPr="00E50FBB" w:rsidRDefault="00B7025F" w:rsidP="008832E9">
      <w:pPr>
        <w:numPr>
          <w:ilvl w:val="0"/>
          <w:numId w:val="10"/>
        </w:numPr>
        <w:tabs>
          <w:tab w:val="left" w:pos="567"/>
        </w:tabs>
        <w:spacing w:after="120" w:line="120" w:lineRule="atLeast"/>
        <w:ind w:left="568" w:right="70" w:hanging="284"/>
        <w:jc w:val="both"/>
        <w:rPr>
          <w:rFonts w:asciiTheme="minorHAnsi" w:hAnsiTheme="minorHAnsi" w:cstheme="minorHAnsi"/>
          <w:sz w:val="16"/>
          <w:szCs w:val="16"/>
          <w:lang w:val="de-DE"/>
        </w:rPr>
      </w:pPr>
      <w:r w:rsidRPr="00E50FBB">
        <w:rPr>
          <w:rFonts w:asciiTheme="minorHAnsi" w:hAnsiTheme="minorHAnsi" w:cstheme="minorHAnsi"/>
          <w:sz w:val="16"/>
          <w:szCs w:val="16"/>
          <w:lang w:val="de-DE"/>
        </w:rPr>
        <w:t xml:space="preserve">Vzniknou-li společnosti Deloitte z výše uvedených důvodů další náklady v souvislosti s neplněním závazků ze strany Klienta, má Deloitte právo vůči Klientovi na jejich plnou náhradu s tím, že tímto nejsou dotčena ostatní práva dohodnutá v této Smlouvě, včetně mj. práva na náhradu škody nebo práva na smluvní pokutu, pokud byla dohodnuta. </w:t>
      </w:r>
    </w:p>
    <w:p w14:paraId="2BF5F6A2" w14:textId="77777777" w:rsidR="00B7025F" w:rsidRPr="00E50FBB" w:rsidRDefault="00B7025F" w:rsidP="008832E9">
      <w:pPr>
        <w:numPr>
          <w:ilvl w:val="0"/>
          <w:numId w:val="10"/>
        </w:numPr>
        <w:tabs>
          <w:tab w:val="left" w:pos="567"/>
        </w:tabs>
        <w:spacing w:after="120" w:line="120" w:lineRule="atLeast"/>
        <w:ind w:left="568" w:right="70" w:hanging="284"/>
        <w:jc w:val="both"/>
        <w:rPr>
          <w:rFonts w:asciiTheme="minorHAnsi" w:hAnsiTheme="minorHAnsi" w:cstheme="minorHAnsi"/>
          <w:sz w:val="16"/>
          <w:szCs w:val="16"/>
          <w:lang w:val="de-DE"/>
        </w:rPr>
      </w:pPr>
      <w:r w:rsidRPr="00E50FBB">
        <w:rPr>
          <w:rFonts w:asciiTheme="minorHAnsi" w:hAnsiTheme="minorHAnsi" w:cstheme="minorHAnsi"/>
          <w:sz w:val="16"/>
          <w:szCs w:val="16"/>
          <w:lang w:val="de-DE"/>
        </w:rPr>
        <w:t xml:space="preserve">Klient přijme Výstup a/nebo jiné dodávky Služeb v souladu s touto Smlouvou, pokud (i) splňují požadavky této Smlouvy nebo (ii) projdou akceptačním testem, jak bylo sjednáno ve Smluvním dopise. Klient neprodleně informuje Deloitte (nejpozději 5 dní od doručení Výstupu a/nebo jiné dodávky Služeb), pokud Výstup a/nebo jiné dodávky Služeb nesplňují tyto požadavky („nesoulad“) a Deloitte dostane dostatek času (ale ne méně než 5 pracovních dní) na nápravu takového nesouladu v závislosti na jeho míře a složitosti. Pokud se neuplatní výše uvedené, Klient souhlasí, že dodávky Služeb (včetně Výstupu) jsou považovány za přijaté Klientem během 5 dní po dodání v konečné podobě, jak je specifikováno ve Smluvním dopise, a pokud je to v této Smlouvě dohodnuto, včetně komentáře Klienta k návrhu dodávek nebo návrhu Výstupu, nebo jakmile je Klient poprvé v podnikání použije, a to podle toho, která skutečnost nastane jako první. Pokud se nepředpokládá dodání žádného výsledku práce (Výstupu) společností Deloitte, Služby jsou považovány za poskytnuté, pokud Klient vůči nim nevznese žádné námitky nebo pokud nepožádá o provedení dalších prací v důsledku zjištěných vad během 5 dní po poskytnutí poslední části takových Služeb, jak jsou definovány ve Smluvním dopise. </w:t>
      </w:r>
    </w:p>
    <w:p w14:paraId="160372B4" w14:textId="77777777" w:rsidR="00B7025F" w:rsidRPr="00E50FBB" w:rsidRDefault="00B7025F" w:rsidP="008832E9">
      <w:pPr>
        <w:numPr>
          <w:ilvl w:val="0"/>
          <w:numId w:val="15"/>
        </w:numPr>
        <w:spacing w:after="120" w:line="120" w:lineRule="atLeast"/>
        <w:ind w:left="568" w:right="70" w:hanging="284"/>
        <w:jc w:val="both"/>
        <w:rPr>
          <w:b/>
          <w:sz w:val="16"/>
          <w:szCs w:val="16"/>
        </w:rPr>
      </w:pPr>
      <w:r w:rsidRPr="00E50FBB">
        <w:rPr>
          <w:b/>
          <w:sz w:val="16"/>
          <w:szCs w:val="16"/>
        </w:rPr>
        <w:t>Odpovědnosti Deloitte</w:t>
      </w:r>
    </w:p>
    <w:p w14:paraId="1D5432AB" w14:textId="77777777" w:rsidR="00B7025F" w:rsidRPr="00E50FBB" w:rsidRDefault="00B7025F" w:rsidP="008832E9">
      <w:pPr>
        <w:numPr>
          <w:ilvl w:val="0"/>
          <w:numId w:val="13"/>
        </w:numPr>
        <w:tabs>
          <w:tab w:val="left" w:pos="567"/>
        </w:tabs>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Deloitte ponese odpovědnost pouze za rady a doporučení. Deloitte nenese odpovědnost za finanční účetnictví a právní rady. Poskytované Služby nejsou závazné pro žádné státní nebo regulační orgány či soudy a nepředstavují tvrzení ani záruku, že státní či regulační orgány nebo soudy budou s jakýmkoli Výstupem souhlasit. Veškeré Služby poskytnuté společností Deloitte nebo jejím jménem budou vycházet ze zákonů, nařízení, případů, rozhodnutí a dalších zákonných práv účinných v době, kdy jsou konkrétní služby poskytovány. Následné změny výše uvedeného (o nichž Deloitte nemusí Klienta informovat) mohou způsobit, že Služby poskytnuté společností Deloitte nebo jejím jménem pozbydou platnosti. </w:t>
      </w:r>
    </w:p>
    <w:p w14:paraId="42288457" w14:textId="16CA9BB1" w:rsidR="00B7025F" w:rsidRPr="00E50FBB" w:rsidRDefault="00B7025F" w:rsidP="008832E9">
      <w:pPr>
        <w:numPr>
          <w:ilvl w:val="0"/>
          <w:numId w:val="13"/>
        </w:numPr>
        <w:tabs>
          <w:tab w:val="left" w:pos="567"/>
        </w:tabs>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Při formulování jakýchkoli Výstupů jako součást Služeb může Deloitte projednat myšlenky s Klientem ústně nebo Klientovi ukázat návrhy Výstupů. S ohledem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skutečnost, že se očekává finalizace obsahu návrhů nebo ústních Výstupů a písemné potvrzení Klient</w:t>
      </w:r>
      <w:r w:rsidR="00DA2169">
        <w:rPr>
          <w:rFonts w:asciiTheme="minorHAnsi" w:hAnsiTheme="minorHAnsi" w:cstheme="minorHAnsi"/>
          <w:sz w:val="16"/>
          <w:szCs w:val="16"/>
        </w:rPr>
        <w:t>ovi</w:t>
      </w:r>
      <w:r w:rsidRPr="00E50FBB">
        <w:rPr>
          <w:rFonts w:asciiTheme="minorHAnsi" w:hAnsiTheme="minorHAnsi" w:cstheme="minorHAnsi"/>
          <w:sz w:val="16"/>
          <w:szCs w:val="16"/>
        </w:rPr>
        <w:t xml:space="preserve"> (včetně potvrzení prostřednictvím emailu), takový potvrzený Výstup nahradí předcházející návrhy nebo ústní Výstupy. Deloitte neponese odpovědnost, pokud se Klient nebo jiné osoby rozhodnou spoléhat se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návrhy nebo ústní Výstupy či jednat nebo nejednat na jejich základě. </w:t>
      </w:r>
    </w:p>
    <w:p w14:paraId="2769DC9E" w14:textId="77777777" w:rsidR="00B7025F" w:rsidRPr="00E50FBB" w:rsidRDefault="00B7025F" w:rsidP="008832E9">
      <w:pPr>
        <w:numPr>
          <w:ilvl w:val="0"/>
          <w:numId w:val="13"/>
        </w:numPr>
        <w:tabs>
          <w:tab w:val="left" w:pos="567"/>
        </w:tabs>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V případě inspekce prováděné státními nebo regulačními orgány, ať v důsledku poskytnutých Služeb či nikoli, Klient souhlasí, že asistence Deloitte vztahující se k takové inspekci netvoří součást Služeb, nestanoví-li Smluvní dopis jinak. </w:t>
      </w:r>
    </w:p>
    <w:p w14:paraId="2341592A" w14:textId="77777777" w:rsidR="00B7025F" w:rsidRPr="00E50FBB" w:rsidRDefault="00B7025F" w:rsidP="008832E9">
      <w:pPr>
        <w:numPr>
          <w:ilvl w:val="0"/>
          <w:numId w:val="13"/>
        </w:numPr>
        <w:tabs>
          <w:tab w:val="left" w:pos="567"/>
        </w:tabs>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Deloitte neponese žádnou odpovědnost za sledování událostí nastalých po datu Služeb ani za aktualizaci Výstupů, pokud se smluvní strany výslovně písemně nedohodnou jinak. </w:t>
      </w:r>
    </w:p>
    <w:p w14:paraId="1A171ED2" w14:textId="64556109" w:rsidR="00B7025F" w:rsidRPr="00E50FBB" w:rsidRDefault="00B7025F" w:rsidP="008832E9">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Cena za Služby a úhrada faktur</w:t>
      </w:r>
      <w:r w:rsidR="00F41AD7">
        <w:rPr>
          <w:rFonts w:asciiTheme="minorHAnsi" w:hAnsiTheme="minorHAnsi" w:cstheme="minorHAnsi"/>
          <w:b/>
          <w:kern w:val="28"/>
          <w:sz w:val="16"/>
          <w:szCs w:val="16"/>
        </w:rPr>
        <w:t xml:space="preserve"> </w:t>
      </w:r>
    </w:p>
    <w:p w14:paraId="04061D3C" w14:textId="77777777" w:rsidR="00B7025F" w:rsidRPr="00E50FBB" w:rsidRDefault="00B7025F" w:rsidP="008832E9">
      <w:pPr>
        <w:keepNext/>
        <w:keepLines/>
        <w:numPr>
          <w:ilvl w:val="0"/>
          <w:numId w:val="14"/>
        </w:numPr>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Deloitte má právo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odměnu sjednanou na základě Smluvního dopisu („Cena za Služby“) a tato odměna nebude záviset na výsledku Služeb, pokud Smluvní dopis nestanoví úspěšnostní odměnu na základě konkrétního výsledku. Cena za Služby neobsahuje daň z přidané hodnoty („DPH“). DPH ve výši předepsané zákonem bude přičtena ke všem fakturám vydaným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základě Smlouvy. </w:t>
      </w:r>
    </w:p>
    <w:p w14:paraId="799C2A16" w14:textId="77777777" w:rsidR="00B7025F" w:rsidRPr="00E50FBB" w:rsidRDefault="00B7025F" w:rsidP="008832E9">
      <w:pPr>
        <w:numPr>
          <w:ilvl w:val="0"/>
          <w:numId w:val="11"/>
        </w:numPr>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Cena za Služby bude účtována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základě doby strávené poskytováním Služeb a hodinové sazby osoby poskytující Služby (včetně Služeb poskytovaných Subdodavatelem), míry úsilí a použité technologie a know-how. Hodinové sazby se vztahují také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Služby poskytované ze strany Subdodavatelů, ale nikoli na Služby poskytované jinými Společnostmi skupiny Deloitte. Klient bere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vědomí, že cena za služby poskytované Společnostmi skupiny Deloitte bude účtována na základě jejich aktuálních sazeb. Deloitte si vyhrazuje právo upravit standardní hodinové sazby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základě ekonomických okolností, jako jsou mj. </w:t>
      </w:r>
      <w:proofErr w:type="gramStart"/>
      <w:r w:rsidRPr="00E50FBB">
        <w:rPr>
          <w:rFonts w:asciiTheme="minorHAnsi" w:hAnsiTheme="minorHAnsi" w:cstheme="minorHAnsi"/>
          <w:sz w:val="16"/>
          <w:szCs w:val="16"/>
        </w:rPr>
        <w:t>tržní</w:t>
      </w:r>
      <w:proofErr w:type="gramEnd"/>
      <w:r w:rsidRPr="00E50FBB">
        <w:rPr>
          <w:rFonts w:asciiTheme="minorHAnsi" w:hAnsiTheme="minorHAnsi" w:cstheme="minorHAnsi"/>
          <w:sz w:val="16"/>
          <w:szCs w:val="16"/>
        </w:rPr>
        <w:t xml:space="preserve"> trendy, míra inflace nebo kolísání měny. Deloitte bude Klienta informovat, pokud se standardní hodinové sazby stanovené v eurech zvýší. </w:t>
      </w:r>
    </w:p>
    <w:p w14:paraId="77077D08" w14:textId="77777777" w:rsidR="00B7025F" w:rsidRPr="00E50FBB" w:rsidRDefault="00B7025F" w:rsidP="008832E9">
      <w:pPr>
        <w:numPr>
          <w:ilvl w:val="0"/>
          <w:numId w:val="11"/>
        </w:numPr>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Cena za Služby nezahrnuje výdaje vzniklé Deloitte v souvislosti s poskytováním Služeb. Přiměřené výdaje vzniklé Deloitte, včetně cestovních výdajů a diet, výdaje vzniklé poskytováním informací vyžadovaných zákonem, soudním rozhodnutím/nařízením nebo nařízením regulačních úřadů nebo výdaje vzniklé vytvářením dokumentu pro předložení třetím stranám na žádost Klienta a na základě jiných událostí vedoucích ke vzniku nákladů po poskytnutí Služeb, jakož i zboží a služby pořízené v souvislosti s poskytováním Služeb budou přičteny k Ceně za Služby. </w:t>
      </w:r>
    </w:p>
    <w:p w14:paraId="7554A399" w14:textId="77777777" w:rsidR="00B7025F" w:rsidRPr="00E50FBB" w:rsidRDefault="00B7025F" w:rsidP="008832E9">
      <w:pPr>
        <w:numPr>
          <w:ilvl w:val="0"/>
          <w:numId w:val="11"/>
        </w:numPr>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Klient výslovně souhlasí s elektronickou formou fakturace za podmínek stanovených Smlouvou a platnými právními předpisy.</w:t>
      </w:r>
      <w:r w:rsidRPr="00E50FBB">
        <w:rPr>
          <w:i/>
        </w:rPr>
        <w:t xml:space="preserve"> </w:t>
      </w:r>
      <w:r w:rsidRPr="00E50FBB">
        <w:rPr>
          <w:rFonts w:asciiTheme="minorHAnsi" w:hAnsiTheme="minorHAnsi" w:cstheme="minorHAnsi"/>
          <w:sz w:val="16"/>
          <w:szCs w:val="16"/>
        </w:rPr>
        <w:t xml:space="preserve">Deloitte si vyhrazuje právo vystavovat fakturu za poskytnuté Služby (i) po přijetí Výstupu a/nebo jiné dodávky Služeb (jak je uvedeno v ustanovení 2(a) v. výše), a/nebo (ii) průběžně (včetně průběžné fakturace) v souladu s množstvím poskytovaných Služeb nebo požadovat zálohu před poskytnutím Služeb. Deloitte si vyhrazuje právo žádat o zálohu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výdaje, které vzniknou jménem Klienta. </w:t>
      </w:r>
    </w:p>
    <w:p w14:paraId="4B1522FC" w14:textId="77777777" w:rsidR="00B7025F" w:rsidRPr="00E50FBB" w:rsidRDefault="00B7025F" w:rsidP="008832E9">
      <w:pPr>
        <w:numPr>
          <w:ilvl w:val="0"/>
          <w:numId w:val="11"/>
        </w:numPr>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Pro vyrovnání jakékoli splatné odměny má Deloitte právo započítat jakékoli své pohledávky za Klientem oproti jakýmkoli pohledávkám Klienta za společností Deloitte. </w:t>
      </w:r>
    </w:p>
    <w:p w14:paraId="04EC07E0" w14:textId="77777777" w:rsidR="00B7025F" w:rsidRPr="00E50FBB" w:rsidRDefault="00B7025F" w:rsidP="008832E9">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Pro účely DPH jsou Služby poskytovány průběžně, nedohodnou-li se strany jinak. Každé plnění je považováno za poskytnuté v den vydání příslušné faktury, nestanoví-li příslušné závazné zákony jinak. </w:t>
      </w:r>
    </w:p>
    <w:p w14:paraId="6DF6C62F" w14:textId="688CA27D" w:rsidR="00B7025F" w:rsidRPr="00E50FBB" w:rsidRDefault="00B7025F" w:rsidP="008832E9">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Faktury Deloitte v jakékoliv formě jsou splatné Klientem při předložení (včetně zaslání e-mailem ve formátu .pdf) nebo při přijetí, je-li to nezbytné podle závazných právních předpisů. Není-li úhrada faktury obdržena během 14 dní </w:t>
      </w:r>
      <w:proofErr w:type="gramStart"/>
      <w:r w:rsidRPr="00E50FBB">
        <w:rPr>
          <w:rFonts w:asciiTheme="minorHAnsi" w:hAnsiTheme="minorHAnsi" w:cstheme="minorHAnsi"/>
          <w:sz w:val="16"/>
          <w:szCs w:val="16"/>
        </w:rPr>
        <w:t>od</w:t>
      </w:r>
      <w:proofErr w:type="gramEnd"/>
      <w:r w:rsidRPr="00E50FBB">
        <w:rPr>
          <w:rFonts w:asciiTheme="minorHAnsi" w:hAnsiTheme="minorHAnsi" w:cstheme="minorHAnsi"/>
          <w:sz w:val="16"/>
          <w:szCs w:val="16"/>
        </w:rPr>
        <w:t xml:space="preserve"> data faktury, Deloitte si vyhrazuje právo účtovat úrok (i) v nejvyšší sazbě povolené a přípustné zákonem s minimální sazbou 1½% měsíčně nebo (ii) v sazbě specifikované závaznými právními předpisy, která nemůže být upravena dohodou stran, v každém případě počítaná měsíčně do míry povolené zákonem. </w:t>
      </w:r>
      <w:r w:rsidR="001323FF" w:rsidRPr="00DB1816">
        <w:rPr>
          <w:rFonts w:asciiTheme="minorHAnsi" w:hAnsiTheme="minorHAnsi" w:cstheme="minorHAnsi"/>
          <w:sz w:val="16"/>
          <w:szCs w:val="16"/>
        </w:rPr>
        <w:t xml:space="preserve">V případě, že společnosti Deloitte vzniknou jakékoliv náklady vymáhání či právního zastoupení s ohledem </w:t>
      </w:r>
      <w:proofErr w:type="gramStart"/>
      <w:r w:rsidR="001323FF" w:rsidRPr="00DB1816">
        <w:rPr>
          <w:rFonts w:asciiTheme="minorHAnsi" w:hAnsiTheme="minorHAnsi" w:cstheme="minorHAnsi"/>
          <w:sz w:val="16"/>
          <w:szCs w:val="16"/>
        </w:rPr>
        <w:t>na</w:t>
      </w:r>
      <w:proofErr w:type="gramEnd"/>
      <w:r w:rsidR="001323FF" w:rsidRPr="00DB1816">
        <w:rPr>
          <w:rFonts w:asciiTheme="minorHAnsi" w:hAnsiTheme="minorHAnsi" w:cstheme="minorHAnsi"/>
          <w:sz w:val="16"/>
          <w:szCs w:val="16"/>
        </w:rPr>
        <w:t xml:space="preserve"> </w:t>
      </w:r>
      <w:r w:rsidRPr="00E50FBB">
        <w:rPr>
          <w:rFonts w:asciiTheme="minorHAnsi" w:hAnsiTheme="minorHAnsi" w:cstheme="minorHAnsi"/>
          <w:sz w:val="16"/>
          <w:szCs w:val="16"/>
        </w:rPr>
        <w:t xml:space="preserve">odměnu po splatnosti, tyto náklady budou Klientovi účtovány v dodatečné faktuře. Bez omezení ostatních svých práv nebo opravných prostředků má Deloitte právo zastavit nebo ukončit Služby zcela nebo částečně, není-li úhrada přijata během 14 dní od data faktury, a následně se v tomto smyslu uplatní ustanovení čl. 2 a) </w:t>
      </w:r>
      <w:proofErr w:type="gramStart"/>
      <w:r w:rsidRPr="00E50FBB">
        <w:rPr>
          <w:rFonts w:asciiTheme="minorHAnsi" w:hAnsiTheme="minorHAnsi" w:cstheme="minorHAnsi"/>
          <w:sz w:val="16"/>
          <w:szCs w:val="16"/>
        </w:rPr>
        <w:t>iv</w:t>
      </w:r>
      <w:proofErr w:type="gramEnd"/>
      <w:r w:rsidRPr="00E50FBB">
        <w:rPr>
          <w:rFonts w:asciiTheme="minorHAnsi" w:hAnsiTheme="minorHAnsi" w:cstheme="minorHAnsi"/>
          <w:sz w:val="16"/>
          <w:szCs w:val="16"/>
        </w:rPr>
        <w:t xml:space="preserve">). Vznikne-li spor ohledně fakturované částky, Klient uhradí nerozporovanou částku. Klient nese odpovědnost za všechny </w:t>
      </w:r>
      <w:proofErr w:type="gramStart"/>
      <w:r w:rsidRPr="00E50FBB">
        <w:rPr>
          <w:rFonts w:asciiTheme="minorHAnsi" w:hAnsiTheme="minorHAnsi" w:cstheme="minorHAnsi"/>
          <w:sz w:val="16"/>
          <w:szCs w:val="16"/>
        </w:rPr>
        <w:t>daně</w:t>
      </w:r>
      <w:proofErr w:type="gramEnd"/>
      <w:r w:rsidRPr="00E50FBB">
        <w:rPr>
          <w:rFonts w:asciiTheme="minorHAnsi" w:hAnsiTheme="minorHAnsi" w:cstheme="minorHAnsi"/>
          <w:sz w:val="16"/>
          <w:szCs w:val="16"/>
        </w:rPr>
        <w:t xml:space="preserve">, jako je DPH, daň z prodeje a užívání, daň z hrubých příjmů, srážková daň a jiné podobné daně uvalené na Služby nebo s nimi související a nepředstavující daň z příjmů nebo daň z majetku společnosti Deloitte. </w:t>
      </w:r>
    </w:p>
    <w:p w14:paraId="2F1DE08D" w14:textId="77777777" w:rsidR="00B7025F" w:rsidRPr="00E50FBB" w:rsidRDefault="00B7025F" w:rsidP="008832E9">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Jakýkoli odhad Ceny za Služby bude vycházet z posouzení prací společností Deloitte při zohlednění předpokladů stanovených ve Smluvním dopise. Jakýkoli odhad Ceny za Služby může být upraven např. </w:t>
      </w:r>
      <w:proofErr w:type="gramStart"/>
      <w:r w:rsidRPr="00E50FBB">
        <w:rPr>
          <w:rFonts w:asciiTheme="minorHAnsi" w:hAnsiTheme="minorHAnsi" w:cstheme="minorHAnsi"/>
          <w:sz w:val="16"/>
          <w:szCs w:val="16"/>
        </w:rPr>
        <w:t>v</w:t>
      </w:r>
      <w:proofErr w:type="gramEnd"/>
      <w:r w:rsidRPr="00E50FBB">
        <w:rPr>
          <w:rFonts w:asciiTheme="minorHAnsi" w:hAnsiTheme="minorHAnsi" w:cstheme="minorHAnsi"/>
          <w:sz w:val="16"/>
          <w:szCs w:val="16"/>
        </w:rPr>
        <w:t xml:space="preserve"> případě, že se Služby ukáží jako složitější nebo časově náročnější, než se očekávalo, přičemž v takové situaci Deloitte předem informuje Klienta o takové očekávané úpravě. </w:t>
      </w:r>
    </w:p>
    <w:p w14:paraId="283C5538" w14:textId="77777777" w:rsidR="00B7025F" w:rsidRPr="00E50FBB" w:rsidRDefault="00B7025F" w:rsidP="008832E9">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Klient (společně se členy skupiny Klienta podle ustanovení 1b) výše) je společně a nerozdílně odpovědný za úhradu fakturované částky a za realizaci ostatních závazků vyplývajících ze Smlouvy, zejména povinností zachování mlčenlivosti nebo šíření Výstupů. </w:t>
      </w:r>
    </w:p>
    <w:p w14:paraId="23EE98F7" w14:textId="77777777" w:rsidR="00B7025F" w:rsidRPr="00E50FBB" w:rsidRDefault="00B7025F" w:rsidP="008832E9">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Doba trvání Smlouvy </w:t>
      </w:r>
    </w:p>
    <w:p w14:paraId="136F131A" w14:textId="77777777" w:rsidR="00B7025F" w:rsidRPr="00E50FBB" w:rsidRDefault="00B7025F" w:rsidP="008832E9">
      <w:pPr>
        <w:pStyle w:val="Odstavecseseznamem"/>
        <w:keepLines w:val="0"/>
        <w:numPr>
          <w:ilvl w:val="0"/>
          <w:numId w:val="16"/>
        </w:numPr>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 xml:space="preserve">Není-li Smlouva v souladu s tímto zněním ukončena dříve, končí řádným poskytnutím Služeb. </w:t>
      </w:r>
    </w:p>
    <w:p w14:paraId="273C77FB" w14:textId="645DAA76" w:rsidR="00B7025F" w:rsidRPr="00E50FBB" w:rsidRDefault="00B7025F" w:rsidP="008832E9">
      <w:pPr>
        <w:numPr>
          <w:ilvl w:val="0"/>
          <w:numId w:val="16"/>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Kterákoli </w:t>
      </w:r>
      <w:r w:rsidR="00CD2311">
        <w:rPr>
          <w:rFonts w:asciiTheme="minorHAnsi" w:hAnsiTheme="minorHAnsi" w:cstheme="minorHAnsi"/>
          <w:sz w:val="16"/>
          <w:szCs w:val="16"/>
          <w:lang w:val="cs-CZ"/>
        </w:rPr>
        <w:t>z</w:t>
      </w:r>
      <w:r w:rsidRPr="00E50FBB">
        <w:rPr>
          <w:rFonts w:asciiTheme="minorHAnsi" w:hAnsiTheme="minorHAnsi" w:cstheme="minorHAnsi"/>
          <w:sz w:val="16"/>
          <w:szCs w:val="16"/>
          <w:lang w:val="cs-CZ"/>
        </w:rPr>
        <w:t xml:space="preserve">e stran může Smlouvu kdykoli ukončit s udáním či bez udání důvodu písemnou výpovědí podanou druhé straně nejméně 30 dní před datem účinnosti ukončení Smlouvy; výpověď s uvedením důvodu spočívající v porušení Smlouvy však nenabyde účinnosti v případě, kdy strana porušující podmínky této Smlouvy toto porušení ve výpovědní době odstraní, lze-li takovéto porušení napravit. </w:t>
      </w:r>
    </w:p>
    <w:p w14:paraId="55D3A01D" w14:textId="77777777" w:rsidR="00B7025F" w:rsidRPr="00E50FBB" w:rsidRDefault="00B7025F" w:rsidP="008832E9">
      <w:pPr>
        <w:numPr>
          <w:ilvl w:val="0"/>
          <w:numId w:val="16"/>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Pokud to stávající zákony nezakazují, Deloitte nebo Klient mohou tuto Smlouvu ukončit s okamžitou účinností písemnou výpovědí v případě, že (i) druhá strana podala návrh na vyhlášení moratoria nebo vlastní insolvenční návrh, (ii) byl na druhou stranu prohlášen konkurs nebo byla druhá strana prohlášena za nesolventní (předluženou) příslušným úřadem (soudem) z důvodu platební neschopnosti nebo předluženosti, nebo (iii) byl zamítnut návrh na prohlášení insolvence proti ní z důvodu nedostatečného majetku, nebo (iv) jsou její aktiva předmětem obstavení hmotného majetku nebo (v) je v likvidaci. </w:t>
      </w:r>
    </w:p>
    <w:p w14:paraId="32B260C3" w14:textId="3A68E8B9" w:rsidR="00B7025F" w:rsidRPr="00E50FBB" w:rsidRDefault="00B7025F" w:rsidP="008832E9">
      <w:pPr>
        <w:numPr>
          <w:ilvl w:val="0"/>
          <w:numId w:val="16"/>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Deloitte může tuto Smlouvu ukončit jako celek nebo částečně s okamžitým účinkem na základě písemné výpovědi podané Klientovi, pokud Deloitte zjistí, že (a) státní, regulační nebo profesní orgán nebo jiný orgán se zákonnou pravomocí zavedl nový, nebo upravil stávající, zákon, pravidlo, nařízení, výklad nebo rozhodnutí, v jehož důsledku by bylo plnění kterékoli části Smlouvy ze strany Deloitte protiprávní nebo jinak nezákonné nebo v rozporu s pravidly nezávislosti nebo profesními pravidly nebo (b) dojde ke změně okolností (včetně mj. změn vlastnictví Klienta nebo kteréhokoli z jeho Přidružených podniků představujících společnost, partnerský podnik nebo jiný právní subjekt (jiný než fyzickou osobu), který podle potřeby přímo nebo nepřímo kontroluje, je kontrolován nebo je pod společnou kontrolou Klienta („Přidružený podnik“), a z tohoto důvodu je plnění jakékoli části Smlouvy ze strany Deloitte protiprávní nebo jinak nezákonné nebo v rozporu s pravidly nezávislosti nebo profesními pravidly.</w:t>
      </w:r>
      <w:r w:rsidR="00F41AD7">
        <w:rPr>
          <w:rFonts w:asciiTheme="minorHAnsi" w:hAnsiTheme="minorHAnsi" w:cstheme="minorHAnsi"/>
          <w:sz w:val="16"/>
          <w:szCs w:val="16"/>
          <w:lang w:val="cs-CZ"/>
        </w:rPr>
        <w:t xml:space="preserve"> </w:t>
      </w:r>
    </w:p>
    <w:p w14:paraId="0036E5B8" w14:textId="77777777" w:rsidR="00B7025F" w:rsidRPr="00E50FBB" w:rsidRDefault="00B7025F" w:rsidP="008832E9">
      <w:pPr>
        <w:numPr>
          <w:ilvl w:val="0"/>
          <w:numId w:val="16"/>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Při ukončení smlouvy z jakéhokoli důvodu Klient poskytne společnosti Deloitte náhradu v souladu s podmínkami Smlouvy za poskytnuté Služby a výdaje nebo náklady (včetně veškerých specifických nákladů, jako jsou zřizovací náklady) vzniklé do data účinnosti ukončení Smlouvy. Pokud je Cena za Služby sjednána jako závislá na provedení Služeb nebo jakýchkoli jejich částí a ukončení nabyde účinnosti před dokončením Služeb a/nebo jejich příslušných částí, částka splatné Ceny za Služby při ukončení Smlouvy bude odpovídat času, který strávil personál Deloitte (jež zahrnuje v relevantním případě i příslušné Subdodavatele) poskytováním Služeb podle této Smlouvy, a vypočte se na základě standardních hodinových sazeb. Aniž by tím byla dotčena výše uvedená ustanovení, Deloitte má právo obdržet plnou náhradu všech nákladů vzniklých v souvislosti poskytováním Služeb na základě této Smlouvy před ukončením Smlouvy a veškerých pokut nebo nákladů vzniklých společnosti Deloitte z důvodu ukončení smluv, které Deloitte uzavřela v souvislosti s poskytováním Služeb na základě této Smlouvy, aniž by tím byla dotčena náhrada škod a smluvní pokuty stanovené ustanoveními tohoto dokumentu a účinnými právními předpisy. </w:t>
      </w:r>
    </w:p>
    <w:p w14:paraId="55178541" w14:textId="77777777" w:rsidR="00B7025F" w:rsidRPr="00E50FBB" w:rsidRDefault="00B7025F" w:rsidP="008832E9">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Vlastnictví majetku Deloitte </w:t>
      </w:r>
    </w:p>
    <w:p w14:paraId="025FFE69" w14:textId="796FF125" w:rsidR="00B7025F" w:rsidRPr="00E50FBB" w:rsidRDefault="00B7025F" w:rsidP="008832E9">
      <w:pPr>
        <w:pStyle w:val="Odstavecseseznamem"/>
        <w:keepLines w:val="0"/>
        <w:numPr>
          <w:ilvl w:val="0"/>
          <w:numId w:val="17"/>
        </w:numPr>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 xml:space="preserve">S výjimkou případů stanovených níže a případů, kdy platí samostatná licenční smlouva, pokud Společnosti skupiny Deloitte použijí nebo vytvoří jakýkoli majetek (hmotný i nehmotný) v souvislosti s touto Smlouvou, tento majetek, včetně pracovních verzí, zůstává majetkem příslušné Společnosti skupiny Deloitte. Na základě úhrady všech odměn Deloitte splatných v souvislosti se Službami a touto Smlouvou Klient získá nevýhradní, nepřevoditelnou, plně uhrazenou licenci na používání Výstupu způsobem a pro účel stanovený ve Smlouvě nebo ve Výstupu a v souladu s ostatními ustanoveními Smlouvy. Jakékoli poplatky za užívání (licenční poplatky) spojené s Výstupem (pokud existují) jsou zahrnuty do ceny odsouhlasené ve Smluvním dopisu. Klient nebude používat Výstup v jiných zemích, než jsou země, kde má své </w:t>
      </w:r>
      <w:r w:rsidRPr="009C6EE0">
        <w:rPr>
          <w:rFonts w:asciiTheme="minorHAnsi" w:hAnsiTheme="minorHAnsi" w:cstheme="minorHAnsi"/>
          <w:sz w:val="16"/>
          <w:szCs w:val="16"/>
        </w:rPr>
        <w:t>sídlo Příjemce</w:t>
      </w:r>
      <w:r w:rsidR="0000173F" w:rsidRPr="009C6EE0">
        <w:rPr>
          <w:rFonts w:asciiTheme="minorHAnsi" w:hAnsiTheme="minorHAnsi" w:cstheme="minorHAnsi"/>
          <w:sz w:val="16"/>
          <w:szCs w:val="16"/>
        </w:rPr>
        <w:t xml:space="preserve"> Výstupu</w:t>
      </w:r>
      <w:r w:rsidRPr="00FD59D7">
        <w:rPr>
          <w:rFonts w:asciiTheme="minorHAnsi" w:hAnsiTheme="minorHAnsi" w:cstheme="minorHAnsi"/>
          <w:sz w:val="16"/>
          <w:szCs w:val="16"/>
        </w:rPr>
        <w:t>, jenž má výslovné</w:t>
      </w:r>
      <w:r w:rsidRPr="00E50FBB">
        <w:rPr>
          <w:rFonts w:asciiTheme="minorHAnsi" w:hAnsiTheme="minorHAnsi" w:cstheme="minorHAnsi"/>
          <w:sz w:val="16"/>
          <w:szCs w:val="16"/>
        </w:rPr>
        <w:t xml:space="preserve"> povolení používat Výstup. Klient nebude (i) zveřejňovat a kopírovat Výstupy a související dokumentaci (k jiným než k interním účelům), (ii) zveřejňovat, modifikovat nebo vytvářet vylepšené verze Výstupů, (iii) měnit, slučovat, modifikovat, upravovat nebo překládat Výstupy, (iv) provádět dekompilaci, demontáž nebo reverzní inženýrství Výstupu jako celku nebo části, provádět převod ze zdrojového kódu Výstupů, (v) používat, kopírovat, reprodukovat, psát nebo vytvářet jakýkoli odvozený výtvor nebo jiný výtvor založený na celém Výstupu nebo jeho části, (vi) měnit, zpracovávat a kombinovat Výstup s jinými výtvory a používat Výstup v kombinaci s jinými výtvory, (vii) pronajímat a/nebo půjčovat Výstup a související dokumentaci nebo jejich kopie třetím stranám, a (viii) poskytovat sublicenci třetím osobám s právy na použití Výstupu nad rámec stanovený Deloitte na základě vlastního uvážení. Cena za poskytnutí výše uvedené licence je zahrnuta v odměně odsouhlasené ve Smluvním dopise. Deloitte je nositelem veškerých práv</w:t>
      </w:r>
      <w:r w:rsidR="00F41AD7">
        <w:rPr>
          <w:rFonts w:asciiTheme="minorHAnsi" w:hAnsiTheme="minorHAnsi" w:cstheme="minorHAnsi"/>
          <w:sz w:val="16"/>
          <w:szCs w:val="16"/>
        </w:rPr>
        <w:t xml:space="preserve"> </w:t>
      </w:r>
      <w:r w:rsidRPr="00E50FBB">
        <w:rPr>
          <w:rFonts w:asciiTheme="minorHAnsi" w:hAnsiTheme="minorHAnsi" w:cstheme="minorHAnsi"/>
          <w:sz w:val="16"/>
          <w:szCs w:val="16"/>
        </w:rPr>
        <w:t>k Výstupům (a to zejména autorských a ostatních práv k duševnímu vlastnictví)</w:t>
      </w:r>
      <w:r w:rsidR="00F41AD7">
        <w:rPr>
          <w:rFonts w:asciiTheme="minorHAnsi" w:hAnsiTheme="minorHAnsi" w:cstheme="minorHAnsi"/>
          <w:sz w:val="16"/>
          <w:szCs w:val="16"/>
        </w:rPr>
        <w:t xml:space="preserve"> </w:t>
      </w:r>
      <w:r w:rsidRPr="00E50FBB">
        <w:rPr>
          <w:rFonts w:asciiTheme="minorHAnsi" w:hAnsiTheme="minorHAnsi" w:cstheme="minorHAnsi"/>
          <w:sz w:val="16"/>
          <w:szCs w:val="16"/>
        </w:rPr>
        <w:t xml:space="preserve">jakož i veškerých práv užívat a zpřístupňovat své myšlenky, koncepty, know-how, metodologie, technologie, procesy, dovednosti, včetně jejich úprav, v rámci své podnikatelské činnosti a Klient </w:t>
      </w:r>
      <w:r w:rsidR="00DA2169" w:rsidRPr="00DB1816">
        <w:rPr>
          <w:rFonts w:asciiTheme="minorHAnsi" w:hAnsiTheme="minorHAnsi" w:cstheme="minorHAnsi"/>
          <w:sz w:val="16"/>
          <w:szCs w:val="16"/>
        </w:rPr>
        <w:t>zajistí, aby žádní členové skupiny Klienta a/</w:t>
      </w:r>
      <w:r w:rsidR="00221C4A" w:rsidRPr="00221C4A">
        <w:rPr>
          <w:rFonts w:asciiTheme="minorHAnsi" w:hAnsiTheme="minorHAnsi" w:cstheme="minorHAnsi"/>
          <w:sz w:val="16"/>
          <w:szCs w:val="16"/>
        </w:rPr>
        <w:t>nebo Oprávněné osoby neuplatnili neb</w:t>
      </w:r>
      <w:r w:rsidR="00221C4A">
        <w:rPr>
          <w:rFonts w:asciiTheme="minorHAnsi" w:hAnsiTheme="minorHAnsi" w:cstheme="minorHAnsi"/>
          <w:sz w:val="16"/>
          <w:szCs w:val="16"/>
        </w:rPr>
        <w:t>o nezpůsobili</w:t>
      </w:r>
      <w:r w:rsidR="00DA2169" w:rsidRPr="00DB1816">
        <w:rPr>
          <w:rFonts w:asciiTheme="minorHAnsi" w:hAnsiTheme="minorHAnsi" w:cstheme="minorHAnsi"/>
          <w:sz w:val="16"/>
          <w:szCs w:val="16"/>
        </w:rPr>
        <w:t xml:space="preserve">, </w:t>
      </w:r>
      <w:r w:rsidRPr="00E50FBB">
        <w:rPr>
          <w:rFonts w:asciiTheme="minorHAnsi" w:hAnsiTheme="minorHAnsi" w:cstheme="minorHAnsi"/>
          <w:sz w:val="16"/>
          <w:szCs w:val="16"/>
        </w:rPr>
        <w:t xml:space="preserve">aby bylo uplatněno, jakékoliv omezení, či zamezení výkonu takových práv vůči jakékoliv Společnosti skupiny Deloitte nebo jejímu personálu. Jakákoliv práva k duševnímu vlastnictví a majetková práva k materiálům, které byly poskytnuty Klientem v souvislosti s poskytováním Služeb, náleží Klientovi. </w:t>
      </w:r>
    </w:p>
    <w:p w14:paraId="37AFC44F" w14:textId="77777777" w:rsidR="00B7025F" w:rsidRPr="00E50FBB" w:rsidRDefault="00B7025F" w:rsidP="008832E9">
      <w:pPr>
        <w:numPr>
          <w:ilvl w:val="0"/>
          <w:numId w:val="17"/>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Bez ohledu na jiná ustanovení této Smlouvy, Klient bere na vědomí, že společnost Deloitte a její Subdodavatelé mohou v souvislosti s poskytováním Služeb vytvořit či získat obecnou zkušenost, dovednosti, znalosti a myšlenky, které zůstanou v paměti jejich personálu. Klient souhlasí s tím, že Společnosti skupiny Deloitte mohou takovéto zkušenosti, dovednosti, znalosti a myšlenky bez omezení používat a zveřejňovat.</w:t>
      </w:r>
    </w:p>
    <w:p w14:paraId="6D0ACD16" w14:textId="77777777" w:rsidR="00B7025F" w:rsidRPr="00E50FBB" w:rsidRDefault="00B7025F" w:rsidP="008832E9">
      <w:pPr>
        <w:numPr>
          <w:ilvl w:val="0"/>
          <w:numId w:val="17"/>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Klient rovněž získá přístup a má právo používat ty Technologie Deloitte, které jsou dodány výhradně pro účely přijetí Služeb a pro žádné další účely, a v souladu s jakýmikoliv licencemi, které se na příslušné Technologie Deloitte vztahují a které jsou ze strany Deloitte Klientovi oznámeny a se kterými Klient vyjádřil souhlas prostřednictvím svého podpisu. Ve vztahu mezi Klientem a Deloitte bude Deloitte vlastnit veškerá práva na duševní vlastnictví a další vlastnická práva jakéhokoli druhu na Technologie Deloitte, které jsou používány nebo vytvářeny v souladu s touto Smlouvou, a toto vlastnictví si ponechá. </w:t>
      </w:r>
    </w:p>
    <w:p w14:paraId="526AB349" w14:textId="77777777" w:rsidR="00B7025F" w:rsidRPr="00E50FBB" w:rsidRDefault="00B7025F" w:rsidP="008832E9">
      <w:pPr>
        <w:numPr>
          <w:ilvl w:val="0"/>
          <w:numId w:val="17"/>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„Technologie Deloitte“ je míněno jakékoliv know-how a software, systémové rozhraní, vzory, metodologie, myšlenky, koncepty, technologie, nástroje, procesy a postupy, a to včetně technologií založených na webovém rozhraní a algoritmů vlastněných, licencovaných či vyvinutých jakoukoliv Společností skupiny Deloitte a použitých Deloitte při poskytování Služeb či při plnění jeho dalších povinností. </w:t>
      </w:r>
    </w:p>
    <w:p w14:paraId="626CDFBE" w14:textId="77777777" w:rsidR="00B7025F" w:rsidRPr="00E50FBB" w:rsidRDefault="00B7025F" w:rsidP="008832E9">
      <w:pPr>
        <w:numPr>
          <w:ilvl w:val="0"/>
          <w:numId w:val="17"/>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Společnost Deloitte nesouhlasí s jakýmikoli podmínkami, které mohou být vykládány jako jakýmkoli způsobem vylučující nebo omezující její právo vytvářet pro sebe nebo pro ostatní materiály, které jsou konkurenční nebo podobné těm, jež jsou výsledkem Služeb, bez ohledu na jejich podobnost s Výstupem, v souladu s podmínkami zachování mlčenlivosti uvedenými v ustanovení čl. 10 níže. </w:t>
      </w:r>
    </w:p>
    <w:p w14:paraId="2849451E" w14:textId="77777777" w:rsidR="00B7025F" w:rsidRPr="00E50FBB" w:rsidRDefault="00B7025F" w:rsidP="008832E9">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Odpovědnost za škody </w:t>
      </w:r>
    </w:p>
    <w:p w14:paraId="1DED5955" w14:textId="0DE9B84B" w:rsidR="00B7025F" w:rsidRPr="00E50FBB" w:rsidRDefault="00B7025F" w:rsidP="008832E9">
      <w:pPr>
        <w:pStyle w:val="Odstavecseseznamem"/>
        <w:keepLines w:val="0"/>
        <w:numPr>
          <w:ilvl w:val="0"/>
          <w:numId w:val="18"/>
        </w:numPr>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Společnost Deloitte nebude odpovědná vůči skupině Klienta za jakékoli nároky, závazky, ztráty, škody, náklady nebo výdaje vyplývající ze Smlouvy nebo v souvislosti s ní bez ohledu na právní základ („Nároky“) v souhrnné částce převyšující (i) padesát tisíc eur nebo, je-li vyšší, (ii) cenu hrazenou podle této Smlouvy Klientem společnosti Deloitte za tu část Služeb, v souvislosti s kterými došlo ke vzniku Nároku, maximálně však do výše dvě stě padesát tisíc eur, ani nebude povinna nahradit jakoukoliv škodu Klienta nebo Skupiny Klienta, která převyšuje shora uvedené limity, vyjma případů, kdy dle pravomocného soudního rozhodnutí Nárok původně vyplynul z</w:t>
      </w:r>
      <w:r w:rsidR="00F41AD7">
        <w:rPr>
          <w:rFonts w:asciiTheme="minorHAnsi" w:hAnsiTheme="minorHAnsi" w:cstheme="minorHAnsi"/>
          <w:b/>
          <w:sz w:val="16"/>
          <w:szCs w:val="16"/>
        </w:rPr>
        <w:t xml:space="preserve"> </w:t>
      </w:r>
      <w:r w:rsidRPr="00E50FBB">
        <w:rPr>
          <w:rFonts w:asciiTheme="minorHAnsi" w:hAnsiTheme="minorHAnsi" w:cstheme="minorHAnsi"/>
          <w:sz w:val="16"/>
          <w:szCs w:val="16"/>
        </w:rPr>
        <w:t>úmyslného pochybení nebo hrubé nedbalosti Deloitte nebo jakéhokoli Subdodavatele.</w:t>
      </w:r>
    </w:p>
    <w:p w14:paraId="3588C5A8" w14:textId="52429086" w:rsidR="00B7025F" w:rsidRPr="00E50FBB" w:rsidRDefault="00B7025F" w:rsidP="008832E9">
      <w:pPr>
        <w:numPr>
          <w:ilvl w:val="0"/>
          <w:numId w:val="18"/>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V rozsahu dovoleném zákonem nebude žádná Společnost skupiny Deloitte (včetně Deloitte a jejích Subdodavatelů) odpovědná za žádnou ztrátu užívání, smluv, údajů, goodwillu, výnosů nebo zisků (ať jsou považovány za přímé Nároky či nikoli) nebo jakoukoli následnou, zvláštní, nepřímou, náhodnou, represivní nebo exemplární ztrátu, škodu nebo náklad vyplývající ze Smlouvy nebo s ní související. </w:t>
      </w:r>
    </w:p>
    <w:p w14:paraId="5B138536" w14:textId="77777777" w:rsidR="00B7025F" w:rsidRPr="00E50FBB" w:rsidRDefault="00B7025F" w:rsidP="008832E9">
      <w:pPr>
        <w:numPr>
          <w:ilvl w:val="0"/>
          <w:numId w:val="18"/>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V případě, že budou všechna nebo část ustanovení tohoto článku 6 pravomocným rozhodnutím soudu stanovena jako nevymahatelná, úhrnná odpovědnost Deloitte a jakékoli Společnosti skupiny Deloitte za jakýkoli Nárok nepřekročí částku, která odpovídá míře jejich zavinění v poměru k veškerým dalším příčinám vzniku takového Nároku.</w:t>
      </w:r>
    </w:p>
    <w:p w14:paraId="16EA57E3" w14:textId="5295FADF" w:rsidR="00B7025F" w:rsidRPr="00E50FBB" w:rsidRDefault="00B7025F" w:rsidP="008832E9">
      <w:pPr>
        <w:numPr>
          <w:ilvl w:val="0"/>
          <w:numId w:val="18"/>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Odpovědnost společnosti Deloitte za Služby se vztahuje pouze k členům skupiny Klienta a Oprávněným osobám určeným ve Smlouvě nebo Výstupu jako osoby oprávněné spoléhat se na Služby, a nikoli ve vztahu k jiným členům skupiny Klienta nebo jiným třetím stranám. Pokud je ve Smluvním dopise určen více než jeden člen skupiny Klienta, odpovědnost Deloitte je pouze vůči členům skupiny Klienta, k jejichž prospěchu byly Služby poskytnuty, a vůči Oprávněným osobám, pokud existují, ale za všech okolností se bude na úhrnnou částku odpovědnosti Deloitte vůči všem Příjemcům</w:t>
      </w:r>
      <w:r w:rsidR="0000173F">
        <w:rPr>
          <w:rFonts w:asciiTheme="minorHAnsi" w:hAnsiTheme="minorHAnsi" w:cstheme="minorHAnsi"/>
          <w:sz w:val="16"/>
          <w:szCs w:val="16"/>
          <w:lang w:val="cs-CZ"/>
        </w:rPr>
        <w:t xml:space="preserve"> Výstupu</w:t>
      </w:r>
      <w:r w:rsidRPr="00E50FBB">
        <w:rPr>
          <w:rFonts w:asciiTheme="minorHAnsi" w:hAnsiTheme="minorHAnsi" w:cstheme="minorHAnsi"/>
          <w:sz w:val="16"/>
          <w:szCs w:val="16"/>
          <w:lang w:val="cs-CZ"/>
        </w:rPr>
        <w:t xml:space="preserve"> vztahovat omezení odpovědnosti stanovené v článku 6 a) výše a bude tedy muset být mezi Příjemce </w:t>
      </w:r>
      <w:r w:rsidR="009C6EE0">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rozdělena. Je sjednáno, že takové rozdělení bude zcela záležitostí Příjemců</w:t>
      </w:r>
      <w:r w:rsidR="009C6EE0">
        <w:rPr>
          <w:rFonts w:asciiTheme="minorHAnsi" w:hAnsiTheme="minorHAnsi" w:cstheme="minorHAnsi"/>
          <w:sz w:val="16"/>
          <w:szCs w:val="16"/>
          <w:lang w:val="cs-CZ"/>
        </w:rPr>
        <w:t xml:space="preserve"> Výstupu</w:t>
      </w:r>
      <w:r w:rsidRPr="00E50FBB">
        <w:rPr>
          <w:rFonts w:asciiTheme="minorHAnsi" w:hAnsiTheme="minorHAnsi" w:cstheme="minorHAnsi"/>
          <w:sz w:val="16"/>
          <w:szCs w:val="16"/>
          <w:lang w:val="cs-CZ"/>
        </w:rPr>
        <w:t xml:space="preserve">, kteří nebudou mít povinnost o rozdělení informovat Deloitte, a to vždy za předpokladu, že pokud (z jakéhokoli důvodu) není takové rozdělení sjednáno, žádný Příjemce </w:t>
      </w:r>
      <w:r w:rsidR="009C6EE0">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nebude zpochybňovat platnost, vymahatelnost nebo fungování omezení odpovědnosti na tom základě, že žádné rozdělení sjednáno nebylo. Pro odstranění pochybností souhrnná částka takového rozdělení nepřekročí limit platný podle odstavce</w:t>
      </w:r>
      <w:r w:rsidR="001840F7">
        <w:rPr>
          <w:rFonts w:asciiTheme="minorHAnsi" w:hAnsiTheme="minorHAnsi" w:cstheme="minorHAnsi"/>
          <w:sz w:val="16"/>
          <w:szCs w:val="16"/>
          <w:lang w:val="cs-CZ"/>
        </w:rPr>
        <w:t xml:space="preserve"> a)</w:t>
      </w:r>
      <w:r w:rsidRPr="00E50FBB">
        <w:rPr>
          <w:rFonts w:asciiTheme="minorHAnsi" w:hAnsiTheme="minorHAnsi" w:cstheme="minorHAnsi"/>
          <w:iCs/>
          <w:sz w:val="16"/>
          <w:szCs w:val="16"/>
          <w:lang w:val="cs-CZ"/>
        </w:rPr>
        <w:t xml:space="preserve"> </w:t>
      </w:r>
      <w:r w:rsidRPr="00E50FBB">
        <w:rPr>
          <w:rFonts w:asciiTheme="minorHAnsi" w:hAnsiTheme="minorHAnsi" w:cstheme="minorHAnsi"/>
          <w:sz w:val="16"/>
          <w:szCs w:val="16"/>
          <w:lang w:val="cs-CZ"/>
        </w:rPr>
        <w:t>výše.</w:t>
      </w:r>
      <w:r w:rsidR="00F41AD7">
        <w:rPr>
          <w:rFonts w:asciiTheme="minorHAnsi" w:hAnsiTheme="minorHAnsi" w:cstheme="minorHAnsi"/>
          <w:sz w:val="16"/>
          <w:szCs w:val="16"/>
          <w:lang w:val="cs-CZ"/>
        </w:rPr>
        <w:t xml:space="preserve"> </w:t>
      </w:r>
    </w:p>
    <w:p w14:paraId="373A6F30" w14:textId="77777777" w:rsidR="00B7025F" w:rsidRPr="00E50FBB" w:rsidRDefault="00B7025F" w:rsidP="008832E9">
      <w:pPr>
        <w:numPr>
          <w:ilvl w:val="0"/>
          <w:numId w:val="18"/>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Omezení odpovědnosti a výše náhrady škody uvedené v odstavci 6(a) platí souhrnně pro všechny Nároky, které příležitostně vznikají v souvislosti s touto Smlouvou nebo Službami, ať již jsou takové Nároky vzneseny ve stejnou nebo různou dobu nebo jedním či více členy Skupiny Klienta a /nebo jinými osobami. Limit v odstavci 6(a) platí také pro všechny Nároky vůči jakýmkoli jiným Společnostem skupiny Deloitte, včetně Subdodavatelů, pokud a pouze do té míry, že je právně stanoveno, že kdokoli z nich má odpovědnost podle této Smlouvy nebo Služeb či v souladu s nimi. </w:t>
      </w:r>
    </w:p>
    <w:p w14:paraId="57C86877" w14:textId="0596599E" w:rsidR="00B7025F" w:rsidRPr="00E50FBB" w:rsidRDefault="00B7025F" w:rsidP="008832E9">
      <w:pPr>
        <w:numPr>
          <w:ilvl w:val="0"/>
          <w:numId w:val="18"/>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Pokud omezení odpovědnosti pro jiné Společnosti skupiny Deloitte obsažené v článku 1 d) je z jakéhokoli důvodu neúčinné, pak omezení odpovědnosti specifikované v článku 6 se vztahují na jiné Společnosti skupiny Deloitte, jako by v tomto článku byly uvedeny. Každý Příjemce </w:t>
      </w:r>
      <w:r w:rsidR="009C6EE0">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zajistí, že žádná z jeho přidružených společností (s výjimkou společnosti, která je sama o sobě Příjemcem</w:t>
      </w:r>
      <w:r w:rsidR="009C6EE0">
        <w:rPr>
          <w:rFonts w:asciiTheme="minorHAnsi" w:hAnsiTheme="minorHAnsi" w:cstheme="minorHAnsi"/>
          <w:sz w:val="16"/>
          <w:szCs w:val="16"/>
          <w:lang w:val="cs-CZ"/>
        </w:rPr>
        <w:t xml:space="preserve"> Výstupu</w:t>
      </w:r>
      <w:r w:rsidRPr="00E50FBB">
        <w:rPr>
          <w:rFonts w:asciiTheme="minorHAnsi" w:hAnsiTheme="minorHAnsi" w:cstheme="minorHAnsi"/>
          <w:sz w:val="16"/>
          <w:szCs w:val="16"/>
          <w:lang w:val="cs-CZ"/>
        </w:rPr>
        <w:t xml:space="preserve">) nevznese žádný Nárok, ať je či není založen na tvrzení o nedbalosti Deloitte, proti jiné Společnosti skupiny Deloitte. </w:t>
      </w:r>
    </w:p>
    <w:p w14:paraId="3E5C89E0" w14:textId="77777777" w:rsidR="00B7025F" w:rsidRPr="00E50FBB" w:rsidRDefault="00B7025F" w:rsidP="008832E9">
      <w:pPr>
        <w:numPr>
          <w:ilvl w:val="0"/>
          <w:numId w:val="18"/>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Společnost Deloitte nenese odpovědnost ve vztahu k jakýmkoli produktům a službám třetích stran nebo ve vztahu ke ztrátám nebo škodám vzniklým Klientovi, členům skupiny Klienta a/nebo jiným Oprávněným osobám než těm, které jsou uvedeny v tomto článku. V případě, že Služby nebo jakákoliv jejich část jsou poskytovány Klientovi třetí stranou kromě Deloitte, společnost Deloitte nese odpovědnost pouze v souvislosti se škodami způsobenými porušením jejích povinností stanovených v tomto dokumentu a v míře, která je v souladu s tímto článkem a podle účasti Deloitte na poskytovaných Službách. </w:t>
      </w:r>
    </w:p>
    <w:p w14:paraId="7F223EBF" w14:textId="2DE82334" w:rsidR="00B7025F" w:rsidRPr="00E50FBB" w:rsidRDefault="00B7025F" w:rsidP="008832E9">
      <w:pPr>
        <w:numPr>
          <w:ilvl w:val="0"/>
          <w:numId w:val="18"/>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Za žádných okolností společnost Deloitte neponese odpovědnost v souvislosti se škodami způsobenými Příjemci </w:t>
      </w:r>
      <w:r w:rsidR="009C6EE0">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 xml:space="preserve">nebo jakoukoli třetí stranou nebo vzniklými jakýmkoli způsobem na základě nedbalosti nebo zanedbání, podvodného jednání nebo opomenutí, zkreslení nebo chyby na straně Příjemců </w:t>
      </w:r>
      <w:r w:rsidR="009C6EE0">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 xml:space="preserve">nebo jakékoli třetí strany nebo v souvislosti s nimi. </w:t>
      </w:r>
    </w:p>
    <w:p w14:paraId="5FCE2690" w14:textId="77777777" w:rsidR="00B7025F" w:rsidRPr="00E50FBB" w:rsidRDefault="00B7025F" w:rsidP="008832E9">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Záruky </w:t>
      </w:r>
    </w:p>
    <w:p w14:paraId="02AA41DA" w14:textId="006653ED" w:rsidR="00B7025F" w:rsidRPr="00DB1816" w:rsidRDefault="00B7025F" w:rsidP="008832E9">
      <w:pPr>
        <w:pStyle w:val="Odstavecseseznamem"/>
        <w:keepLines w:val="0"/>
        <w:numPr>
          <w:ilvl w:val="0"/>
          <w:numId w:val="19"/>
        </w:numPr>
        <w:tabs>
          <w:tab w:val="clear" w:pos="851"/>
        </w:tabs>
        <w:spacing w:before="0" w:after="120" w:line="120" w:lineRule="atLeast"/>
        <w:ind w:left="568" w:hanging="284"/>
        <w:rPr>
          <w:rFonts w:asciiTheme="minorHAnsi" w:eastAsia="Verdana" w:hAnsiTheme="minorHAnsi" w:cstheme="minorHAnsi"/>
          <w:sz w:val="16"/>
          <w:szCs w:val="16"/>
        </w:rPr>
      </w:pPr>
      <w:r w:rsidRPr="00E50FBB">
        <w:rPr>
          <w:rFonts w:asciiTheme="minorHAnsi" w:hAnsiTheme="minorHAnsi" w:cstheme="minorHAnsi"/>
          <w:sz w:val="16"/>
          <w:szCs w:val="16"/>
        </w:rPr>
        <w:t xml:space="preserve">Tato smlouva je smlouvou o poskytování služeb. Deloitte se zaručuje, že bude Služby poskytovat v dobré víře a s odbornou péčí a dovedností. </w:t>
      </w:r>
      <w:r w:rsidR="005A28A4" w:rsidRPr="00DB1816">
        <w:rPr>
          <w:rFonts w:asciiTheme="minorHAnsi" w:hAnsiTheme="minorHAnsi" w:cstheme="minorHAnsi"/>
          <w:sz w:val="16"/>
          <w:szCs w:val="16"/>
        </w:rPr>
        <w:t>V plné míře povolené zákonem Deloitte odmítá veškeré záruky, ať výslovné či implicitní, včetně veškerých garancí nebo záruk aplikovatelných na prodeje, specifické činnosti či dodržování zákonů. Deloitte</w:t>
      </w:r>
      <w:r w:rsidR="005A28A4" w:rsidRPr="00DB1816">
        <w:rPr>
          <w:rFonts w:asciiTheme="minorHAnsi" w:eastAsia="Verdana" w:hAnsiTheme="minorHAnsi" w:cstheme="minorHAnsi"/>
          <w:sz w:val="16"/>
          <w:szCs w:val="16"/>
        </w:rPr>
        <w:t xml:space="preserve"> odmítá veškeré záruky obchodovatelnosti či vhodnosti Služeb pro specifický účel.</w:t>
      </w:r>
    </w:p>
    <w:p w14:paraId="58ACEC03" w14:textId="77777777" w:rsidR="00B7025F" w:rsidRPr="00E50FBB" w:rsidRDefault="00B7025F" w:rsidP="008832E9">
      <w:pPr>
        <w:numPr>
          <w:ilvl w:val="0"/>
          <w:numId w:val="19"/>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Klient může požadovat odstranění jakýchkoli vad za předpokladu, že mohou být odstraněny za přiměřenou cenu a že Klient vady oznámil společnosti Deloitte písemně během třiceti dní anebo během záruční doby specifikované závaznými právními předpisy, přičemž výše uvedená doba začíná v okamžiku přijetí Výstupu a/nebo dodávek Služeb podle </w:t>
      </w:r>
      <w:proofErr w:type="gramStart"/>
      <w:r w:rsidRPr="00E50FBB">
        <w:rPr>
          <w:rFonts w:asciiTheme="minorHAnsi" w:hAnsiTheme="minorHAnsi" w:cstheme="minorHAnsi"/>
          <w:sz w:val="16"/>
          <w:szCs w:val="16"/>
          <w:lang w:val="cs-CZ"/>
        </w:rPr>
        <w:t>článku 2 a) (v) výše</w:t>
      </w:r>
      <w:proofErr w:type="gramEnd"/>
      <w:r w:rsidRPr="00E50FBB">
        <w:rPr>
          <w:rFonts w:asciiTheme="minorHAnsi" w:hAnsiTheme="minorHAnsi" w:cstheme="minorHAnsi"/>
          <w:sz w:val="16"/>
          <w:szCs w:val="16"/>
          <w:lang w:val="cs-CZ"/>
        </w:rPr>
        <w:t xml:space="preserve">. Pokud vada nemůže být napravena nebo je pokus o nápravu vady neúspěšný, Klient může zrušit Smlouvu nebo požadovat snížení Ceny za Služby. </w:t>
      </w:r>
    </w:p>
    <w:p w14:paraId="7CE7022F" w14:textId="77777777" w:rsidR="00B7025F" w:rsidRPr="00E50FBB" w:rsidRDefault="00B7025F" w:rsidP="008832E9">
      <w:pPr>
        <w:numPr>
          <w:ilvl w:val="0"/>
          <w:numId w:val="19"/>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Služby budou poskytnuty objektivním, nestranným a profesionálním způsobem, neovlivněným jakýmkoli konkrétním obchodním zájmem Deloitte či kohokoli z jeho personálu a bez návaznosti na obdržení jakýchkoli odměn od jiné strany. </w:t>
      </w:r>
    </w:p>
    <w:p w14:paraId="454BC6C6" w14:textId="47A5C2AE" w:rsidR="00B7025F" w:rsidRPr="00E50FBB" w:rsidRDefault="00B7025F" w:rsidP="008832E9">
      <w:pPr>
        <w:numPr>
          <w:ilvl w:val="0"/>
          <w:numId w:val="19"/>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Společnost Deloitte vynaloží přiměřené úsilí, aby poskytla Služby v souladu s harmonogramem, na nějž se odkazuje ve Smluvním dopise nebo je stranami jinak písemně specifikován. Všechna data stanovená Deloitte nebo specifikovaná Klientem s ohledem na Služby slouží pouze pro účely plánování a odhadu a nejsou smluvně závazná.</w:t>
      </w:r>
      <w:r w:rsidR="00F41AD7">
        <w:rPr>
          <w:rFonts w:asciiTheme="minorHAnsi" w:hAnsiTheme="minorHAnsi" w:cstheme="minorHAnsi"/>
          <w:sz w:val="16"/>
          <w:szCs w:val="16"/>
          <w:lang w:val="cs-CZ"/>
        </w:rPr>
        <w:t xml:space="preserve"> </w:t>
      </w:r>
    </w:p>
    <w:p w14:paraId="071583F5" w14:textId="77777777" w:rsidR="00B7025F" w:rsidRPr="00E50FBB" w:rsidRDefault="00B7025F" w:rsidP="008832E9">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Vyšší moc </w:t>
      </w:r>
    </w:p>
    <w:p w14:paraId="5F74024D" w14:textId="77777777" w:rsidR="00B7025F" w:rsidRPr="00E50FBB" w:rsidRDefault="00B7025F" w:rsidP="008832E9">
      <w:pPr>
        <w:pStyle w:val="Odstavecseseznamem"/>
        <w:keepLines w:val="0"/>
        <w:numPr>
          <w:ilvl w:val="0"/>
          <w:numId w:val="20"/>
        </w:numPr>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 xml:space="preserve">Žádná smluvní strana nenese odpovědnost za prodlení nebo za neplnění závazků vyplývajících z této Smlouvy způsobené okolnostmi nebo důvody mimo přiměřenou kontrolu smluvní strany, a to zejména za jednání nebo opomenutí nebo neposkytnutí součinnosti druhou stranou (včetně mj. společností nebo fyzických osob pod její kontrolou nebo jakýchkoli jejich jednotlivých vedoucích, členů dozorčí rady, zaměstnanců, jiného personálu a zástupců), za oheň nebo jinou nahodilou událost, boží zásah, epidemii, bouře, stávku nebo pracovní spor, válku nebo jiné násilí nebo jakýkoli zákon, nařízení nebo požadavek státního či správního orgánu. </w:t>
      </w:r>
    </w:p>
    <w:p w14:paraId="00893BF0" w14:textId="77777777" w:rsidR="00B7025F" w:rsidRPr="00E50FBB" w:rsidRDefault="00B7025F" w:rsidP="008832E9">
      <w:pPr>
        <w:numPr>
          <w:ilvl w:val="0"/>
          <w:numId w:val="20"/>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Je-li některé ze smluvních stran zabráněno plnit své závazky z důvodu existence vyšší moci, oznámí druhé smluvní straně tuto okolnost a druhá strana, bude-li to možné, povolí přiměřené prodloužení plnění Smluvního dopisu. Pokud okolnosti vyšší moci trvají více než 3 měsíce, kterákoli ze smluvních stran může Smlouvu ukončit v souladu s ustanovením čl. 4 výše.</w:t>
      </w:r>
    </w:p>
    <w:p w14:paraId="2BCD123F" w14:textId="77777777" w:rsidR="00B7025F" w:rsidRPr="00E50FBB" w:rsidRDefault="00B7025F" w:rsidP="008832E9">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Omezení žalob </w:t>
      </w:r>
    </w:p>
    <w:p w14:paraId="7541CD3B" w14:textId="77777777" w:rsidR="00B7025F" w:rsidRPr="00E50FBB" w:rsidRDefault="00B7025F" w:rsidP="008832E9">
      <w:pPr>
        <w:spacing w:after="120" w:line="120" w:lineRule="atLeast"/>
        <w:ind w:left="568" w:right="68"/>
        <w:jc w:val="both"/>
        <w:rPr>
          <w:rFonts w:asciiTheme="minorHAnsi" w:hAnsiTheme="minorHAnsi" w:cstheme="minorHAnsi"/>
          <w:sz w:val="16"/>
          <w:szCs w:val="16"/>
        </w:rPr>
      </w:pPr>
      <w:r w:rsidRPr="00E50FBB">
        <w:rPr>
          <w:rFonts w:asciiTheme="minorHAnsi" w:hAnsiTheme="minorHAnsi" w:cstheme="minorHAnsi"/>
          <w:sz w:val="16"/>
          <w:szCs w:val="16"/>
        </w:rPr>
        <w:t xml:space="preserve">Žádná ze smluvních stran nesmí podat žalobu, bez ohledu na formu, vztahující se ke Smlouvě nebo Službám po více než dvou letech po vzniku příčiny žaloby podle platných zákonů, pokud neplatí závazné období, které podle práva, jímž se Smlouva řídí, nemůže být omezeno. </w:t>
      </w:r>
    </w:p>
    <w:p w14:paraId="478FC408" w14:textId="77777777" w:rsidR="00B7025F" w:rsidRPr="00E50FBB" w:rsidRDefault="00B7025F" w:rsidP="008832E9">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Důvěrnost informací </w:t>
      </w:r>
    </w:p>
    <w:p w14:paraId="71604D2E" w14:textId="52457A55" w:rsidR="00B7025F" w:rsidRPr="00E50FBB" w:rsidRDefault="00B7025F" w:rsidP="008832E9">
      <w:pPr>
        <w:pStyle w:val="Odstavecseseznamem"/>
        <w:keepLines w:val="0"/>
        <w:numPr>
          <w:ilvl w:val="0"/>
          <w:numId w:val="21"/>
        </w:numPr>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Pokud v souvislosti s touto Smlouvou Deloitte nebo Klient nebo jakýkoli Příjemce</w:t>
      </w:r>
      <w:r w:rsidR="009C6EE0">
        <w:rPr>
          <w:rFonts w:asciiTheme="minorHAnsi" w:hAnsiTheme="minorHAnsi" w:cstheme="minorHAnsi"/>
          <w:sz w:val="16"/>
          <w:szCs w:val="16"/>
        </w:rPr>
        <w:t xml:space="preserve"> Výstupu</w:t>
      </w:r>
      <w:r w:rsidRPr="00E50FBB">
        <w:rPr>
          <w:rFonts w:asciiTheme="minorHAnsi" w:hAnsiTheme="minorHAnsi" w:cstheme="minorHAnsi"/>
          <w:sz w:val="16"/>
          <w:szCs w:val="16"/>
        </w:rPr>
        <w:t>, existuje-li („příj</w:t>
      </w:r>
      <w:r w:rsidR="00E867F7">
        <w:rPr>
          <w:rFonts w:asciiTheme="minorHAnsi" w:hAnsiTheme="minorHAnsi" w:cstheme="minorHAnsi"/>
          <w:sz w:val="16"/>
          <w:szCs w:val="16"/>
        </w:rPr>
        <w:t>ímající strana</w:t>
      </w:r>
      <w:r w:rsidRPr="00E50FBB">
        <w:rPr>
          <w:rFonts w:asciiTheme="minorHAnsi" w:hAnsiTheme="minorHAnsi" w:cstheme="minorHAnsi"/>
          <w:sz w:val="16"/>
          <w:szCs w:val="16"/>
        </w:rPr>
        <w:t>“) získá informace související se Službami, obchodním tajemstvím nebo jinými informacemi chráněnými vlastnickým právem, které jsou buď označeny sdělující stranou za důvěrné, nebo jsou svou povahou jasně důvěrné („Důvěrné informace“), příj</w:t>
      </w:r>
      <w:r w:rsidR="00E867F7">
        <w:rPr>
          <w:rFonts w:asciiTheme="minorHAnsi" w:hAnsiTheme="minorHAnsi" w:cstheme="minorHAnsi"/>
          <w:sz w:val="16"/>
          <w:szCs w:val="16"/>
        </w:rPr>
        <w:t>ímající strana</w:t>
      </w:r>
      <w:r w:rsidRPr="00E50FBB">
        <w:rPr>
          <w:rFonts w:asciiTheme="minorHAnsi" w:hAnsiTheme="minorHAnsi" w:cstheme="minorHAnsi"/>
          <w:sz w:val="16"/>
          <w:szCs w:val="16"/>
        </w:rPr>
        <w:t xml:space="preserve"> je nesdělí žádné třetí straně b</w:t>
      </w:r>
      <w:r w:rsidR="00245BEB">
        <w:rPr>
          <w:rFonts w:asciiTheme="minorHAnsi" w:hAnsiTheme="minorHAnsi" w:cstheme="minorHAnsi"/>
          <w:sz w:val="16"/>
          <w:szCs w:val="16"/>
        </w:rPr>
        <w:t>ez souhlasu sdělující strany, vy</w:t>
      </w:r>
      <w:r w:rsidRPr="00E50FBB">
        <w:rPr>
          <w:rFonts w:asciiTheme="minorHAnsi" w:hAnsiTheme="minorHAnsi" w:cstheme="minorHAnsi"/>
          <w:sz w:val="16"/>
          <w:szCs w:val="16"/>
        </w:rPr>
        <w:t>jma právních poradců Klienta nebo Deloitte, a to pouze pro účel získání právní rady nebo pokud to vyžaduje zákon, nařízení, právní nebo správní proces.</w:t>
      </w:r>
      <w:r w:rsidR="00F41AD7">
        <w:rPr>
          <w:rFonts w:asciiTheme="minorHAnsi" w:hAnsiTheme="minorHAnsi" w:cstheme="minorHAnsi"/>
          <w:sz w:val="16"/>
          <w:szCs w:val="16"/>
        </w:rPr>
        <w:t xml:space="preserve"> </w:t>
      </w:r>
    </w:p>
    <w:p w14:paraId="167DDB98" w14:textId="6724D741" w:rsidR="00B7025F" w:rsidRPr="00E50FBB" w:rsidRDefault="00B7025F" w:rsidP="008832E9">
      <w:pPr>
        <w:numPr>
          <w:ilvl w:val="0"/>
          <w:numId w:val="21"/>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Klient nebo Příjemce</w:t>
      </w:r>
      <w:r w:rsidR="009C6EE0">
        <w:rPr>
          <w:rFonts w:asciiTheme="minorHAnsi" w:hAnsiTheme="minorHAnsi" w:cstheme="minorHAnsi"/>
          <w:sz w:val="16"/>
          <w:szCs w:val="16"/>
          <w:lang w:val="cs-CZ"/>
        </w:rPr>
        <w:t xml:space="preserve"> Výstupu</w:t>
      </w:r>
      <w:r w:rsidRPr="00E50FBB">
        <w:rPr>
          <w:rFonts w:asciiTheme="minorHAnsi" w:hAnsiTheme="minorHAnsi" w:cstheme="minorHAnsi"/>
          <w:sz w:val="16"/>
          <w:szCs w:val="16"/>
          <w:lang w:val="cs-CZ"/>
        </w:rPr>
        <w:t>, existuje-li, tímto souhlasí, aby společnost Deloitte Důvěrné informace sdělila (i) jakékoli Společnosti skupiny Deloitte (včetně Subdodavatelů) a jejich personálu pro jakýkoli účel, včetně správy takových Důvěrných informací (včetně používání interních databází) při dodržení příslušných nařízení o ochraně soukromí a databází a (ii) právním poradcům, auditorům a pojišťovnám, nebo jak může vyžadovat zákon, nařízení, právní nebo správní proces, nebo v souladu s příslušnými profesionálními standardy, nebo v souvislosti s </w:t>
      </w:r>
      <w:r w:rsidR="00DA2169" w:rsidRPr="00DB1816">
        <w:rPr>
          <w:rFonts w:asciiTheme="minorHAnsi" w:hAnsiTheme="minorHAnsi" w:cstheme="minorHAnsi"/>
          <w:sz w:val="16"/>
          <w:szCs w:val="16"/>
          <w:lang w:val="cs-CZ"/>
        </w:rPr>
        <w:t xml:space="preserve">potenciální nebo </w:t>
      </w:r>
      <w:proofErr w:type="gramStart"/>
      <w:r w:rsidR="00DA2169" w:rsidRPr="00DB1816">
        <w:rPr>
          <w:rFonts w:asciiTheme="minorHAnsi" w:hAnsiTheme="minorHAnsi" w:cstheme="minorHAnsi"/>
          <w:sz w:val="16"/>
          <w:szCs w:val="16"/>
          <w:lang w:val="cs-CZ"/>
        </w:rPr>
        <w:t>probíhající  mediací</w:t>
      </w:r>
      <w:proofErr w:type="gramEnd"/>
      <w:r w:rsidR="00DA2169" w:rsidRPr="00DB1816">
        <w:rPr>
          <w:rFonts w:asciiTheme="minorHAnsi" w:hAnsiTheme="minorHAnsi" w:cstheme="minorHAnsi"/>
          <w:sz w:val="16"/>
          <w:szCs w:val="16"/>
          <w:lang w:val="cs-CZ"/>
        </w:rPr>
        <w:t xml:space="preserve">, arbitráží nebo soudním sporem. </w:t>
      </w:r>
      <w:r w:rsidRPr="00E50FBB">
        <w:rPr>
          <w:rFonts w:asciiTheme="minorHAnsi" w:hAnsiTheme="minorHAnsi" w:cstheme="minorHAnsi"/>
          <w:sz w:val="16"/>
          <w:szCs w:val="16"/>
          <w:lang w:val="cs-CZ"/>
        </w:rPr>
        <w:t xml:space="preserve">Není-li to zakázáno nařízeními o profesním tajemství, povinnost Deloitte zachovávat důvěrnost informací se nevztahuje na případy, kdy tyto Důvěrné informace (A) jsou nebo se stanou veřejně dostupnými (včetně mj. informací předkládaných státním orgánům a dostupné veřejnosti) jinak než v důsledku neplnění podmínek ze strany Deloitte, (B) se stanou dostupnými jakékoli Společnosti skupiny Deloitte, která není vázána mlčenlivostí, z jiného zdroje, než je sdělující strana, o níž se Deloitte domnívá, že jí není bráněno sdělovat takové Důvěrné informace společnosti Deloitte jakýmkoli závazkem zachování důvěrnosti informací, nebo (C) jsou známy jakékoli Společnosti skupiny Deloitte před získáním od sdělující strany bez závazku zachování důvěrnosti informací, nebo (D) na případy informací, které Společnost skupiny Deloitte vytvoří nezávisle na Důvěrných informacích zveřejněných sdělující stranou. </w:t>
      </w:r>
    </w:p>
    <w:p w14:paraId="755E0FB0" w14:textId="400A3644" w:rsidR="00B7025F" w:rsidRPr="00E50FBB" w:rsidRDefault="00B7025F" w:rsidP="008832E9">
      <w:pPr>
        <w:numPr>
          <w:ilvl w:val="0"/>
          <w:numId w:val="21"/>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Příjemci </w:t>
      </w:r>
      <w:r w:rsidR="009C6EE0">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 xml:space="preserve">nesdělí žádné třetí straně jakýkoli Výstup bez výslovného písemného a podmíněného souhlasu Deloitte, tj. podmíněného podepsáním dalších dokumentů požadovaných Deloitte s následujícími výjimkami: (i) sdělení je provedeno do té míry, do jaké příslušné závazné právní předpisy, nařízení, pravidla a profesionální povinnosti zakazují omezování zveřejnění informací, (ii) pokud Klient nebo jeho Přidružené podniky mají cenné papíry registrované Komisí pro cenné papíry a burzy USA a jakákoli Společnost skupiny Deloitte je auditorem Klienta nebo jeho Přidruženého podniku, kdy v takovém případe Deloitte nijak neomezuje sdělení daňového zacházení nebo daňové struktury spojené s daňovými Službami nebo transakcemi popsanými ve Smlouvě a Klient bere na vědomí, že žádný z jeho jiných poradců neuvalil nebo neuvalí omezení na takové daňové zacházení nebo daňovou strukturu, nebo (iii) v míře, v jaké jsou uplatňovány daňový zákon USA a příslušné pokyny daňové správy související s důvěrnými daňovými útočišti (nebo srovnatelné zákony nebo pokyny jiných daňových úřadů v jiné jurisdikci), kdy v takovém případě neexistují omezení zveřejnění Výstupu, a (iv) Klient může zveřejnit Výstup na základě potřeby znalosti jakýmkoli Přidruženým podnikům, které nejsou určeny ve </w:t>
      </w:r>
      <w:r w:rsidRPr="00FE7D65">
        <w:rPr>
          <w:rFonts w:asciiTheme="minorHAnsi" w:hAnsiTheme="minorHAnsi" w:cstheme="minorHAnsi"/>
          <w:sz w:val="16"/>
          <w:szCs w:val="16"/>
          <w:lang w:val="cs-CZ"/>
        </w:rPr>
        <w:t xml:space="preserve">Smluvním dopise, pouze pro informační účely, a to za </w:t>
      </w:r>
      <w:r w:rsidR="00FD59D7" w:rsidRPr="00FE7D65">
        <w:rPr>
          <w:rFonts w:asciiTheme="minorHAnsi" w:hAnsiTheme="minorHAnsi" w:cstheme="minorHAnsi"/>
          <w:sz w:val="16"/>
          <w:szCs w:val="16"/>
          <w:lang w:val="cs-CZ"/>
        </w:rPr>
        <w:t>podmínky</w:t>
      </w:r>
      <w:r w:rsidRPr="00FE7D65">
        <w:rPr>
          <w:rFonts w:asciiTheme="minorHAnsi" w:hAnsiTheme="minorHAnsi" w:cstheme="minorHAnsi"/>
          <w:sz w:val="16"/>
          <w:szCs w:val="16"/>
          <w:lang w:val="cs-CZ"/>
        </w:rPr>
        <w:t>, že se Klient zaruč</w:t>
      </w:r>
      <w:r w:rsidR="00FD59D7" w:rsidRPr="00FE7D65">
        <w:rPr>
          <w:rFonts w:asciiTheme="minorHAnsi" w:hAnsiTheme="minorHAnsi" w:cstheme="minorHAnsi"/>
          <w:sz w:val="16"/>
          <w:szCs w:val="16"/>
          <w:lang w:val="cs-CZ"/>
        </w:rPr>
        <w:t>uje</w:t>
      </w:r>
      <w:r w:rsidRPr="00FE7D65">
        <w:rPr>
          <w:rFonts w:asciiTheme="minorHAnsi" w:hAnsiTheme="minorHAnsi" w:cstheme="minorHAnsi"/>
          <w:sz w:val="16"/>
          <w:szCs w:val="16"/>
          <w:lang w:val="cs-CZ"/>
        </w:rPr>
        <w:t xml:space="preserve">, že </w:t>
      </w:r>
      <w:r w:rsidR="00FD59D7" w:rsidRPr="00601829">
        <w:rPr>
          <w:rFonts w:asciiTheme="minorHAnsi" w:hAnsiTheme="minorHAnsi" w:cstheme="minorHAnsi"/>
          <w:sz w:val="16"/>
          <w:szCs w:val="16"/>
          <w:lang w:val="cs-CZ"/>
        </w:rPr>
        <w:t xml:space="preserve">tyto Přidružené podniky </w:t>
      </w:r>
      <w:r w:rsidR="00FD59D7" w:rsidRPr="00FE7D65">
        <w:rPr>
          <w:rFonts w:asciiTheme="minorHAnsi" w:hAnsiTheme="minorHAnsi" w:cstheme="minorHAnsi"/>
          <w:sz w:val="16"/>
          <w:szCs w:val="16"/>
          <w:lang w:val="cs-CZ"/>
        </w:rPr>
        <w:t>budou</w:t>
      </w:r>
      <w:r w:rsidRPr="00FE7D65">
        <w:rPr>
          <w:rFonts w:asciiTheme="minorHAnsi" w:hAnsiTheme="minorHAnsi" w:cstheme="minorHAnsi"/>
          <w:sz w:val="16"/>
          <w:szCs w:val="16"/>
          <w:lang w:val="cs-CZ"/>
        </w:rPr>
        <w:t xml:space="preserve"> uchovávat takový Výstup v tajnosti a </w:t>
      </w:r>
      <w:r w:rsidR="00FD59D7" w:rsidRPr="00FE7D65">
        <w:rPr>
          <w:rFonts w:asciiTheme="minorHAnsi" w:hAnsiTheme="minorHAnsi" w:cstheme="minorHAnsi"/>
          <w:sz w:val="16"/>
          <w:szCs w:val="16"/>
          <w:lang w:val="cs-CZ"/>
        </w:rPr>
        <w:t xml:space="preserve">neuplatní </w:t>
      </w:r>
      <w:r w:rsidRPr="00FE7D65">
        <w:rPr>
          <w:rFonts w:asciiTheme="minorHAnsi" w:hAnsiTheme="minorHAnsi" w:cstheme="minorHAnsi"/>
          <w:sz w:val="16"/>
          <w:szCs w:val="16"/>
          <w:lang w:val="cs-CZ"/>
        </w:rPr>
        <w:t>žádný</w:t>
      </w:r>
      <w:r w:rsidRPr="00E50FBB">
        <w:rPr>
          <w:rFonts w:asciiTheme="minorHAnsi" w:hAnsiTheme="minorHAnsi" w:cstheme="minorHAnsi"/>
          <w:sz w:val="16"/>
          <w:szCs w:val="16"/>
          <w:lang w:val="cs-CZ"/>
        </w:rPr>
        <w:t xml:space="preserve"> nárok jakéhokoli druhu vůči Společnosti skupiny Deloitte ve vztahu k Výstupu nebo Službám. </w:t>
      </w:r>
    </w:p>
    <w:p w14:paraId="348CB8FE" w14:textId="519F9B16" w:rsidR="00B7025F" w:rsidRPr="00E50FBB" w:rsidRDefault="00B7025F" w:rsidP="008832E9">
      <w:pPr>
        <w:numPr>
          <w:ilvl w:val="0"/>
          <w:numId w:val="21"/>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Klient a/nebo Příjemce </w:t>
      </w:r>
      <w:r w:rsidR="009C6EE0">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použije Výstup pouze pro účely specifikované ve Smlouvě nebo Výstupu, přičemž není zejména oprávněn</w:t>
      </w:r>
      <w:r w:rsidRPr="00E50FBB" w:rsidDel="00D9489A">
        <w:rPr>
          <w:rFonts w:asciiTheme="minorHAnsi" w:hAnsiTheme="minorHAnsi" w:cstheme="minorHAnsi"/>
          <w:sz w:val="16"/>
          <w:szCs w:val="16"/>
          <w:lang w:val="cs-CZ"/>
        </w:rPr>
        <w:t xml:space="preserve"> </w:t>
      </w:r>
      <w:r w:rsidRPr="00E50FBB">
        <w:rPr>
          <w:rFonts w:asciiTheme="minorHAnsi" w:hAnsiTheme="minorHAnsi" w:cstheme="minorHAnsi"/>
          <w:sz w:val="16"/>
          <w:szCs w:val="16"/>
          <w:lang w:val="cs-CZ"/>
        </w:rPr>
        <w:t xml:space="preserve">bez předchozího písemného souhlasu (včetně souhlasu prostřednictvím emailu) Deloitte použít jakýkoli Výstup v souvislosti s obchodními rozhodnutími jakékoli třetí strany nebo pro reklamní účely. Veškeré Služby jsou určeny pouze ve prospěch členů skupiny Klienta určených ve Smlouvě nebo Výstupech nebo ve prospěch Oprávněných osob, které mají právo spoléhat se na Výstup. Pouhé přijetí Výstupu jakýmikoli jinými osobami nebude důvodem pro vznik jakékoliv povinnosti, právního vztahu nebo současné či budoucí odpovědnosti mezi takovými osobami a společností Deloitte. Jsou-li tedy poskytnuty kopie Výstupu (nebo informací z něj odvozených) jiným osobám podle výjimek uvedených výše, stane se tak výhradně na základě toho, že Deloitte nebude mít jakoukoliv povinnost či odpovědnost vůči Třetím osobám, či dalším osobám, které získají výše uvedené. </w:t>
      </w:r>
    </w:p>
    <w:p w14:paraId="15A1AB0A" w14:textId="04CD9434" w:rsidR="00B7025F" w:rsidRPr="00E50FBB" w:rsidRDefault="00B7025F" w:rsidP="008832E9">
      <w:pPr>
        <w:numPr>
          <w:ilvl w:val="0"/>
          <w:numId w:val="21"/>
        </w:numPr>
        <w:spacing w:after="120" w:line="120" w:lineRule="atLeast"/>
        <w:ind w:left="568" w:hanging="284"/>
        <w:jc w:val="both"/>
        <w:rPr>
          <w:rFonts w:asciiTheme="minorHAnsi" w:hAnsiTheme="minorHAnsi" w:cstheme="minorHAnsi"/>
          <w:sz w:val="16"/>
          <w:szCs w:val="16"/>
          <w:shd w:val="clear" w:color="auto" w:fill="FFFFFF"/>
          <w:lang w:val="cs-CZ"/>
        </w:rPr>
      </w:pPr>
      <w:r w:rsidRPr="00E50FBB">
        <w:rPr>
          <w:rFonts w:asciiTheme="minorHAnsi" w:hAnsiTheme="minorHAnsi" w:cstheme="minorHAnsi"/>
          <w:sz w:val="16"/>
          <w:szCs w:val="16"/>
          <w:shd w:val="clear" w:color="auto" w:fill="FFFFFF"/>
          <w:lang w:val="cs-CZ"/>
        </w:rPr>
        <w:t>Při poskytování Služeb může jakákoli Společnost skupiny Deloitte nebo jakýkoli Subdodavatel sdělovat nebo projednávat záležitosti Klienta s ostatními poradci Klienta a může tak učinit, aniž by byla vázána povinností mlčenlivosti. Deloitte, žádná Společnost skupiny Deloitte ani žádný Subdodavatel neponese odpovědnost za jakékoli následné použití těchto informací těmito poradci. Klient by neměl předpokládat, že informace, které Deloitte, Společnost skupiny Deloitte nebo Subdodavatel má nebo získal během poskytování Služeb, budou těmto dalším poradcům sděleny.</w:t>
      </w:r>
      <w:r w:rsidR="00F41AD7">
        <w:rPr>
          <w:rFonts w:asciiTheme="minorHAnsi" w:hAnsiTheme="minorHAnsi" w:cstheme="minorHAnsi"/>
          <w:sz w:val="16"/>
          <w:szCs w:val="16"/>
          <w:shd w:val="clear" w:color="auto" w:fill="FFFFFF"/>
          <w:lang w:val="cs-CZ"/>
        </w:rPr>
        <w:t xml:space="preserve"> </w:t>
      </w:r>
    </w:p>
    <w:p w14:paraId="762B4C09" w14:textId="77777777" w:rsidR="00B7025F" w:rsidRPr="00E50FBB" w:rsidRDefault="00B7025F" w:rsidP="008832E9">
      <w:pPr>
        <w:numPr>
          <w:ilvl w:val="0"/>
          <w:numId w:val="21"/>
        </w:numPr>
        <w:spacing w:after="120" w:line="120" w:lineRule="atLeast"/>
        <w:ind w:left="568" w:right="70" w:hanging="284"/>
        <w:jc w:val="both"/>
        <w:rPr>
          <w:rFonts w:asciiTheme="minorHAnsi" w:hAnsiTheme="minorHAnsi" w:cstheme="minorHAnsi"/>
          <w:sz w:val="16"/>
          <w:szCs w:val="16"/>
          <w:shd w:val="clear" w:color="auto" w:fill="FFFFFF"/>
          <w:lang w:val="cs-CZ"/>
        </w:rPr>
      </w:pPr>
      <w:r w:rsidRPr="00E50FBB">
        <w:rPr>
          <w:rFonts w:asciiTheme="minorHAnsi" w:hAnsiTheme="minorHAnsi" w:cstheme="minorHAnsi"/>
          <w:sz w:val="16"/>
          <w:szCs w:val="16"/>
          <w:shd w:val="clear" w:color="auto" w:fill="FFFFFF"/>
          <w:lang w:val="cs-CZ"/>
        </w:rPr>
        <w:t xml:space="preserve">Klient souhlasí, že nahradí jakékoli náklady, které mohou vzniknout jakékoli Společnosti skupiny Deloitte nebo jakémukoli Subdodavateli při plnění právních, profesionálních nebo regulačních nařízení o zveřejnění informací souvisejících se Službami a stanovených v jakémkoli řízení nebo regulatorním procesu, to se netýká významných nároků nebo řízení proti Společnosti skupiny Deloitte nebo Subdodavateli, a to za předpokladu, že je Klient informován okamžitě, a je-li to rozumně nebo právně možné, ještě před zveřejněním. </w:t>
      </w:r>
    </w:p>
    <w:p w14:paraId="7610F851" w14:textId="4CEBCCB7" w:rsidR="00B7025F" w:rsidRPr="00E50FBB" w:rsidRDefault="00B7025F" w:rsidP="008832E9">
      <w:pPr>
        <w:numPr>
          <w:ilvl w:val="0"/>
          <w:numId w:val="21"/>
        </w:numPr>
        <w:spacing w:after="120" w:line="120" w:lineRule="atLeast"/>
        <w:ind w:left="568" w:right="70" w:hanging="284"/>
        <w:jc w:val="both"/>
        <w:rPr>
          <w:rFonts w:asciiTheme="minorHAnsi" w:hAnsiTheme="minorHAnsi" w:cstheme="minorHAnsi"/>
          <w:sz w:val="16"/>
          <w:szCs w:val="16"/>
          <w:shd w:val="clear" w:color="auto" w:fill="FFFFFF"/>
          <w:lang w:val="cs-CZ"/>
        </w:rPr>
      </w:pPr>
      <w:r w:rsidRPr="00E50FBB">
        <w:rPr>
          <w:rFonts w:asciiTheme="minorHAnsi" w:hAnsiTheme="minorHAnsi" w:cstheme="minorHAnsi"/>
          <w:sz w:val="16"/>
          <w:szCs w:val="16"/>
          <w:shd w:val="clear" w:color="auto" w:fill="FFFFFF"/>
          <w:lang w:val="cs-CZ"/>
        </w:rPr>
        <w:t>Klient je oprávněn požadovat, aby určité části Výstupu byly staženy od Příjemců</w:t>
      </w:r>
      <w:r w:rsidR="009C6EE0">
        <w:rPr>
          <w:rFonts w:asciiTheme="minorHAnsi" w:hAnsiTheme="minorHAnsi" w:cstheme="minorHAnsi"/>
          <w:sz w:val="16"/>
          <w:szCs w:val="16"/>
          <w:shd w:val="clear" w:color="auto" w:fill="FFFFFF"/>
          <w:lang w:val="cs-CZ"/>
        </w:rPr>
        <w:t xml:space="preserve"> Výstupu</w:t>
      </w:r>
      <w:r w:rsidRPr="00E50FBB">
        <w:rPr>
          <w:rFonts w:asciiTheme="minorHAnsi" w:hAnsiTheme="minorHAnsi" w:cstheme="minorHAnsi"/>
          <w:sz w:val="16"/>
          <w:szCs w:val="16"/>
          <w:shd w:val="clear" w:color="auto" w:fill="FFFFFF"/>
          <w:lang w:val="cs-CZ"/>
        </w:rPr>
        <w:t xml:space="preserve">, kterým byl Výstup vydán na základě Smlouvy za podmínky, že Klient informuje takové Příjemce </w:t>
      </w:r>
      <w:r w:rsidR="009C6EE0">
        <w:rPr>
          <w:rFonts w:asciiTheme="minorHAnsi" w:hAnsiTheme="minorHAnsi" w:cstheme="minorHAnsi"/>
          <w:sz w:val="16"/>
          <w:szCs w:val="16"/>
          <w:shd w:val="clear" w:color="auto" w:fill="FFFFFF"/>
          <w:lang w:val="cs-CZ"/>
        </w:rPr>
        <w:t xml:space="preserve">Výstupu </w:t>
      </w:r>
      <w:r w:rsidRPr="00E50FBB">
        <w:rPr>
          <w:rFonts w:asciiTheme="minorHAnsi" w:hAnsiTheme="minorHAnsi" w:cstheme="minorHAnsi"/>
          <w:sz w:val="16"/>
          <w:szCs w:val="16"/>
          <w:shd w:val="clear" w:color="auto" w:fill="FFFFFF"/>
          <w:lang w:val="cs-CZ"/>
        </w:rPr>
        <w:t xml:space="preserve">o skutečnosti, že vydaný Výstup byl editován nebo je neúplný. </w:t>
      </w:r>
    </w:p>
    <w:p w14:paraId="04132FCB" w14:textId="77777777" w:rsidR="00B7025F" w:rsidRPr="00E50FBB" w:rsidRDefault="00B7025F" w:rsidP="008832E9">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Platnost a výklad </w:t>
      </w:r>
    </w:p>
    <w:p w14:paraId="6F1D35AA" w14:textId="77777777" w:rsidR="00B7025F" w:rsidRPr="00E50FBB" w:rsidRDefault="00B7025F" w:rsidP="008832E9">
      <w:pPr>
        <w:pStyle w:val="Odstavecseseznamem"/>
        <w:keepLines w:val="0"/>
        <w:numPr>
          <w:ilvl w:val="0"/>
          <w:numId w:val="22"/>
        </w:numPr>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 xml:space="preserve">Jakákoli ustanovení Smlouvy, která mají výslovně či z povahy věci přetrvat zánik nebo ukončení této Smlouvy, zůstávají v platnosti i po takovémto zániku nebo ukončení, včetně mj. ustanovení, jimiž se řídí doba platnosti a ukončení Smlouvy, vlastnictví majetku Deloitte, odpovědnost za škody, záruky, omezení žalob, důvěrnost informací, odškodnění, rozhodné právo a řešení sporů. </w:t>
      </w:r>
    </w:p>
    <w:p w14:paraId="4EA0C06E" w14:textId="77777777" w:rsidR="00B7025F" w:rsidRPr="00E50FBB" w:rsidRDefault="00B7025F" w:rsidP="008832E9">
      <w:pPr>
        <w:numPr>
          <w:ilvl w:val="0"/>
          <w:numId w:val="22"/>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Pokud příslušný soud nebo jiný kompetentní úřad shledá jakékoli ustanovení této smlouvy nevymahatelným jako celek nebo jako část, takové ustanovení nebo příslušná část neovlivní ostatní ustanovení Smlouvy, ale toto nevymahatelné ustanovení bude považováno za upravené v rozsahu nezbytném k tomu, aby mohlo být považováno za vymahatelné, při zachování nejvyšší přípustné míry záměru smluvních stran stanoveného v tomto dokumentu. Všechna ustanovení této Smlouvy platí v nejširším rozsahu zákona, ať je to ve smlouvě, stanovách, občanskoprávním sporu (včetně, bez omezení, nedbalosti) nebo jinak, bez ohledu na selhání základního účelu nápravy. </w:t>
      </w:r>
    </w:p>
    <w:p w14:paraId="0803179A" w14:textId="50D10F83" w:rsidR="00B7025F" w:rsidRPr="00E50FBB" w:rsidRDefault="00B7025F" w:rsidP="008832E9">
      <w:pPr>
        <w:numPr>
          <w:ilvl w:val="0"/>
          <w:numId w:val="22"/>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Společnosti skupiny Deloitte jiné než Deloitte </w:t>
      </w:r>
      <w:r w:rsidR="00167186">
        <w:rPr>
          <w:rFonts w:asciiTheme="minorHAnsi" w:hAnsiTheme="minorHAnsi" w:cstheme="minorHAnsi"/>
          <w:sz w:val="16"/>
          <w:szCs w:val="16"/>
          <w:lang w:val="cs-CZ"/>
        </w:rPr>
        <w:t>jsou považovány</w:t>
      </w:r>
      <w:r w:rsidRPr="00E50FBB">
        <w:rPr>
          <w:rFonts w:asciiTheme="minorHAnsi" w:hAnsiTheme="minorHAnsi" w:cstheme="minorHAnsi"/>
          <w:sz w:val="16"/>
          <w:szCs w:val="16"/>
          <w:lang w:val="cs-CZ"/>
        </w:rPr>
        <w:t xml:space="preserve"> za třetí strany, v jejichž prospěch je tato Smlouva sjednána. Každá taková Společnost skupiny Deloitte, včetně Subdodavatele, je oprávněn</w:t>
      </w:r>
      <w:r w:rsidR="00167186">
        <w:rPr>
          <w:rFonts w:asciiTheme="minorHAnsi" w:hAnsiTheme="minorHAnsi" w:cstheme="minorHAnsi"/>
          <w:sz w:val="16"/>
          <w:szCs w:val="16"/>
          <w:lang w:val="cs-CZ"/>
        </w:rPr>
        <w:t>a</w:t>
      </w:r>
      <w:r w:rsidRPr="00E50FBB">
        <w:rPr>
          <w:rFonts w:asciiTheme="minorHAnsi" w:hAnsiTheme="minorHAnsi" w:cstheme="minorHAnsi"/>
          <w:sz w:val="16"/>
          <w:szCs w:val="16"/>
          <w:lang w:val="cs-CZ"/>
        </w:rPr>
        <w:t xml:space="preserve"> vymáhat ustanovení této Smlouvy. </w:t>
      </w:r>
    </w:p>
    <w:p w14:paraId="79AD280A" w14:textId="77777777" w:rsidR="00B7025F" w:rsidRPr="00E50FBB" w:rsidRDefault="00B7025F" w:rsidP="008832E9">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Postoupení </w:t>
      </w:r>
    </w:p>
    <w:p w14:paraId="02E5F136" w14:textId="0CBA21C4" w:rsidR="00B7025F" w:rsidRPr="00E50FBB" w:rsidRDefault="00B7025F" w:rsidP="008832E9">
      <w:pPr>
        <w:spacing w:after="120" w:line="120" w:lineRule="atLeast"/>
        <w:ind w:left="568" w:right="68"/>
        <w:jc w:val="both"/>
        <w:rPr>
          <w:rFonts w:asciiTheme="minorHAnsi" w:hAnsiTheme="minorHAnsi" w:cstheme="minorHAnsi"/>
          <w:sz w:val="16"/>
          <w:szCs w:val="16"/>
        </w:rPr>
      </w:pPr>
      <w:r w:rsidRPr="00E50FBB">
        <w:rPr>
          <w:rFonts w:asciiTheme="minorHAnsi" w:hAnsiTheme="minorHAnsi" w:cstheme="minorHAnsi"/>
          <w:sz w:val="16"/>
          <w:szCs w:val="16"/>
        </w:rPr>
        <w:t xml:space="preserve">Bez předchozího výslovného písemného souhlasu druhé strany (včetně souhlasu prostřednictvím emailu) nesmí žádná strana tuto Smlouvu postoupit či jinak převést, vyjma toho, že společnost Deloitte smí </w:t>
      </w:r>
      <w:r w:rsidR="00DA2169" w:rsidRPr="00DB1816">
        <w:rPr>
          <w:rFonts w:asciiTheme="minorHAnsi" w:hAnsiTheme="minorHAnsi" w:cstheme="minorHAnsi"/>
          <w:sz w:val="16"/>
          <w:szCs w:val="16"/>
        </w:rPr>
        <w:t xml:space="preserve">po předchozím řádném upozornění Klienta </w:t>
      </w:r>
      <w:r w:rsidRPr="00E50FBB">
        <w:rPr>
          <w:rFonts w:asciiTheme="minorHAnsi" w:hAnsiTheme="minorHAnsi" w:cstheme="minorHAnsi"/>
          <w:sz w:val="16"/>
          <w:szCs w:val="16"/>
        </w:rPr>
        <w:t xml:space="preserve">postoupit jakákoli ze svých práv a závazků dle této Smlouvy jakékoliv Společnosti skupiny Deloitte či svému právnímu nástupci. Žádná ze stran přímo ani nepřímo neschválí postoupení či převod jakéhokoli Nároku vůči druhé straně vyplývající z této Smlouvy třetí straně, to však neplatí v případě, že je vydáno rozhodnutí o úpadku této druhé strany. </w:t>
      </w:r>
    </w:p>
    <w:p w14:paraId="4A63558C" w14:textId="77777777" w:rsidR="00B7025F" w:rsidRPr="00E50FBB" w:rsidRDefault="00B7025F" w:rsidP="008832E9">
      <w:pPr>
        <w:numPr>
          <w:ilvl w:val="0"/>
          <w:numId w:val="12"/>
        </w:numPr>
        <w:spacing w:after="120" w:line="120" w:lineRule="atLeast"/>
        <w:ind w:left="568" w:right="70" w:hanging="284"/>
        <w:jc w:val="both"/>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Odškodnění </w:t>
      </w:r>
    </w:p>
    <w:p w14:paraId="5FD5A6CA" w14:textId="77777777" w:rsidR="00B7025F" w:rsidRPr="00E50FBB" w:rsidRDefault="00B7025F" w:rsidP="008832E9">
      <w:pPr>
        <w:pStyle w:val="Odstavecseseznamem"/>
        <w:keepLines w:val="0"/>
        <w:numPr>
          <w:ilvl w:val="0"/>
          <w:numId w:val="23"/>
        </w:numPr>
        <w:tabs>
          <w:tab w:val="clear" w:pos="851"/>
        </w:tabs>
        <w:spacing w:before="0" w:after="120" w:line="120" w:lineRule="atLeast"/>
        <w:ind w:left="568" w:right="70" w:hanging="284"/>
        <w:rPr>
          <w:rFonts w:asciiTheme="minorHAnsi" w:hAnsiTheme="minorHAnsi" w:cstheme="minorHAnsi"/>
          <w:spacing w:val="-3"/>
          <w:sz w:val="16"/>
          <w:szCs w:val="16"/>
        </w:rPr>
      </w:pPr>
      <w:r w:rsidRPr="00E50FBB">
        <w:rPr>
          <w:rFonts w:asciiTheme="minorHAnsi" w:hAnsiTheme="minorHAnsi" w:cstheme="minorHAnsi"/>
          <w:spacing w:val="-3"/>
          <w:sz w:val="16"/>
          <w:szCs w:val="16"/>
        </w:rPr>
        <w:t xml:space="preserve">Klient odškodní Deloitte a jiné Společnosti skupiny Deloitte za veškeré Nároky třetích stran (jak jsou definovány v ustanovení 6 výše), s výjimkou případů, kdy je pravomocným rozhodnutím soudu stanoveno, že škoda vznikla primárně úmyslným pochybením Deloitte nebo jiné Společnosti skupiny Deloitte. </w:t>
      </w:r>
    </w:p>
    <w:p w14:paraId="226C7671" w14:textId="77777777" w:rsidR="00B7025F" w:rsidRPr="00E50FBB" w:rsidRDefault="00B7025F" w:rsidP="008832E9">
      <w:pPr>
        <w:numPr>
          <w:ilvl w:val="0"/>
          <w:numId w:val="23"/>
        </w:numPr>
        <w:spacing w:after="120" w:line="120" w:lineRule="atLeast"/>
        <w:ind w:left="568" w:right="70" w:hanging="284"/>
        <w:jc w:val="both"/>
        <w:rPr>
          <w:rFonts w:asciiTheme="minorHAnsi" w:hAnsiTheme="minorHAnsi" w:cstheme="minorHAnsi"/>
          <w:spacing w:val="-3"/>
          <w:sz w:val="16"/>
          <w:szCs w:val="16"/>
          <w:lang w:val="cs-CZ"/>
        </w:rPr>
      </w:pPr>
      <w:r w:rsidRPr="00E50FBB">
        <w:rPr>
          <w:rFonts w:asciiTheme="minorHAnsi" w:hAnsiTheme="minorHAnsi" w:cstheme="minorHAnsi"/>
          <w:spacing w:val="-3"/>
          <w:sz w:val="16"/>
          <w:szCs w:val="16"/>
          <w:lang w:val="cs-CZ"/>
        </w:rPr>
        <w:t xml:space="preserve">Za okolností, kdy jsou všechna nebo část ustanovení tohoto článku podle pravomocného rozhodnutí soudu považována za neplatná, celková odpovědnost Deloitte a všech dalších Společností skupiny Deloitte (včetně příslušného personálu) za veškeré Nároky nepřekročí částku, která odpovídá míře jejich zavinění v poměru k veškerým dalším příčinám vzniku takového Nároku. </w:t>
      </w:r>
    </w:p>
    <w:p w14:paraId="7FF5442D" w14:textId="77777777" w:rsidR="00B7025F" w:rsidRPr="00E50FBB" w:rsidRDefault="00B7025F" w:rsidP="008832E9">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Elektronická komunikace </w:t>
      </w:r>
    </w:p>
    <w:p w14:paraId="7F456EA6" w14:textId="77777777" w:rsidR="00B7025F" w:rsidRPr="00E50FBB" w:rsidRDefault="00B7025F" w:rsidP="008832E9">
      <w:pPr>
        <w:pStyle w:val="Odstavecseseznamem"/>
        <w:keepLines w:val="0"/>
        <w:numPr>
          <w:ilvl w:val="0"/>
          <w:numId w:val="24"/>
        </w:numPr>
        <w:tabs>
          <w:tab w:val="clear" w:pos="851"/>
        </w:tabs>
        <w:spacing w:before="0" w:after="120" w:line="120" w:lineRule="atLeast"/>
        <w:ind w:left="568" w:hanging="284"/>
        <w:rPr>
          <w:rFonts w:asciiTheme="minorHAnsi" w:hAnsiTheme="minorHAnsi" w:cstheme="minorHAnsi"/>
          <w:sz w:val="16"/>
          <w:szCs w:val="16"/>
        </w:rPr>
      </w:pPr>
      <w:r w:rsidRPr="00E50FBB">
        <w:rPr>
          <w:rFonts w:asciiTheme="minorHAnsi" w:hAnsiTheme="minorHAnsi" w:cstheme="minorHAnsi"/>
          <w:sz w:val="16"/>
          <w:szCs w:val="16"/>
          <w:shd w:val="clear" w:color="auto" w:fill="FFFFFF"/>
        </w:rPr>
        <w:t xml:space="preserve">Pokud není stanoveno písemně jinak, jsou Společnosti skupiny Deloitte a skupina Klienta oprávněny používat řádně adresované faxy, emaily a hlasovou komunikaci pro citlivé i běžné dokumenty a další komunikaci o této Smlouvě i další komunikační prostředky používané nebo přijaté druhou stranou. Společnosti skupiny Deloitte mohou také komunikovat elektronicky s příslušnými úřady, je-li to pro poskytované Služby relevantní. </w:t>
      </w:r>
    </w:p>
    <w:p w14:paraId="25B2E3B2" w14:textId="77777777" w:rsidR="00B7025F" w:rsidRPr="00E50FBB" w:rsidRDefault="00B7025F" w:rsidP="008832E9">
      <w:pPr>
        <w:numPr>
          <w:ilvl w:val="0"/>
          <w:numId w:val="24"/>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Personál společnosti Deloitte může potřebovat přístup k vlastním systémům a údajům společnosti Deloitte. Klient souhlasí, že povolí (na základě vlastního rozhodnutí) personálu Deloitte používat místní síť Deloitte (Local Area Network) v prostorách Klienta a/nebo poskytne personálu Deloitte analogové vytáčené spojení nebo internetové připojení, aby se mohl hardware společnosti Deloitte (zpravidla přenosné počítače společnosti Deloitte používané členy týmu pracujícího na zakázce) připojit k síti Deloitte pomocí internetového komunikačního zařízení Klienta nebo skupiny Klienta. Klient dále bere na vědomí, že aby mohl personál Deloitte pracovat účelně a efektivně z prostor Klienta a skupiny Klienta, může potřebovat přístup k elektronickým datům Klienta nebo skupiny Klienta a také k internetovým komunikačním zařízením Klienta nebo skupiny Klienta pro účely Smlouvy. Deloitte bude mít přístup k interním sítím, aplikacím, datům nebo dalším systémům Klienta anebo skupiny Klienta pouze pomocí koncového hardwaru nebo softwaru, který Klient společnosti Deloitte pro tento účel zpřístupní. Přístup k systémům Klienta a skupiny Klienta ze strany personálu Deloitte bude umožněn pouze za takových podmínek, které Klient z vlastního rozhodnutí považuje za nezbytné na ochranu bezpečnosti a integrity svých dat a systémů za předpokladu, že jsou předem oznámeny a jsou pro Deloitte přijatelné. </w:t>
      </w:r>
    </w:p>
    <w:p w14:paraId="5AD5F436" w14:textId="77777777" w:rsidR="00B7025F" w:rsidRPr="00E50FBB" w:rsidRDefault="00B7025F" w:rsidP="008832E9">
      <w:pPr>
        <w:numPr>
          <w:ilvl w:val="0"/>
          <w:numId w:val="24"/>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Obě strany berou na vědomí, že internet je ze své povahy nechráněný prostředek komunikace a že data mohou být znehodnocena, sdělení nejsou vždy doručována okamžitě (nebo vůbec) a že jiné metody komunikace mohou být vhodnější. Elektronická sdělení mohou být též napadena viry. Každá strana bude odpovědná za ochranu svých vlastních systémů a zájmů a v maximálním rozsahu dovoleném zákonem nebude z žádného titulu (smlouva, občanskoprávní delikt či jinak) odpovědná druhé straně za jakoukoli ztrátu, škodu nebo opomenutí jakýmkoli způsobem vyplývající z používání internetu nebo z přístupu jakýchkoli zaměstnanců Společnosti skupiny Deloitte k sítím, aplikacím, elektronickým datům a jiným systémům Skupiny Klienta. </w:t>
      </w:r>
    </w:p>
    <w:p w14:paraId="5D069F92" w14:textId="77777777" w:rsidR="00B7025F" w:rsidRPr="00E50FBB" w:rsidRDefault="00B7025F" w:rsidP="008832E9">
      <w:pPr>
        <w:pStyle w:val="Odstavecseseznamem"/>
        <w:keepNext/>
        <w:keepLines w:val="0"/>
        <w:numPr>
          <w:ilvl w:val="0"/>
          <w:numId w:val="12"/>
        </w:numPr>
        <w:tabs>
          <w:tab w:val="clear" w:pos="851"/>
        </w:tabs>
        <w:spacing w:before="0" w:after="120" w:line="120" w:lineRule="atLeast"/>
        <w:ind w:left="568" w:hanging="284"/>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Úplná smlouva, úprava a účinnost </w:t>
      </w:r>
    </w:p>
    <w:p w14:paraId="622489B7" w14:textId="77777777" w:rsidR="00B7025F" w:rsidRPr="00E50FBB" w:rsidRDefault="00B7025F" w:rsidP="008832E9">
      <w:pPr>
        <w:spacing w:after="120" w:line="120" w:lineRule="atLeast"/>
        <w:ind w:left="568"/>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Žádná skutečnost diskutovaná před podpisem této Smlouvy</w:t>
      </w:r>
      <w:r w:rsidRPr="00E50FBB" w:rsidDel="00227A07">
        <w:rPr>
          <w:rFonts w:asciiTheme="minorHAnsi" w:hAnsiTheme="minorHAnsi" w:cstheme="minorHAnsi"/>
          <w:sz w:val="16"/>
          <w:szCs w:val="16"/>
          <w:lang w:val="cs-CZ"/>
        </w:rPr>
        <w:t xml:space="preserve"> </w:t>
      </w:r>
      <w:r w:rsidRPr="00E50FBB">
        <w:rPr>
          <w:rFonts w:asciiTheme="minorHAnsi" w:hAnsiTheme="minorHAnsi" w:cstheme="minorHAnsi"/>
          <w:sz w:val="16"/>
          <w:szCs w:val="16"/>
          <w:lang w:val="cs-CZ"/>
        </w:rPr>
        <w:t xml:space="preserve">netvoří, ani nepředstavuje část, této Smlouvy s výjimkou případů zopakovaných v této Smlouvě. Tato Smlouva nahrazuje veškeré předchozí dohody, ujednání nebo sdělení, písemná (včetně emailových) nebo ústní, která se vztahují k jejímu předmětu. Pokud to tato Smlouva výslovně neumožňuje, žádné změny této Smlouvy nebudou účinné, pokud nejsou vyhotoveny písemně (jinak jsou neplatné) a podepsány oprávněnými zástupci obou stran, nicméně rozsah Služeb však může být měněn na základě dohody stran v písemné formě, včetně e-mailu či faxu. Pokud společnost Deloitte již zahájila práce (např. sběr informací, plánování projektu nebo poskytnutí počáteční rady) na žádost Klienta, pak Klient souhlasí, že tato Smlouva je účinná k datu zahájení takovéto práce, a to buďto s retrospektivním účinkem, je-li příslušnými zákony dovolen, nebo v důsledku vzájemného uznání stran, že celá tato Smlouva představuje písemné potvrzení ústního ujednání uzavřeného mezi stranami při zahájení takové práce. </w:t>
      </w:r>
    </w:p>
    <w:p w14:paraId="2EC41DFA" w14:textId="77777777" w:rsidR="00B7025F" w:rsidRPr="00E50FBB" w:rsidRDefault="00B7025F" w:rsidP="008832E9">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Ostatní klienti </w:t>
      </w:r>
    </w:p>
    <w:p w14:paraId="34BEDA43" w14:textId="77777777" w:rsidR="00B7025F" w:rsidRPr="008832E9" w:rsidRDefault="00B7025F" w:rsidP="008832E9">
      <w:pPr>
        <w:keepNext/>
        <w:spacing w:after="120" w:line="120" w:lineRule="atLeast"/>
        <w:ind w:left="568" w:right="68"/>
        <w:jc w:val="both"/>
        <w:outlineLvl w:val="0"/>
        <w:rPr>
          <w:rFonts w:asciiTheme="minorHAnsi" w:hAnsiTheme="minorHAnsi" w:cstheme="minorHAnsi"/>
          <w:sz w:val="16"/>
          <w:szCs w:val="16"/>
          <w:lang w:val="cs-CZ"/>
        </w:rPr>
      </w:pPr>
      <w:r w:rsidRPr="008832E9">
        <w:rPr>
          <w:rFonts w:asciiTheme="minorHAnsi" w:hAnsiTheme="minorHAnsi" w:cstheme="minorHAnsi"/>
          <w:sz w:val="16"/>
          <w:szCs w:val="16"/>
          <w:lang w:val="cs-CZ"/>
        </w:rPr>
        <w:t xml:space="preserve">Žádné ustanovení této Smlouvy nezakazuje ani neomezuje Společnosti skupiny Deloitte, včetně společnosti Deloitte, v tom, aby poskytovaly služby jiným klientům (včetně služeb, které jsou stejné nebo podobné Službám) nebo používaly či sdílely pro jakýkoli účel znalosti, zkušenosti nebo dovednosti používané při poskytování Služeb, získané při něm nebo z něj vyplývající (v souladu s povinnostmi zachování o důvěrnosti informací uvedenými v ustanovení 10), a to i v případě, že zájmy těchto ostatních klientů konkurují zájmům skupiny Klienta. Rovněž v rozsahu, v jakém společnost Deloitte má informace, které získala pod podmínkou zachování mlčenlivosti jiného klienta či jiné třetí strany, není společnost Deloitte povinna sdělit jakémukoli členovi Skupiny Klienta nebo je použít ve prospěch Skupiny Klienta, i když by mohly být ke Službám relevantní. </w:t>
      </w:r>
    </w:p>
    <w:p w14:paraId="18C7F909" w14:textId="77777777" w:rsidR="00B7025F" w:rsidRPr="00E50FBB" w:rsidRDefault="00B7025F" w:rsidP="008832E9">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Personál </w:t>
      </w:r>
    </w:p>
    <w:p w14:paraId="4AA986B1" w14:textId="77777777" w:rsidR="00B7025F" w:rsidRPr="00E50FBB" w:rsidRDefault="00B7025F" w:rsidP="008832E9">
      <w:p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a)</w:t>
      </w:r>
      <w:r w:rsidRPr="00E50FBB">
        <w:rPr>
          <w:rFonts w:asciiTheme="minorHAnsi" w:hAnsiTheme="minorHAnsi" w:cstheme="minorHAnsi"/>
          <w:sz w:val="16"/>
          <w:szCs w:val="16"/>
        </w:rPr>
        <w:tab/>
        <w:t xml:space="preserve">Pokud Služby poskytované Klientovi nevyžadují stálou přítomnost personálu Deloitte, společnost Deloitte si vyhrazuje právo používat personál Deloitte pro další činnosti. </w:t>
      </w:r>
    </w:p>
    <w:p w14:paraId="64A10585" w14:textId="77777777" w:rsidR="00B7025F" w:rsidRPr="00E50FBB" w:rsidRDefault="00B7025F" w:rsidP="008832E9">
      <w:pPr>
        <w:pStyle w:val="Odstavecseseznamem"/>
        <w:keepLines w:val="0"/>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b)</w:t>
      </w:r>
      <w:r w:rsidRPr="00E50FBB">
        <w:rPr>
          <w:rFonts w:asciiTheme="minorHAnsi" w:hAnsiTheme="minorHAnsi" w:cstheme="minorHAnsi"/>
          <w:sz w:val="16"/>
          <w:szCs w:val="16"/>
        </w:rPr>
        <w:tab/>
        <w:t xml:space="preserve">Deloitte si vyhrazuje právo nahradit jakýkoli personál Deloitte. </w:t>
      </w:r>
    </w:p>
    <w:p w14:paraId="105DBBA0" w14:textId="440AD327" w:rsidR="00B7025F" w:rsidRPr="00E50FBB" w:rsidRDefault="00B7025F" w:rsidP="008832E9">
      <w:pPr>
        <w:numPr>
          <w:ilvl w:val="0"/>
          <w:numId w:val="23"/>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Personál Deloitte zůstane neustále pod dohledem a kon</w:t>
      </w:r>
      <w:r w:rsidR="00167186">
        <w:rPr>
          <w:rFonts w:asciiTheme="minorHAnsi" w:hAnsiTheme="minorHAnsi" w:cstheme="minorHAnsi"/>
          <w:sz w:val="16"/>
          <w:szCs w:val="16"/>
          <w:lang w:val="cs-CZ"/>
        </w:rPr>
        <w:t>trolou Deloitte, pokud Klientovi</w:t>
      </w:r>
      <w:r w:rsidRPr="00E50FBB">
        <w:rPr>
          <w:rFonts w:asciiTheme="minorHAnsi" w:hAnsiTheme="minorHAnsi" w:cstheme="minorHAnsi"/>
          <w:sz w:val="16"/>
          <w:szCs w:val="16"/>
          <w:lang w:val="cs-CZ"/>
        </w:rPr>
        <w:t xml:space="preserve"> nebude uděleno pověření dávat personálu Deloitte pokyny. V takovém případě Deloitte nenese žádnou odpovědnost za poskytování Služeb, které nebyly schváleny a/nebo revidovány společností Deloitte. </w:t>
      </w:r>
    </w:p>
    <w:p w14:paraId="76F3A9B6" w14:textId="77777777" w:rsidR="00B7025F" w:rsidRPr="00E50FBB" w:rsidRDefault="00B7025F" w:rsidP="008832E9">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Likvidace pracovní dokumentace </w:t>
      </w:r>
    </w:p>
    <w:p w14:paraId="7CC29AFB" w14:textId="5289BDBA" w:rsidR="00B7025F" w:rsidRPr="00E50FBB" w:rsidRDefault="00B7025F" w:rsidP="008832E9">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Deloitte si může ponechat kopie dokumentů a složek poskytnutých skupinou Klienta v souvislosti se Službami pro účely splnění příslušných zákonů, profesionálních standardů </w:t>
      </w:r>
      <w:proofErr w:type="gramStart"/>
      <w:r w:rsidRPr="00E50FBB">
        <w:rPr>
          <w:rFonts w:asciiTheme="minorHAnsi" w:hAnsiTheme="minorHAnsi" w:cstheme="minorHAnsi"/>
          <w:sz w:val="16"/>
          <w:szCs w:val="16"/>
        </w:rPr>
        <w:t>a</w:t>
      </w:r>
      <w:proofErr w:type="gramEnd"/>
      <w:r w:rsidRPr="00E50FBB">
        <w:rPr>
          <w:rFonts w:asciiTheme="minorHAnsi" w:hAnsiTheme="minorHAnsi" w:cstheme="minorHAnsi"/>
          <w:sz w:val="16"/>
          <w:szCs w:val="16"/>
        </w:rPr>
        <w:t xml:space="preserve"> interních postupů pro uchovávání </w:t>
      </w:r>
      <w:r w:rsidRPr="008832E9">
        <w:rPr>
          <w:rFonts w:asciiTheme="minorHAnsi" w:hAnsiTheme="minorHAnsi" w:cstheme="minorHAnsi"/>
          <w:sz w:val="16"/>
          <w:szCs w:val="16"/>
          <w:lang w:val="cs-CZ"/>
        </w:rPr>
        <w:t>údajů</w:t>
      </w:r>
      <w:r w:rsidRPr="00E50FBB">
        <w:rPr>
          <w:rFonts w:asciiTheme="minorHAnsi" w:hAnsiTheme="minorHAnsi" w:cstheme="minorHAnsi"/>
          <w:sz w:val="16"/>
          <w:szCs w:val="16"/>
        </w:rPr>
        <w:t xml:space="preserve">. </w:t>
      </w:r>
      <w:r w:rsidR="008679E9">
        <w:rPr>
          <w:rFonts w:asciiTheme="minorHAnsi" w:hAnsiTheme="minorHAnsi" w:cstheme="minorHAnsi"/>
          <w:sz w:val="16"/>
          <w:szCs w:val="16"/>
        </w:rPr>
        <w:t>D</w:t>
      </w:r>
      <w:r w:rsidRPr="00E50FBB">
        <w:rPr>
          <w:rFonts w:asciiTheme="minorHAnsi" w:hAnsiTheme="minorHAnsi" w:cstheme="minorHAnsi"/>
          <w:sz w:val="16"/>
          <w:szCs w:val="16"/>
        </w:rPr>
        <w:t>okumentace</w:t>
      </w:r>
      <w:r w:rsidR="008679E9">
        <w:rPr>
          <w:rFonts w:asciiTheme="minorHAnsi" w:hAnsiTheme="minorHAnsi" w:cstheme="minorHAnsi"/>
          <w:sz w:val="16"/>
          <w:szCs w:val="16"/>
        </w:rPr>
        <w:t xml:space="preserve"> související se zakázkou</w:t>
      </w:r>
      <w:r w:rsidRPr="00E50FBB">
        <w:rPr>
          <w:rFonts w:asciiTheme="minorHAnsi" w:hAnsiTheme="minorHAnsi" w:cstheme="minorHAnsi"/>
          <w:sz w:val="16"/>
          <w:szCs w:val="16"/>
        </w:rPr>
        <w:t>, včetně Osobních údajů, tak jak jsou definovány v článku</w:t>
      </w:r>
      <w:r w:rsidRPr="008679E9">
        <w:rPr>
          <w:rFonts w:asciiTheme="minorHAnsi" w:hAnsiTheme="minorHAnsi" w:cstheme="minorHAnsi"/>
          <w:sz w:val="16"/>
          <w:szCs w:val="16"/>
        </w:rPr>
        <w:t xml:space="preserve"> 21</w:t>
      </w:r>
      <w:r w:rsidRPr="00E50FBB">
        <w:rPr>
          <w:rFonts w:asciiTheme="minorHAnsi" w:hAnsiTheme="minorHAnsi" w:cstheme="minorHAnsi"/>
          <w:sz w:val="16"/>
          <w:szCs w:val="16"/>
        </w:rPr>
        <w:t xml:space="preserve"> těchto Obchodních podmínek, a Důvěrných informací, bude uchovávána po dobu 10 let následujících po skončení tohoto smluvního vztahu nebo po dobu, která je v souladu s požadavky právních předpisů proti legalizaci výnosů z trestné činnosti nebo jiných příslušených právních předpisů.</w:t>
      </w:r>
    </w:p>
    <w:p w14:paraId="07634E0B" w14:textId="77777777" w:rsidR="00B7025F" w:rsidRPr="00E50FBB" w:rsidRDefault="00B7025F" w:rsidP="008832E9">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Marketing a použití jména </w:t>
      </w:r>
    </w:p>
    <w:p w14:paraId="07B5A1C4" w14:textId="77777777" w:rsidR="00B7025F" w:rsidRPr="00E50FBB" w:rsidRDefault="00B7025F" w:rsidP="008832E9">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Společnosti skupiny Deloitte ani skupina Klienta nebudou používat ochrannou známku, označení služeb, logo a/nebo firmu druhé strany v externích publikačních materiálech bez předchozího písemného souhlasu druhé strany (včetně souhlasu prostřednictvím emailu). Společnosti skupiny Deloitte mohou odkazovat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jména skupiny Klienta a poskytování Služeb a mohou používat logo Klienta (i) v marketingu, publikačních materiálech a nabídkách pro doložení svých zkušeností a (ii) v interních datových systémech. </w:t>
      </w:r>
    </w:p>
    <w:p w14:paraId="5E0B7E4B" w14:textId="77777777" w:rsidR="00B7025F" w:rsidRPr="00E50FBB" w:rsidRDefault="00B7025F" w:rsidP="008832E9">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Sestavy, modely a nástroje </w:t>
      </w:r>
    </w:p>
    <w:p w14:paraId="79F8F5E2" w14:textId="77777777" w:rsidR="00B7025F" w:rsidRPr="00E50FBB" w:rsidRDefault="00B7025F" w:rsidP="008832E9">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V průběhu poskytování Služeb může Deloitte odkazovat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sestavy, modely nebo nástroje (společně „Modely“), které Klient poskytuje společnosti </w:t>
      </w:r>
      <w:r w:rsidRPr="008832E9">
        <w:rPr>
          <w:rFonts w:asciiTheme="minorHAnsi" w:hAnsiTheme="minorHAnsi" w:cstheme="minorHAnsi"/>
          <w:sz w:val="16"/>
          <w:szCs w:val="16"/>
          <w:lang w:val="cs-CZ"/>
        </w:rPr>
        <w:t>Deloitte</w:t>
      </w:r>
      <w:r w:rsidRPr="00E50FBB">
        <w:rPr>
          <w:rFonts w:asciiTheme="minorHAnsi" w:hAnsiTheme="minorHAnsi" w:cstheme="minorHAnsi"/>
          <w:sz w:val="16"/>
          <w:szCs w:val="16"/>
        </w:rPr>
        <w:t xml:space="preserve"> nebo u nichž Klient společnost Deloitte žádá, aby z nich vycházela („Modely Klienta“), nebo které Deloitte jinak používá v souvislosti se Službami („Modely Deloitte“). Veškeré Modely mají omezení a nemusí produkovat validní výsledky pro všechny možné kombinace vstupních dat s tím, že skutečné a potenciální chyby nemusí být zjištěny. Není-li ve Smlouvě výslovně sjednáno jinak: (i) společnost Deloitte nebude odpovědná za revizi, testování nebo detekci chyb v Modelech Klienta, (ii) žádný Model Deloitte nebude poskytnut nebo používán jako Výstup, a (iii) pokud Deloitte poskytne jakýkoli Model Deloitte pro vysvětlení nebo ilustraci Výstupu, Deloitte neposkytuje tvrzení, záruku nebo závazek (výslovný či implicitní) jakéhokoli druhu o přesnosti, udržitelnosti a přiměřenosti takového Modelu Deloitte pro vlastní potřeby Klienta. </w:t>
      </w:r>
    </w:p>
    <w:p w14:paraId="5EFDDBDB" w14:textId="119E6F5A" w:rsidR="00B7025F" w:rsidRPr="00E50FBB" w:rsidRDefault="00B7025F" w:rsidP="008832E9">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Ochrana </w:t>
      </w:r>
      <w:r w:rsidR="00EA44E1">
        <w:rPr>
          <w:rFonts w:asciiTheme="minorHAnsi" w:hAnsiTheme="minorHAnsi" w:cstheme="minorHAnsi"/>
          <w:b/>
          <w:kern w:val="28"/>
          <w:sz w:val="16"/>
          <w:szCs w:val="16"/>
        </w:rPr>
        <w:t>osobních údajů</w:t>
      </w:r>
    </w:p>
    <w:p w14:paraId="03F61C25" w14:textId="76FE6B6D" w:rsidR="009A4B11" w:rsidRPr="00DB1816" w:rsidRDefault="00EA44E1">
      <w:pPr>
        <w:pStyle w:val="Odstavecseseznamem"/>
        <w:keepNext/>
        <w:keepLines w:val="0"/>
        <w:numPr>
          <w:ilvl w:val="0"/>
          <w:numId w:val="25"/>
        </w:numPr>
        <w:tabs>
          <w:tab w:val="clear" w:pos="851"/>
        </w:tabs>
        <w:spacing w:before="0" w:after="120" w:line="120" w:lineRule="atLeast"/>
        <w:ind w:left="568" w:hanging="284"/>
        <w:outlineLvl w:val="0"/>
        <w:rPr>
          <w:rFonts w:asciiTheme="minorHAnsi" w:hAnsiTheme="minorHAnsi"/>
          <w:b/>
          <w:sz w:val="16"/>
          <w:szCs w:val="16"/>
        </w:rPr>
      </w:pPr>
      <w:r>
        <w:rPr>
          <w:rFonts w:asciiTheme="minorHAnsi" w:hAnsiTheme="minorHAnsi"/>
          <w:b/>
          <w:sz w:val="16"/>
          <w:szCs w:val="16"/>
        </w:rPr>
        <w:t>Definice</w:t>
      </w:r>
    </w:p>
    <w:p w14:paraId="29935005" w14:textId="7AECE202" w:rsidR="00B7025F" w:rsidRPr="00E50FBB" w:rsidRDefault="00B7025F" w:rsidP="00753841">
      <w:pPr>
        <w:keepNext/>
        <w:spacing w:after="120" w:line="120" w:lineRule="atLeast"/>
        <w:ind w:left="568" w:right="70" w:hanging="284"/>
        <w:jc w:val="both"/>
        <w:outlineLvl w:val="0"/>
        <w:rPr>
          <w:rFonts w:asciiTheme="minorHAnsi" w:hAnsiTheme="minorHAnsi" w:cstheme="minorHAnsi"/>
          <w:sz w:val="16"/>
          <w:szCs w:val="16"/>
          <w:lang w:val="cs-CZ"/>
        </w:rPr>
      </w:pPr>
      <w:r w:rsidRPr="00E50FBB">
        <w:rPr>
          <w:rFonts w:asciiTheme="minorHAnsi" w:hAnsiTheme="minorHAnsi" w:cstheme="minorHAnsi"/>
          <w:sz w:val="16"/>
          <w:szCs w:val="16"/>
          <w:lang w:val="cs-CZ"/>
        </w:rPr>
        <w:tab/>
      </w:r>
      <w:r w:rsidR="0048008E" w:rsidRPr="00716314">
        <w:rPr>
          <w:rFonts w:asciiTheme="minorHAnsi" w:hAnsiTheme="minorHAnsi" w:cstheme="minorHAnsi"/>
          <w:sz w:val="16"/>
          <w:szCs w:val="16"/>
          <w:lang w:val="cs-CZ"/>
        </w:rPr>
        <w:t>„Osobní údaje“ označují jakékoliv osobní údaje</w:t>
      </w:r>
      <w:r w:rsidR="003A3D9F" w:rsidRPr="00716314">
        <w:rPr>
          <w:rFonts w:asciiTheme="minorHAnsi" w:hAnsiTheme="minorHAnsi" w:cstheme="minorHAnsi"/>
          <w:sz w:val="16"/>
          <w:szCs w:val="16"/>
          <w:lang w:val="cs-CZ"/>
        </w:rPr>
        <w:t>,</w:t>
      </w:r>
      <w:r w:rsidR="0048008E" w:rsidRPr="00716314">
        <w:rPr>
          <w:rFonts w:asciiTheme="minorHAnsi" w:hAnsiTheme="minorHAnsi" w:cstheme="minorHAnsi"/>
          <w:sz w:val="16"/>
          <w:szCs w:val="16"/>
          <w:lang w:val="cs-CZ"/>
        </w:rPr>
        <w:t xml:space="preserve"> jak jsou definovány Právními předpisy v oblasti ochrany osobních údajů, které jsou zpracovávány v rámci poskytování Služeb nebo v souvislosti s poskytováním Služeb</w:t>
      </w:r>
      <w:r w:rsidR="0048008E">
        <w:rPr>
          <w:rFonts w:asciiTheme="minorHAnsi" w:hAnsiTheme="minorHAnsi" w:cstheme="minorHAnsi"/>
          <w:sz w:val="16"/>
          <w:szCs w:val="16"/>
          <w:lang w:val="cs-CZ"/>
        </w:rPr>
        <w:t xml:space="preserve">. </w:t>
      </w:r>
    </w:p>
    <w:p w14:paraId="137188B1" w14:textId="6CA762BB" w:rsidR="00B7025F" w:rsidRPr="00E50FBB" w:rsidRDefault="00B7025F" w:rsidP="00DB1816">
      <w:pPr>
        <w:spacing w:after="120" w:line="120" w:lineRule="atLeast"/>
        <w:ind w:left="568" w:right="70" w:hanging="284"/>
        <w:jc w:val="both"/>
        <w:outlineLvl w:val="0"/>
        <w:rPr>
          <w:rFonts w:asciiTheme="minorHAnsi" w:hAnsiTheme="minorHAnsi" w:cstheme="minorHAnsi"/>
          <w:sz w:val="16"/>
          <w:szCs w:val="16"/>
          <w:lang w:val="cs-CZ"/>
        </w:rPr>
      </w:pPr>
      <w:r w:rsidRPr="00E50FBB">
        <w:rPr>
          <w:rFonts w:asciiTheme="minorHAnsi" w:hAnsiTheme="minorHAnsi" w:cstheme="minorHAnsi"/>
          <w:sz w:val="16"/>
          <w:szCs w:val="16"/>
          <w:lang w:val="cs-CZ"/>
        </w:rPr>
        <w:tab/>
      </w:r>
      <w:r w:rsidR="00EA44E1" w:rsidRPr="00EA44E1">
        <w:rPr>
          <w:rFonts w:asciiTheme="minorHAnsi" w:hAnsiTheme="minorHAnsi" w:cstheme="minorHAnsi"/>
          <w:sz w:val="16"/>
          <w:szCs w:val="16"/>
          <w:lang w:val="cs-CZ"/>
        </w:rPr>
        <w:t>„</w:t>
      </w:r>
      <w:r w:rsidR="00EA44E1" w:rsidRPr="00DB1816">
        <w:rPr>
          <w:rFonts w:asciiTheme="minorHAnsi" w:hAnsiTheme="minorHAnsi" w:cstheme="minorHAnsi"/>
          <w:sz w:val="16"/>
          <w:szCs w:val="16"/>
          <w:lang w:val="cs-CZ"/>
        </w:rPr>
        <w:t>Právní předpisy v oblasti ochrany osobních údajů</w:t>
      </w:r>
      <w:r w:rsidR="00EA44E1" w:rsidRPr="00EA44E1">
        <w:rPr>
          <w:rFonts w:asciiTheme="minorHAnsi" w:hAnsiTheme="minorHAnsi" w:cstheme="minorHAnsi"/>
          <w:sz w:val="16"/>
          <w:szCs w:val="16"/>
          <w:lang w:val="cs-CZ"/>
        </w:rPr>
        <w:t xml:space="preserve">“ označují následující právní předpisy v rozsahu, v jakém se v příslušném okamžiku aplikují: (a) vnitrostátní právní předpisy implementující Směrnici 95/46/ES o ochraně fyzických osob v souvislosti se zpracováním osobních údajů a o volném pohybu těchto údajů, jakož i Směrnici 2002/58/ES o soukromí a elektronických komunikacích; (b) Obecné nařízení o ochraně osobních údajů ((EU) 2016/679) a (c) jakékoliv další vnitrostátní právní předpisy týkající se ochrany </w:t>
      </w:r>
      <w:r w:rsidR="003F0CBB">
        <w:rPr>
          <w:rFonts w:asciiTheme="minorHAnsi" w:hAnsiTheme="minorHAnsi" w:cstheme="minorHAnsi"/>
          <w:sz w:val="16"/>
          <w:szCs w:val="16"/>
          <w:lang w:val="cs-CZ"/>
        </w:rPr>
        <w:t>o</w:t>
      </w:r>
      <w:r w:rsidR="00EA44E1" w:rsidRPr="00EA44E1">
        <w:rPr>
          <w:rFonts w:asciiTheme="minorHAnsi" w:hAnsiTheme="minorHAnsi" w:cstheme="minorHAnsi"/>
          <w:sz w:val="16"/>
          <w:szCs w:val="16"/>
          <w:lang w:val="cs-CZ"/>
        </w:rPr>
        <w:t xml:space="preserve">sobních údajů. </w:t>
      </w:r>
    </w:p>
    <w:p w14:paraId="44578A1B" w14:textId="719DECBA" w:rsidR="0048008E" w:rsidRDefault="0048008E" w:rsidP="00DB1816">
      <w:pPr>
        <w:pStyle w:val="Odstavecseseznamem"/>
        <w:spacing w:before="0" w:after="120" w:line="120" w:lineRule="atLeast"/>
        <w:ind w:left="568" w:right="70" w:hanging="284"/>
        <w:outlineLvl w:val="0"/>
        <w:rPr>
          <w:rFonts w:asciiTheme="minorHAnsi" w:hAnsiTheme="minorHAnsi" w:cstheme="minorHAnsi"/>
          <w:sz w:val="16"/>
          <w:szCs w:val="16"/>
        </w:rPr>
      </w:pPr>
      <w:r>
        <w:rPr>
          <w:rFonts w:asciiTheme="minorHAnsi" w:hAnsiTheme="minorHAnsi" w:cstheme="minorHAnsi"/>
          <w:sz w:val="16"/>
          <w:szCs w:val="16"/>
        </w:rPr>
        <w:tab/>
      </w:r>
      <w:r w:rsidRPr="0048008E">
        <w:rPr>
          <w:rFonts w:asciiTheme="minorHAnsi" w:hAnsiTheme="minorHAnsi" w:cstheme="minorHAnsi"/>
          <w:sz w:val="16"/>
          <w:szCs w:val="16"/>
        </w:rPr>
        <w:t xml:space="preserve"> </w:t>
      </w:r>
      <w:r w:rsidRPr="00EA44E1">
        <w:rPr>
          <w:rFonts w:asciiTheme="minorHAnsi" w:hAnsiTheme="minorHAnsi" w:cstheme="minorHAnsi"/>
          <w:sz w:val="16"/>
          <w:szCs w:val="16"/>
        </w:rPr>
        <w:t>„</w:t>
      </w:r>
      <w:r w:rsidRPr="00B80E8D">
        <w:rPr>
          <w:rFonts w:asciiTheme="minorHAnsi" w:hAnsiTheme="minorHAnsi" w:cstheme="minorHAnsi"/>
          <w:sz w:val="16"/>
          <w:szCs w:val="16"/>
        </w:rPr>
        <w:t>Příjemce</w:t>
      </w:r>
      <w:r w:rsidR="009C6EE0">
        <w:rPr>
          <w:rFonts w:asciiTheme="minorHAnsi" w:hAnsiTheme="minorHAnsi" w:cstheme="minorHAnsi"/>
          <w:sz w:val="16"/>
          <w:szCs w:val="16"/>
        </w:rPr>
        <w:t xml:space="preserve"> </w:t>
      </w:r>
      <w:r w:rsidR="00E867F7">
        <w:rPr>
          <w:rFonts w:asciiTheme="minorHAnsi" w:hAnsiTheme="minorHAnsi" w:cstheme="minorHAnsi"/>
          <w:sz w:val="16"/>
          <w:szCs w:val="16"/>
        </w:rPr>
        <w:t>Osobních údajů</w:t>
      </w:r>
      <w:r w:rsidRPr="00EA44E1">
        <w:rPr>
          <w:rFonts w:asciiTheme="minorHAnsi" w:hAnsiTheme="minorHAnsi" w:cstheme="minorHAnsi"/>
          <w:sz w:val="16"/>
          <w:szCs w:val="16"/>
        </w:rPr>
        <w:t xml:space="preserve">“ označuje fyzickou nebo právnickou osobu, orgán veřejné moci, agenturu nebo jiný subjekt, jemuž jsou </w:t>
      </w:r>
      <w:r w:rsidR="00F94990">
        <w:rPr>
          <w:rFonts w:asciiTheme="minorHAnsi" w:hAnsiTheme="minorHAnsi" w:cstheme="minorHAnsi"/>
          <w:sz w:val="16"/>
          <w:szCs w:val="16"/>
        </w:rPr>
        <w:t>o</w:t>
      </w:r>
      <w:r w:rsidRPr="00EA44E1">
        <w:rPr>
          <w:rFonts w:asciiTheme="minorHAnsi" w:hAnsiTheme="minorHAnsi" w:cstheme="minorHAnsi"/>
          <w:sz w:val="16"/>
          <w:szCs w:val="16"/>
        </w:rPr>
        <w:t>sobní údaje poskytnuty</w:t>
      </w:r>
      <w:r w:rsidR="003A3D9F">
        <w:rPr>
          <w:rFonts w:asciiTheme="minorHAnsi" w:hAnsiTheme="minorHAnsi" w:cstheme="minorHAnsi"/>
          <w:sz w:val="16"/>
          <w:szCs w:val="16"/>
        </w:rPr>
        <w:t>,</w:t>
      </w:r>
      <w:r w:rsidRPr="00EA44E1">
        <w:rPr>
          <w:rFonts w:asciiTheme="minorHAnsi" w:hAnsiTheme="minorHAnsi" w:cstheme="minorHAnsi"/>
          <w:sz w:val="16"/>
          <w:szCs w:val="16"/>
        </w:rPr>
        <w:t xml:space="preserve"> jak je dále </w:t>
      </w:r>
      <w:r w:rsidRPr="00EA44E1">
        <w:rPr>
          <w:rFonts w:asciiTheme="minorHAnsi" w:hAnsiTheme="minorHAnsi" w:cstheme="minorHAnsi"/>
          <w:bCs/>
          <w:sz w:val="16"/>
          <w:szCs w:val="16"/>
        </w:rPr>
        <w:t xml:space="preserve">definován </w:t>
      </w:r>
      <w:r w:rsidRPr="00EA44E1">
        <w:rPr>
          <w:rFonts w:asciiTheme="minorHAnsi" w:hAnsiTheme="minorHAnsi" w:cstheme="minorHAnsi"/>
          <w:sz w:val="16"/>
          <w:szCs w:val="16"/>
        </w:rPr>
        <w:t>Právními předpisy v oblasti ochrany osobních údajů</w:t>
      </w:r>
      <w:r>
        <w:rPr>
          <w:rFonts w:asciiTheme="minorHAnsi" w:hAnsiTheme="minorHAnsi" w:cstheme="minorHAnsi"/>
          <w:sz w:val="16"/>
          <w:szCs w:val="16"/>
        </w:rPr>
        <w:t>.</w:t>
      </w:r>
    </w:p>
    <w:p w14:paraId="0AEBDADF" w14:textId="6985F631" w:rsidR="00EA44E1" w:rsidRDefault="0048008E" w:rsidP="00DB1816">
      <w:pPr>
        <w:pStyle w:val="Odstavecseseznamem"/>
        <w:spacing w:before="0" w:after="120" w:line="120" w:lineRule="atLeast"/>
        <w:ind w:left="568" w:right="70" w:hanging="1"/>
        <w:outlineLvl w:val="0"/>
        <w:rPr>
          <w:rFonts w:asciiTheme="minorHAnsi" w:hAnsiTheme="minorHAnsi" w:cstheme="minorHAnsi"/>
          <w:sz w:val="16"/>
          <w:szCs w:val="16"/>
        </w:rPr>
      </w:pPr>
      <w:r>
        <w:rPr>
          <w:rFonts w:asciiTheme="minorHAnsi" w:hAnsiTheme="minorHAnsi" w:cstheme="minorHAnsi"/>
          <w:sz w:val="16"/>
          <w:szCs w:val="16"/>
        </w:rPr>
        <w:t>„</w:t>
      </w:r>
      <w:r w:rsidRPr="00B80E8D">
        <w:rPr>
          <w:rFonts w:asciiTheme="minorHAnsi" w:hAnsiTheme="minorHAnsi" w:cstheme="minorHAnsi"/>
          <w:sz w:val="16"/>
          <w:szCs w:val="16"/>
        </w:rPr>
        <w:t>Správce</w:t>
      </w:r>
      <w:r w:rsidR="00392568">
        <w:rPr>
          <w:rFonts w:asciiTheme="minorHAnsi" w:hAnsiTheme="minorHAnsi" w:cstheme="minorHAnsi"/>
          <w:sz w:val="16"/>
          <w:szCs w:val="16"/>
        </w:rPr>
        <w:t xml:space="preserve"> Osobních údajů</w:t>
      </w:r>
      <w:r w:rsidRPr="00EA44E1">
        <w:rPr>
          <w:rFonts w:asciiTheme="minorHAnsi" w:hAnsiTheme="minorHAnsi" w:cstheme="minorHAnsi"/>
          <w:sz w:val="16"/>
          <w:szCs w:val="16"/>
        </w:rPr>
        <w:t>“ označuje správce nebo správce údajů</w:t>
      </w:r>
      <w:r w:rsidR="003A3D9F">
        <w:rPr>
          <w:rFonts w:asciiTheme="minorHAnsi" w:hAnsiTheme="minorHAnsi" w:cstheme="minorHAnsi"/>
          <w:sz w:val="16"/>
          <w:szCs w:val="16"/>
        </w:rPr>
        <w:t>,</w:t>
      </w:r>
      <w:r w:rsidRPr="00EA44E1">
        <w:rPr>
          <w:rFonts w:asciiTheme="minorHAnsi" w:hAnsiTheme="minorHAnsi" w:cstheme="minorHAnsi"/>
          <w:sz w:val="16"/>
          <w:szCs w:val="16"/>
        </w:rPr>
        <w:t xml:space="preserve"> jak je definován Právními předpisy v oblasti ochrany osobních údajů</w:t>
      </w:r>
      <w:r w:rsidR="00EA44E1" w:rsidRPr="00EA44E1">
        <w:rPr>
          <w:rFonts w:asciiTheme="minorHAnsi" w:hAnsiTheme="minorHAnsi" w:cstheme="minorHAnsi"/>
          <w:sz w:val="16"/>
          <w:szCs w:val="16"/>
        </w:rPr>
        <w:t>.</w:t>
      </w:r>
    </w:p>
    <w:p w14:paraId="4B752A02" w14:textId="5DBA5BD0" w:rsidR="00EA44E1" w:rsidRPr="00DB1816" w:rsidRDefault="0048008E" w:rsidP="00DB1816">
      <w:pPr>
        <w:pStyle w:val="Odstavecseseznamem"/>
        <w:keepLines w:val="0"/>
        <w:tabs>
          <w:tab w:val="clear" w:pos="851"/>
          <w:tab w:val="left" w:pos="709"/>
        </w:tabs>
        <w:spacing w:before="0" w:after="120" w:line="120" w:lineRule="atLeast"/>
        <w:ind w:left="567" w:right="70" w:hanging="283"/>
        <w:outlineLvl w:val="0"/>
        <w:rPr>
          <w:rFonts w:asciiTheme="minorHAnsi" w:hAnsiTheme="minorHAnsi" w:cstheme="minorHAnsi"/>
          <w:sz w:val="16"/>
          <w:szCs w:val="16"/>
        </w:rPr>
      </w:pPr>
      <w:r>
        <w:rPr>
          <w:rFonts w:asciiTheme="minorHAnsi" w:hAnsiTheme="minorHAnsi" w:cstheme="minorHAnsi"/>
          <w:sz w:val="16"/>
          <w:szCs w:val="16"/>
        </w:rPr>
        <w:tab/>
      </w:r>
      <w:r w:rsidRPr="00EA44E1">
        <w:rPr>
          <w:rFonts w:asciiTheme="minorHAnsi" w:hAnsiTheme="minorHAnsi" w:cstheme="minorHAnsi"/>
          <w:sz w:val="16"/>
          <w:szCs w:val="16"/>
        </w:rPr>
        <w:t>„</w:t>
      </w:r>
      <w:r w:rsidRPr="00B80E8D">
        <w:rPr>
          <w:rFonts w:asciiTheme="minorHAnsi" w:hAnsiTheme="minorHAnsi" w:cstheme="minorHAnsi"/>
          <w:sz w:val="16"/>
          <w:szCs w:val="16"/>
        </w:rPr>
        <w:t>Zpracovatel</w:t>
      </w:r>
      <w:r w:rsidR="00392568">
        <w:rPr>
          <w:rFonts w:asciiTheme="minorHAnsi" w:hAnsiTheme="minorHAnsi" w:cstheme="minorHAnsi"/>
          <w:sz w:val="16"/>
          <w:szCs w:val="16"/>
        </w:rPr>
        <w:t xml:space="preserve"> Osobních údajů</w:t>
      </w:r>
      <w:r w:rsidRPr="00EA44E1">
        <w:rPr>
          <w:rFonts w:asciiTheme="minorHAnsi" w:hAnsiTheme="minorHAnsi" w:cstheme="minorHAnsi"/>
          <w:sz w:val="16"/>
          <w:szCs w:val="16"/>
        </w:rPr>
        <w:t>“ označuje zpracovatele nebo zpracovatele</w:t>
      </w:r>
      <w:r w:rsidR="00E867F7">
        <w:rPr>
          <w:rFonts w:asciiTheme="minorHAnsi" w:hAnsiTheme="minorHAnsi" w:cstheme="minorHAnsi"/>
          <w:sz w:val="16"/>
          <w:szCs w:val="16"/>
        </w:rPr>
        <w:t xml:space="preserve"> údajů</w:t>
      </w:r>
      <w:r w:rsidR="003A3D9F">
        <w:rPr>
          <w:rFonts w:asciiTheme="minorHAnsi" w:hAnsiTheme="minorHAnsi" w:cstheme="minorHAnsi"/>
          <w:sz w:val="16"/>
          <w:szCs w:val="16"/>
        </w:rPr>
        <w:t>,</w:t>
      </w:r>
      <w:r w:rsidRPr="00EA44E1">
        <w:rPr>
          <w:rFonts w:asciiTheme="minorHAnsi" w:hAnsiTheme="minorHAnsi" w:cstheme="minorHAnsi"/>
          <w:sz w:val="16"/>
          <w:szCs w:val="16"/>
        </w:rPr>
        <w:t xml:space="preserve"> jak je definován Právními předpisy v oblasti ochrany osobních údajů</w:t>
      </w:r>
      <w:r w:rsidR="00EA44E1" w:rsidRPr="00EA44E1">
        <w:rPr>
          <w:rFonts w:asciiTheme="minorHAnsi" w:hAnsiTheme="minorHAnsi" w:cstheme="minorHAnsi"/>
          <w:sz w:val="16"/>
          <w:szCs w:val="16"/>
        </w:rPr>
        <w:t>.</w:t>
      </w:r>
    </w:p>
    <w:p w14:paraId="1313BE3E" w14:textId="15D7397B" w:rsidR="009A4B11" w:rsidRPr="00601829" w:rsidRDefault="009A4B11" w:rsidP="00DB1816">
      <w:pPr>
        <w:pStyle w:val="Odstavecseseznamem"/>
        <w:numPr>
          <w:ilvl w:val="0"/>
          <w:numId w:val="25"/>
        </w:numPr>
        <w:spacing w:after="120" w:line="120" w:lineRule="atLeast"/>
        <w:ind w:left="567" w:hanging="283"/>
        <w:rPr>
          <w:rFonts w:asciiTheme="minorHAnsi" w:hAnsiTheme="minorHAnsi"/>
          <w:b/>
          <w:sz w:val="16"/>
          <w:szCs w:val="16"/>
        </w:rPr>
      </w:pPr>
      <w:r w:rsidRPr="00601829">
        <w:rPr>
          <w:rFonts w:asciiTheme="minorHAnsi" w:hAnsiTheme="minorHAnsi"/>
          <w:b/>
          <w:sz w:val="16"/>
          <w:szCs w:val="16"/>
        </w:rPr>
        <w:t>Informace o zpracování Osobních údajů</w:t>
      </w:r>
    </w:p>
    <w:p w14:paraId="77761E5F" w14:textId="28839F74" w:rsidR="009A4B11" w:rsidRPr="00325CD7" w:rsidRDefault="009A4B11" w:rsidP="00DB1816">
      <w:pPr>
        <w:pStyle w:val="Odstavecseseznamem"/>
        <w:tabs>
          <w:tab w:val="clear" w:pos="851"/>
          <w:tab w:val="left" w:pos="567"/>
        </w:tabs>
        <w:spacing w:after="120" w:line="120" w:lineRule="atLeast"/>
        <w:ind w:left="567" w:right="70"/>
        <w:rPr>
          <w:rFonts w:asciiTheme="minorHAnsi" w:hAnsiTheme="minorHAnsi"/>
          <w:sz w:val="16"/>
          <w:szCs w:val="16"/>
        </w:rPr>
      </w:pPr>
      <w:r w:rsidRPr="00325CD7">
        <w:rPr>
          <w:rFonts w:asciiTheme="minorHAnsi" w:hAnsiTheme="minorHAnsi"/>
          <w:sz w:val="16"/>
          <w:szCs w:val="16"/>
        </w:rPr>
        <w:t xml:space="preserve">Smluvní strany berou na vědomí, že Osobní údaje poskytnuté Klientem, jeho personálem či zástupci budou zpracovány společností Deloitte jakožto Správcem </w:t>
      </w:r>
      <w:r w:rsidR="003A3D9F">
        <w:rPr>
          <w:rFonts w:asciiTheme="minorHAnsi" w:hAnsiTheme="minorHAnsi"/>
          <w:sz w:val="16"/>
          <w:szCs w:val="16"/>
        </w:rPr>
        <w:t xml:space="preserve">Osobních údajů </w:t>
      </w:r>
      <w:r w:rsidRPr="00325CD7">
        <w:rPr>
          <w:rFonts w:asciiTheme="minorHAnsi" w:hAnsiTheme="minorHAnsi"/>
          <w:sz w:val="16"/>
          <w:szCs w:val="16"/>
        </w:rPr>
        <w:t>pro následující účely, resp. v souvislosti s následujícím: (i) poskytnutí Služeb; (ii) zajištění souladu s příslušnými právními, regulatorními nebo profesními požadavky; (iii) řešení požadavků nebo komunikací od příslušných orgánů; (iv) administrace smluv, finanční účetnictví, soulad s interními předpisy, analýza rizik, a vztahy s klienty; (v) využití systémů a aplikací (hostovaných nebo interních) pro služby informačních technologií a informačních systémů (dále jen „Účely“).</w:t>
      </w:r>
    </w:p>
    <w:p w14:paraId="09781827" w14:textId="7A5BC5B7" w:rsidR="009A4B11" w:rsidRDefault="009A4B11" w:rsidP="00DB1816">
      <w:pPr>
        <w:pStyle w:val="Odstavecseseznamem"/>
        <w:spacing w:before="0" w:after="120" w:line="120" w:lineRule="atLeast"/>
        <w:ind w:left="567" w:right="70"/>
        <w:rPr>
          <w:rFonts w:asciiTheme="minorHAnsi" w:hAnsiTheme="minorHAnsi"/>
          <w:sz w:val="16"/>
          <w:szCs w:val="16"/>
        </w:rPr>
      </w:pPr>
      <w:r w:rsidRPr="00325CD7">
        <w:rPr>
          <w:rFonts w:asciiTheme="minorHAnsi" w:hAnsiTheme="minorHAnsi"/>
          <w:sz w:val="16"/>
          <w:szCs w:val="16"/>
        </w:rPr>
        <w:t xml:space="preserve">Pro výše uvedené Účely mohou být Osobní údaje zpřístupněny/předány Příjemcům Osobních údajů (včetně Správců </w:t>
      </w:r>
      <w:r w:rsidR="003A3D9F">
        <w:rPr>
          <w:rFonts w:asciiTheme="minorHAnsi" w:hAnsiTheme="minorHAnsi"/>
          <w:sz w:val="16"/>
          <w:szCs w:val="16"/>
        </w:rPr>
        <w:t xml:space="preserve">Osobních údajů </w:t>
      </w:r>
      <w:r w:rsidRPr="00325CD7">
        <w:rPr>
          <w:rFonts w:asciiTheme="minorHAnsi" w:hAnsiTheme="minorHAnsi"/>
          <w:sz w:val="16"/>
          <w:szCs w:val="16"/>
        </w:rPr>
        <w:t xml:space="preserve">a Zpracovatelů Osobních údajů), a mohou být těmito Příjemci </w:t>
      </w:r>
      <w:r w:rsidR="00E867F7">
        <w:rPr>
          <w:rFonts w:asciiTheme="minorHAnsi" w:hAnsiTheme="minorHAnsi"/>
          <w:sz w:val="16"/>
          <w:szCs w:val="16"/>
        </w:rPr>
        <w:t xml:space="preserve">Osobních údajů </w:t>
      </w:r>
      <w:r w:rsidRPr="00325CD7">
        <w:rPr>
          <w:rFonts w:asciiTheme="minorHAnsi" w:hAnsiTheme="minorHAnsi"/>
          <w:sz w:val="16"/>
          <w:szCs w:val="16"/>
        </w:rPr>
        <w:t>zpracovány, jak je uvedeno v Prohlášení Deloitte o ochraně osobních údajů.</w:t>
      </w:r>
    </w:p>
    <w:p w14:paraId="16C09DAC" w14:textId="531CD9AD" w:rsidR="006C1E9E" w:rsidRDefault="0048008E" w:rsidP="00DB1816">
      <w:pPr>
        <w:pStyle w:val="Odstavecseseznamem"/>
        <w:numPr>
          <w:ilvl w:val="0"/>
          <w:numId w:val="25"/>
        </w:numPr>
        <w:spacing w:before="0" w:after="120" w:line="120" w:lineRule="atLeast"/>
        <w:ind w:left="567" w:right="70" w:hanging="283"/>
        <w:rPr>
          <w:rFonts w:asciiTheme="minorHAnsi" w:hAnsiTheme="minorHAnsi"/>
          <w:sz w:val="16"/>
          <w:szCs w:val="16"/>
        </w:rPr>
      </w:pPr>
      <w:r>
        <w:rPr>
          <w:rFonts w:asciiTheme="minorHAnsi" w:hAnsiTheme="minorHAnsi"/>
          <w:sz w:val="16"/>
          <w:szCs w:val="16"/>
        </w:rPr>
        <w:t xml:space="preserve">Článek 21 </w:t>
      </w:r>
      <w:r w:rsidR="006C1E9E">
        <w:rPr>
          <w:rFonts w:asciiTheme="minorHAnsi" w:hAnsiTheme="minorHAnsi"/>
          <w:sz w:val="16"/>
          <w:szCs w:val="16"/>
        </w:rPr>
        <w:t>b)</w:t>
      </w:r>
      <w:r w:rsidR="006C1E9E" w:rsidRPr="006C1E9E">
        <w:rPr>
          <w:rFonts w:asciiTheme="minorHAnsi" w:hAnsiTheme="minorHAnsi"/>
          <w:sz w:val="16"/>
          <w:szCs w:val="16"/>
        </w:rPr>
        <w:t xml:space="preserve"> je jen shrnutím Prohlášení Deloitte o ochraně osobních údajů, jehož celé znění je k dispozici zde: https://www2.deloitte.com/ce/en/pages/about-deloitte/articles/deloitte-ce-privacy-statement-for-clients.html (dále jen „Prohlášení Deloitte o ochraně osobních údajů“). Jestliže to nevyžaduje nepřiměřené úsilí, Klient zajistí, aby byly subjekty údajů (jeho příslušní zaměstnanci, zástupci, dodavatelé a klienti) informovány o Prohlášení Deloitte o ochraně osobních údajů.</w:t>
      </w:r>
    </w:p>
    <w:p w14:paraId="09DB61FD" w14:textId="36A82A46" w:rsidR="00B71F0C" w:rsidRDefault="00B71F0C" w:rsidP="00DB1816">
      <w:pPr>
        <w:pStyle w:val="Odstavecseseznamem"/>
        <w:numPr>
          <w:ilvl w:val="0"/>
          <w:numId w:val="25"/>
        </w:numPr>
        <w:spacing w:before="0" w:line="120" w:lineRule="atLeast"/>
        <w:ind w:left="568" w:right="68" w:hanging="284"/>
        <w:rPr>
          <w:rFonts w:asciiTheme="minorHAnsi" w:hAnsiTheme="minorHAnsi"/>
          <w:sz w:val="16"/>
          <w:szCs w:val="16"/>
        </w:rPr>
      </w:pPr>
      <w:r w:rsidRPr="00253371">
        <w:rPr>
          <w:rFonts w:asciiTheme="minorHAnsi" w:hAnsiTheme="minorHAnsi"/>
          <w:sz w:val="16"/>
          <w:szCs w:val="16"/>
        </w:rPr>
        <w:t>Každá smluvní strana musí při zpracování Osobních údajů dodržovat Právní předpisy v oblasti ochrany osobních údajů.</w:t>
      </w:r>
    </w:p>
    <w:p w14:paraId="092D9F37" w14:textId="7E1B6439" w:rsidR="00EA44E1" w:rsidRPr="00DB1816" w:rsidRDefault="00EA44E1" w:rsidP="00DB1816">
      <w:pPr>
        <w:pStyle w:val="Odstavecseseznamem"/>
        <w:spacing w:before="0" w:after="120" w:line="120" w:lineRule="atLeast"/>
        <w:ind w:left="568" w:hanging="284"/>
        <w:rPr>
          <w:rFonts w:asciiTheme="minorHAnsi" w:hAnsiTheme="minorHAnsi"/>
          <w:sz w:val="16"/>
          <w:szCs w:val="16"/>
        </w:rPr>
      </w:pPr>
    </w:p>
    <w:p w14:paraId="3EACBA06" w14:textId="77777777" w:rsidR="00B7025F" w:rsidRPr="00E50FBB" w:rsidRDefault="00B7025F" w:rsidP="008832E9">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Stejnopisy a jazyk </w:t>
      </w:r>
    </w:p>
    <w:p w14:paraId="0369400A" w14:textId="77777777" w:rsidR="00B7025F" w:rsidRPr="00E50FBB" w:rsidRDefault="00B7025F" w:rsidP="008832E9">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Tato Smlouva může být podepsána v jakémkoli počtu stejnopisů (ať jde o stejnopisy ve formě originálu nebo faksimile nebo .pdf přílohy k emailu). Každý podepsaný stejnopis bude považován za originál Smlouvy, ale všechny stejnopisy společně tvoří jeden a ten samý nástroj. Pokud existují verze Smlouvy v angličtině a jiném jazyce, v případě nesouladu mezi verzemi je rozhodující verze anglická. </w:t>
      </w:r>
    </w:p>
    <w:p w14:paraId="77CA7A86" w14:textId="77777777" w:rsidR="00B7025F" w:rsidRPr="00E50FBB" w:rsidRDefault="00B7025F" w:rsidP="008832E9">
      <w:pPr>
        <w:numPr>
          <w:ilvl w:val="0"/>
          <w:numId w:val="12"/>
        </w:numPr>
        <w:spacing w:after="120" w:line="120" w:lineRule="atLeast"/>
        <w:ind w:left="568" w:right="70" w:hanging="284"/>
        <w:jc w:val="both"/>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Řešení sporů </w:t>
      </w:r>
    </w:p>
    <w:p w14:paraId="2DCB5E0B" w14:textId="51DB7D69" w:rsidR="00B7025F" w:rsidRPr="00E50FBB" w:rsidRDefault="00B7025F" w:rsidP="008832E9">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Strany souhlasí, že se pokusí v dobré víře vyřešit jakýkoli spor nebo nárok (včetně nároků na zápočet pohledávek, nároků souvisejících s jakoukoli fakturou nebo fakturovanou částkou a protinároků), který může vzniknout v souvislosti s platností, účinkem, výkladem nebo plněním právního vztahu založeného touto Smlouvou nebo ve spojení s touto Smlouvou, a to okamžitě pomocí jednání mezi vyšším vedením. Pokud nebude záležitost vyřešena do 60 dní </w:t>
      </w:r>
      <w:proofErr w:type="gramStart"/>
      <w:r w:rsidRPr="00E50FBB">
        <w:rPr>
          <w:rFonts w:asciiTheme="minorHAnsi" w:hAnsiTheme="minorHAnsi" w:cstheme="minorHAnsi"/>
          <w:sz w:val="16"/>
          <w:szCs w:val="16"/>
        </w:rPr>
        <w:t>od</w:t>
      </w:r>
      <w:proofErr w:type="gramEnd"/>
      <w:r w:rsidRPr="00E50FBB">
        <w:rPr>
          <w:rFonts w:asciiTheme="minorHAnsi" w:hAnsiTheme="minorHAnsi" w:cstheme="minorHAnsi"/>
          <w:sz w:val="16"/>
          <w:szCs w:val="16"/>
        </w:rPr>
        <w:t xml:space="preserve"> okamžiku, kdy ji projednalo vyšší vedení, pak může být v dané záležitosti zahájeno právní řízení.</w:t>
      </w:r>
      <w:r w:rsidR="00F41AD7">
        <w:rPr>
          <w:rFonts w:asciiTheme="minorHAnsi" w:hAnsiTheme="minorHAnsi" w:cstheme="minorHAnsi"/>
          <w:sz w:val="16"/>
          <w:szCs w:val="16"/>
        </w:rPr>
        <w:t xml:space="preserve"> </w:t>
      </w:r>
      <w:r w:rsidRPr="00E50FBB">
        <w:rPr>
          <w:rFonts w:asciiTheme="minorHAnsi" w:hAnsiTheme="minorHAnsi" w:cstheme="minorHAnsi"/>
          <w:sz w:val="16"/>
          <w:szCs w:val="16"/>
        </w:rPr>
        <w:t xml:space="preserve">Nic v tomto ustanovení nezabrání žádné ze stran kdykoli během nebo po zahájení procesu řešení sporu zahájit právní řízení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ochranu práv duševního vlastnictví, obchodních tajemství nebo důvěrných informací nebo zachování jakéhokoli zákonného práva nebo opravného prostředku.</w:t>
      </w:r>
      <w:r w:rsidR="00F41AD7">
        <w:rPr>
          <w:rFonts w:asciiTheme="minorHAnsi" w:hAnsiTheme="minorHAnsi" w:cstheme="minorHAnsi"/>
          <w:sz w:val="16"/>
          <w:szCs w:val="16"/>
        </w:rPr>
        <w:t xml:space="preserve"> </w:t>
      </w:r>
    </w:p>
    <w:p w14:paraId="6DE38D1B" w14:textId="77777777" w:rsidR="00B7025F" w:rsidRPr="00E50FBB" w:rsidRDefault="00B7025F" w:rsidP="008832E9">
      <w:pPr>
        <w:numPr>
          <w:ilvl w:val="0"/>
          <w:numId w:val="12"/>
        </w:numPr>
        <w:spacing w:after="120" w:line="120" w:lineRule="atLeast"/>
        <w:ind w:left="568" w:right="70" w:hanging="284"/>
        <w:jc w:val="both"/>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Rozhodné právo a místní příslušnost </w:t>
      </w:r>
    </w:p>
    <w:p w14:paraId="4DA93F17" w14:textId="42817F4F" w:rsidR="00B7025F" w:rsidRPr="00E50FBB" w:rsidRDefault="00B7025F" w:rsidP="008832E9">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Tato Smlouva a veškeré záležitosti, které se k ní vztahují (včetně mimosmluvních závazků) se řídí a jsou vykládány v souladu se zákony země, kde má společnost skupiny Deloitte uzavírající tuto Smlouvu sídlo. Jakákoli žaloba vztahující se k této Smlouvě či Službám nebo z nich vyplývající bude podána a jakékoli řízení bude vedeno výlučně výhradně soudy v zemi, kde má sídlo společnost skupiny Deloitte, která tuto Smlouvu uzavřela. </w:t>
      </w:r>
      <w:r w:rsidR="001323FF" w:rsidRPr="00DB1816">
        <w:rPr>
          <w:rFonts w:asciiTheme="minorHAnsi" w:hAnsiTheme="minorHAnsi" w:cstheme="minorHAnsi"/>
          <w:sz w:val="16"/>
          <w:szCs w:val="16"/>
        </w:rPr>
        <w:t xml:space="preserve">Za podmínky uvedené v článku 23 se smluvní </w:t>
      </w:r>
      <w:r w:rsidRPr="00E50FBB">
        <w:rPr>
          <w:rFonts w:asciiTheme="minorHAnsi" w:hAnsiTheme="minorHAnsi" w:cstheme="minorHAnsi"/>
          <w:sz w:val="16"/>
          <w:szCs w:val="16"/>
        </w:rPr>
        <w:t>strany tímto výslovně a neodvolatelně (i) podřizují</w:t>
      </w:r>
      <w:r w:rsidRPr="00E50FBB">
        <w:rPr>
          <w:b/>
        </w:rPr>
        <w:t xml:space="preserve"> </w:t>
      </w:r>
      <w:r w:rsidRPr="00E50FBB">
        <w:rPr>
          <w:rFonts w:asciiTheme="minorHAnsi" w:hAnsiTheme="minorHAnsi" w:cstheme="minorHAnsi"/>
          <w:sz w:val="16"/>
          <w:szCs w:val="16"/>
        </w:rPr>
        <w:t>výhradní jurisdikci těchto soudů pro účely jakékoli žaloby nebo řízení a (ii) v maximálním rozsahu, který povoluje zákon, se vzdávají jakýchkoliv námitek nepříslušnosti soudu a projednávání takovéto žaloby před příslušnými soudy.</w:t>
      </w:r>
    </w:p>
    <w:p w14:paraId="70E63FFA" w14:textId="77777777" w:rsidR="00B7025F" w:rsidRPr="00E50FBB" w:rsidRDefault="00B7025F" w:rsidP="008832E9">
      <w:pPr>
        <w:numPr>
          <w:ilvl w:val="0"/>
          <w:numId w:val="12"/>
        </w:numPr>
        <w:spacing w:after="120" w:line="120" w:lineRule="atLeast"/>
        <w:ind w:left="568" w:hanging="284"/>
        <w:jc w:val="both"/>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Oprávněné osoby </w:t>
      </w:r>
    </w:p>
    <w:p w14:paraId="4C3145DE" w14:textId="77777777" w:rsidR="00B7025F" w:rsidRPr="00E50FBB" w:rsidRDefault="00B7025F" w:rsidP="008832E9">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Pokud si jakákoli třetí strana přeje spoléhat se na Výstup (a/nebo jeho návrhy) a stát se Oprávněnou osobou definovanou v této Smlouvě, taková třetí strana musí nejprve </w:t>
      </w:r>
      <w:r w:rsidRPr="008832E9">
        <w:rPr>
          <w:rFonts w:asciiTheme="minorHAnsi" w:hAnsiTheme="minorHAnsi" w:cstheme="minorHAnsi"/>
          <w:sz w:val="16"/>
          <w:szCs w:val="16"/>
          <w:lang w:val="cs-CZ"/>
        </w:rPr>
        <w:t>uzavřít</w:t>
      </w:r>
      <w:r w:rsidRPr="00E50FBB">
        <w:rPr>
          <w:rFonts w:asciiTheme="minorHAnsi" w:hAnsiTheme="minorHAnsi" w:cstheme="minorHAnsi"/>
          <w:sz w:val="16"/>
          <w:szCs w:val="16"/>
        </w:rPr>
        <w:t xml:space="preserve"> smlouvu se společností Deloitte ve formě přijatelné pro Deloitte, podle níž tato strana přijímá podmínky této Smlouvy (které podléhají změnám odsouhlaseným Deloitte se třetí stranou), Deloitte se bude k této straně chovat jako k Oprávněné osobě v souladu s touto Smlouvou a přijme povinnost péče vůči ní ve vztahu k Výstupu (a/nebo jeho návrhům). Deloitte neponese odpovědnost vůči jakékoli straně, která se společností Deloitte neuzavře výše uvedenou smlouvu. </w:t>
      </w:r>
    </w:p>
    <w:p w14:paraId="19522CCB" w14:textId="77777777" w:rsidR="00B7025F" w:rsidRPr="00E50FBB" w:rsidRDefault="00B7025F" w:rsidP="008832E9">
      <w:pPr>
        <w:numPr>
          <w:ilvl w:val="0"/>
          <w:numId w:val="12"/>
        </w:numPr>
        <w:spacing w:after="120" w:line="120" w:lineRule="atLeast"/>
        <w:ind w:left="568" w:hanging="284"/>
        <w:jc w:val="both"/>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Školení </w:t>
      </w:r>
    </w:p>
    <w:p w14:paraId="008D24BE" w14:textId="77777777" w:rsidR="00B7025F" w:rsidRPr="00E50FBB" w:rsidRDefault="00B7025F" w:rsidP="008832E9">
      <w:pPr>
        <w:pStyle w:val="Odstavecseseznamem"/>
        <w:keepLines w:val="0"/>
        <w:numPr>
          <w:ilvl w:val="0"/>
          <w:numId w:val="26"/>
        </w:numPr>
        <w:tabs>
          <w:tab w:val="clear" w:pos="851"/>
        </w:tabs>
        <w:spacing w:before="0" w:after="120" w:line="120" w:lineRule="atLeast"/>
        <w:ind w:left="568" w:hanging="284"/>
        <w:rPr>
          <w:rFonts w:asciiTheme="minorHAnsi" w:hAnsiTheme="minorHAnsi" w:cstheme="minorHAnsi"/>
          <w:sz w:val="16"/>
          <w:szCs w:val="16"/>
        </w:rPr>
      </w:pPr>
      <w:r w:rsidRPr="00E50FBB">
        <w:rPr>
          <w:rFonts w:asciiTheme="minorHAnsi" w:hAnsiTheme="minorHAnsi" w:cstheme="minorHAnsi"/>
          <w:sz w:val="16"/>
          <w:szCs w:val="16"/>
        </w:rPr>
        <w:t xml:space="preserve">Jakákoli zakázka ve vztahu ke školení nebo instruktáži personálu Klienta bude prováděna jako zakázka s vynaložením přiměřeného úsilí a bude podléhat poskytnutí včasných a správných informací ze strany Klienta o kvalifikaci, vzdělání a zkušenostech účastníků školení. </w:t>
      </w:r>
    </w:p>
    <w:p w14:paraId="41C73AF4" w14:textId="77777777" w:rsidR="00B7025F" w:rsidRPr="00E50FBB" w:rsidRDefault="00B7025F" w:rsidP="008832E9">
      <w:pPr>
        <w:pStyle w:val="Odstavecseseznamem"/>
        <w:keepLines w:val="0"/>
        <w:numPr>
          <w:ilvl w:val="0"/>
          <w:numId w:val="26"/>
        </w:numPr>
        <w:tabs>
          <w:tab w:val="clear" w:pos="851"/>
        </w:tabs>
        <w:spacing w:before="0" w:after="120" w:line="120" w:lineRule="atLeast"/>
        <w:ind w:left="568" w:hanging="284"/>
        <w:rPr>
          <w:rFonts w:asciiTheme="minorHAnsi" w:hAnsiTheme="minorHAnsi" w:cstheme="minorHAnsi"/>
          <w:sz w:val="16"/>
          <w:szCs w:val="16"/>
        </w:rPr>
      </w:pPr>
      <w:r w:rsidRPr="00E50FBB">
        <w:rPr>
          <w:rFonts w:asciiTheme="minorHAnsi" w:hAnsiTheme="minorHAnsi" w:cstheme="minorHAnsi"/>
          <w:sz w:val="16"/>
          <w:szCs w:val="16"/>
        </w:rPr>
        <w:t xml:space="preserve">Veškerá komunikace Deloitte ve vztahu ke školení nebo instruktážnímu programu musí být chápána jako akademická a pouze pro vzdělávací účely a nesmí být vykládána jako odborná rada ani na ni nelze jako na odbornou radu spoléhat. </w:t>
      </w:r>
    </w:p>
    <w:p w14:paraId="132D89BF" w14:textId="77777777" w:rsidR="00B7025F" w:rsidRPr="00E50FBB" w:rsidRDefault="00B7025F" w:rsidP="008832E9">
      <w:pPr>
        <w:numPr>
          <w:ilvl w:val="0"/>
          <w:numId w:val="26"/>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Deloitte má právo kombinovat, odkládat nebo přemísťovat studijní program, kurz nebo školení s jedním nebo více jinými studijními programy, kurzy nebo školeními v souladu s povinnostmi zachování důvěrnosti informací uvedenými v ustanovení 10 výše. </w:t>
      </w:r>
    </w:p>
    <w:p w14:paraId="550A20EE" w14:textId="77777777" w:rsidR="00B7025F" w:rsidRPr="00E50FBB" w:rsidRDefault="00B7025F" w:rsidP="008832E9">
      <w:pPr>
        <w:numPr>
          <w:ilvl w:val="0"/>
          <w:numId w:val="12"/>
        </w:numPr>
        <w:spacing w:after="120" w:line="120" w:lineRule="atLeast"/>
        <w:ind w:left="568" w:hanging="284"/>
        <w:jc w:val="both"/>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Objednávky prací </w:t>
      </w:r>
    </w:p>
    <w:p w14:paraId="3F9ED37C" w14:textId="5DBAC761" w:rsidR="002D09B0" w:rsidRPr="002D09B0" w:rsidRDefault="00B7025F" w:rsidP="002D09B0">
      <w:pPr>
        <w:pStyle w:val="Odstavecseseznamem"/>
        <w:numPr>
          <w:ilvl w:val="0"/>
          <w:numId w:val="29"/>
        </w:numPr>
        <w:spacing w:after="120" w:line="120" w:lineRule="atLeast"/>
        <w:rPr>
          <w:rFonts w:asciiTheme="minorHAnsi" w:hAnsiTheme="minorHAnsi" w:cstheme="minorHAnsi"/>
          <w:sz w:val="16"/>
          <w:szCs w:val="16"/>
        </w:rPr>
      </w:pPr>
      <w:r w:rsidRPr="002D09B0">
        <w:rPr>
          <w:rFonts w:asciiTheme="minorHAnsi" w:hAnsiTheme="minorHAnsi" w:cstheme="minorHAnsi"/>
          <w:sz w:val="16"/>
          <w:szCs w:val="16"/>
        </w:rPr>
        <w:t>Služby, nebo jejich část, budou poskytovány na základně pokynů obsahujících popis požadovaných Služeb dodaných Klientem společnosti Deloitte („Objednávka prací“). Objednávka prací</w:t>
      </w:r>
      <w:r w:rsidRPr="002D09B0" w:rsidDel="00FB393F">
        <w:rPr>
          <w:rFonts w:asciiTheme="minorHAnsi" w:hAnsiTheme="minorHAnsi" w:cstheme="minorHAnsi"/>
          <w:sz w:val="16"/>
          <w:szCs w:val="16"/>
        </w:rPr>
        <w:t xml:space="preserve"> </w:t>
      </w:r>
      <w:r w:rsidRPr="002D09B0">
        <w:rPr>
          <w:rFonts w:asciiTheme="minorHAnsi" w:hAnsiTheme="minorHAnsi" w:cstheme="minorHAnsi"/>
          <w:sz w:val="16"/>
          <w:szCs w:val="16"/>
        </w:rPr>
        <w:t xml:space="preserve">může být provedena písemně, faxem, emailem nebo ústně. </w:t>
      </w:r>
    </w:p>
    <w:p w14:paraId="0BA908B9" w14:textId="77777777" w:rsidR="002D09B0" w:rsidRPr="00253371" w:rsidRDefault="00B7025F" w:rsidP="002D09B0">
      <w:pPr>
        <w:pStyle w:val="Odstavecseseznamem"/>
        <w:numPr>
          <w:ilvl w:val="0"/>
          <w:numId w:val="29"/>
        </w:numPr>
        <w:spacing w:after="120" w:line="120" w:lineRule="atLeast"/>
        <w:rPr>
          <w:rFonts w:asciiTheme="minorHAnsi" w:hAnsiTheme="minorHAnsi" w:cstheme="minorHAnsi"/>
          <w:sz w:val="16"/>
          <w:szCs w:val="16"/>
        </w:rPr>
      </w:pPr>
      <w:r w:rsidRPr="002D09B0">
        <w:rPr>
          <w:rFonts w:asciiTheme="minorHAnsi" w:hAnsiTheme="minorHAnsi" w:cstheme="minorHAnsi"/>
          <w:sz w:val="16"/>
          <w:szCs w:val="16"/>
        </w:rPr>
        <w:t>Objednávka prací je přijata a potvrzena tou z následujících událostí, která nastane dříve: (i) společnost Deloitte doručí potvrzení Objednávky prací Klientovi nebo (ii) společnost Deloitte poskytne Služby požadované v Objednávce prací. Společnost Deloitte může odmítnout přijetí Objednávky prací. Odmítnutí Objednávky prací může být provedeno písemně, faxem, e-mailem nebo ústně. Společnost Deloitte však tak nesmí učinit bezdůvodně a je povinna Klientovi sdělit důvod písemně, faxem, emailem nebo ústně.</w:t>
      </w:r>
      <w:r w:rsidR="00F41AD7" w:rsidRPr="002D09B0">
        <w:rPr>
          <w:rFonts w:asciiTheme="minorHAnsi" w:hAnsiTheme="minorHAnsi" w:cstheme="minorHAnsi"/>
          <w:sz w:val="16"/>
          <w:szCs w:val="16"/>
        </w:rPr>
        <w:t xml:space="preserve"> </w:t>
      </w:r>
    </w:p>
    <w:p w14:paraId="783D4373" w14:textId="4CFC71DD" w:rsidR="00B7025F" w:rsidRPr="00253371" w:rsidRDefault="00B7025F" w:rsidP="002D09B0">
      <w:pPr>
        <w:pStyle w:val="Odstavecseseznamem"/>
        <w:numPr>
          <w:ilvl w:val="0"/>
          <w:numId w:val="29"/>
        </w:numPr>
        <w:spacing w:after="120" w:line="120" w:lineRule="atLeast"/>
        <w:rPr>
          <w:rFonts w:asciiTheme="minorHAnsi" w:hAnsiTheme="minorHAnsi" w:cstheme="minorHAnsi"/>
          <w:sz w:val="16"/>
          <w:szCs w:val="16"/>
        </w:rPr>
      </w:pPr>
      <w:r w:rsidRPr="002D09B0">
        <w:rPr>
          <w:rFonts w:asciiTheme="minorHAnsi" w:hAnsiTheme="minorHAnsi" w:cstheme="minorHAnsi"/>
          <w:sz w:val="16"/>
          <w:szCs w:val="16"/>
        </w:rPr>
        <w:t xml:space="preserve">Klient může zrušit Objednávku prací pouze písemně, faxem nebo emailem. Klient společnosti Deloitte poskytne náhradu za realizované Služby a výdaje vzniklé do data účinnosti zrušení Objednávky prací. </w:t>
      </w:r>
    </w:p>
    <w:p w14:paraId="61518C3C" w14:textId="77777777" w:rsidR="00B7025F" w:rsidRPr="00E50FBB" w:rsidRDefault="00B7025F" w:rsidP="008832E9">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Střet zájmů </w:t>
      </w:r>
    </w:p>
    <w:p w14:paraId="107DC493" w14:textId="77777777" w:rsidR="00B7025F" w:rsidRPr="00E50FBB" w:rsidRDefault="00B7025F" w:rsidP="008832E9">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Společnost Deloitte v přiměřené míře kontroluje možné střety zájmů před poskytnutím Služeb Klientovi. Jelikož však Deloitte poskytuje řadu různých odborných služeb mnoha klientům, nemůže určit všechny situace, kde mohlo dojít ke střetu se zájmy Klienta. Klient proto bude bez zbytečného odkladu informovat </w:t>
      </w:r>
      <w:r w:rsidRPr="008832E9">
        <w:rPr>
          <w:rFonts w:asciiTheme="minorHAnsi" w:hAnsiTheme="minorHAnsi" w:cstheme="minorHAnsi"/>
          <w:sz w:val="16"/>
          <w:szCs w:val="16"/>
          <w:lang w:val="cs-CZ"/>
        </w:rPr>
        <w:t>společnost</w:t>
      </w:r>
      <w:r w:rsidRPr="00E50FBB">
        <w:rPr>
          <w:rFonts w:asciiTheme="minorHAnsi" w:hAnsiTheme="minorHAnsi" w:cstheme="minorHAnsi"/>
          <w:sz w:val="16"/>
          <w:szCs w:val="16"/>
        </w:rPr>
        <w:t xml:space="preserve"> Deloitte o jakémkoli možném střetu zájmů ovlivňujícím Služby poskytované Klientovi. Pokud Deloitte nebo Klient odhalí možný střet zájmů a Deloitte předpokládá, že zájmy Klienta mohou být řádně chráněny implementací vhodných postupů, Deloitte tyto postupy s Klientem projedná </w:t>
      </w:r>
      <w:proofErr w:type="gramStart"/>
      <w:r w:rsidRPr="00E50FBB">
        <w:rPr>
          <w:rFonts w:asciiTheme="minorHAnsi" w:hAnsiTheme="minorHAnsi" w:cstheme="minorHAnsi"/>
          <w:sz w:val="16"/>
          <w:szCs w:val="16"/>
        </w:rPr>
        <w:t>a</w:t>
      </w:r>
      <w:proofErr w:type="gramEnd"/>
      <w:r w:rsidRPr="00E50FBB">
        <w:rPr>
          <w:rFonts w:asciiTheme="minorHAnsi" w:hAnsiTheme="minorHAnsi" w:cstheme="minorHAnsi"/>
          <w:sz w:val="16"/>
          <w:szCs w:val="16"/>
        </w:rPr>
        <w:t xml:space="preserve"> odsouhlasí. </w:t>
      </w:r>
    </w:p>
    <w:p w14:paraId="43EAE8A9" w14:textId="77777777" w:rsidR="00B7025F" w:rsidRPr="00E50FBB" w:rsidRDefault="00B7025F" w:rsidP="008832E9">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Závěrečná ustanovení </w:t>
      </w:r>
    </w:p>
    <w:p w14:paraId="25EC6A25" w14:textId="196E252B" w:rsidR="00B7025F" w:rsidRDefault="00B7025F" w:rsidP="008832E9">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Tyto Obchodní podmínky jsou platné </w:t>
      </w:r>
      <w:proofErr w:type="gramStart"/>
      <w:r w:rsidRPr="00E50FBB">
        <w:rPr>
          <w:rFonts w:asciiTheme="minorHAnsi" w:hAnsiTheme="minorHAnsi" w:cstheme="minorHAnsi"/>
          <w:sz w:val="16"/>
          <w:szCs w:val="16"/>
        </w:rPr>
        <w:t>a</w:t>
      </w:r>
      <w:proofErr w:type="gramEnd"/>
      <w:r w:rsidRPr="00E50FBB">
        <w:rPr>
          <w:rFonts w:asciiTheme="minorHAnsi" w:hAnsiTheme="minorHAnsi" w:cstheme="minorHAnsi"/>
          <w:sz w:val="16"/>
          <w:szCs w:val="16"/>
        </w:rPr>
        <w:t xml:space="preserve"> účinné k 1. </w:t>
      </w:r>
      <w:proofErr w:type="gramStart"/>
      <w:r w:rsidRPr="00E50FBB">
        <w:rPr>
          <w:rFonts w:asciiTheme="minorHAnsi" w:hAnsiTheme="minorHAnsi" w:cstheme="minorHAnsi"/>
          <w:sz w:val="16"/>
          <w:szCs w:val="16"/>
        </w:rPr>
        <w:t>lednu</w:t>
      </w:r>
      <w:proofErr w:type="gramEnd"/>
      <w:r w:rsidRPr="00E50FBB">
        <w:rPr>
          <w:rFonts w:asciiTheme="minorHAnsi" w:hAnsiTheme="minorHAnsi" w:cstheme="minorHAnsi"/>
          <w:sz w:val="16"/>
          <w:szCs w:val="16"/>
        </w:rPr>
        <w:t xml:space="preserve"> 201</w:t>
      </w:r>
      <w:r w:rsidR="0048008E">
        <w:rPr>
          <w:rFonts w:asciiTheme="minorHAnsi" w:hAnsiTheme="minorHAnsi" w:cstheme="minorHAnsi"/>
          <w:sz w:val="16"/>
          <w:szCs w:val="16"/>
        </w:rPr>
        <w:t>8</w:t>
      </w:r>
      <w:r w:rsidRPr="00E50FBB">
        <w:rPr>
          <w:rFonts w:asciiTheme="minorHAnsi" w:hAnsiTheme="minorHAnsi" w:cstheme="minorHAnsi"/>
          <w:sz w:val="16"/>
          <w:szCs w:val="16"/>
        </w:rPr>
        <w:t xml:space="preserve">. Pro odstranění pochybností jsou tyto Obchodní podmínky účinné a závazné pro Klienta </w:t>
      </w:r>
      <w:proofErr w:type="gramStart"/>
      <w:r w:rsidRPr="00E50FBB">
        <w:rPr>
          <w:rFonts w:asciiTheme="minorHAnsi" w:hAnsiTheme="minorHAnsi" w:cstheme="minorHAnsi"/>
          <w:sz w:val="16"/>
          <w:szCs w:val="16"/>
        </w:rPr>
        <w:t>od</w:t>
      </w:r>
      <w:proofErr w:type="gramEnd"/>
      <w:r w:rsidRPr="00E50FBB">
        <w:rPr>
          <w:rFonts w:asciiTheme="minorHAnsi" w:hAnsiTheme="minorHAnsi" w:cstheme="minorHAnsi"/>
          <w:sz w:val="16"/>
          <w:szCs w:val="16"/>
        </w:rPr>
        <w:t xml:space="preserve"> data účinnosti Smluvního dopisu. Tato verze nahrazuje předcházející verze bez ohledu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jiné podmínky obsažené v jakýchkoli nabídkách nebo podobných dokumentech. Deloitte si vyhrazuje právo tyto Obchodní podmínky podle potřeby aktualizovat a/nebo je doplňovat o dodatečné podmínky specifické pro jednotlivé poradenské Služby. Jakákoliv Objednávka prací schválená nebo podepsaná Klientem pro společnost Deloitte následující po předchozím a včasném dodání aktualizovaných Obchodních podmínek je považováno za potvrzení </w:t>
      </w:r>
      <w:proofErr w:type="gramStart"/>
      <w:r w:rsidRPr="00E50FBB">
        <w:rPr>
          <w:rFonts w:asciiTheme="minorHAnsi" w:hAnsiTheme="minorHAnsi" w:cstheme="minorHAnsi"/>
          <w:sz w:val="16"/>
          <w:szCs w:val="16"/>
        </w:rPr>
        <w:t>a</w:t>
      </w:r>
      <w:proofErr w:type="gramEnd"/>
      <w:r w:rsidRPr="00E50FBB">
        <w:rPr>
          <w:rFonts w:asciiTheme="minorHAnsi" w:hAnsiTheme="minorHAnsi" w:cstheme="minorHAnsi"/>
          <w:sz w:val="16"/>
          <w:szCs w:val="16"/>
        </w:rPr>
        <w:t xml:space="preserve"> odsouhlasení změn Obchodních podmínek </w:t>
      </w:r>
      <w:r w:rsidRPr="003D6B57">
        <w:rPr>
          <w:rFonts w:asciiTheme="minorHAnsi" w:hAnsiTheme="minorHAnsi" w:cstheme="minorHAnsi"/>
          <w:sz w:val="16"/>
          <w:szCs w:val="16"/>
        </w:rPr>
        <w:t>Klientem.</w:t>
      </w:r>
    </w:p>
    <w:p w14:paraId="01C81088" w14:textId="77777777" w:rsidR="00E50FBB" w:rsidRPr="00E50FBB" w:rsidRDefault="00E50FBB">
      <w:pPr>
        <w:rPr>
          <w:lang w:val="cs-CZ"/>
        </w:rPr>
      </w:pPr>
    </w:p>
    <w:sectPr w:rsidR="00E50FBB" w:rsidRPr="00E50FBB" w:rsidSect="000F0DFC">
      <w:type w:val="continuous"/>
      <w:pgSz w:w="11906" w:h="16838" w:code="9"/>
      <w:pgMar w:top="1417" w:right="1417" w:bottom="1417" w:left="1417" w:header="680" w:footer="56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A20A3" w14:textId="77777777" w:rsidR="003C1F22" w:rsidRDefault="003C1F22" w:rsidP="00C702C7">
      <w:pPr>
        <w:spacing w:after="0" w:line="240" w:lineRule="auto"/>
      </w:pPr>
      <w:r>
        <w:separator/>
      </w:r>
    </w:p>
  </w:endnote>
  <w:endnote w:type="continuationSeparator" w:id="0">
    <w:p w14:paraId="3552DC2C" w14:textId="77777777" w:rsidR="003C1F22" w:rsidRDefault="003C1F22" w:rsidP="00C7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C9BD5" w14:textId="77777777" w:rsidR="003C1F22" w:rsidRDefault="003C1F22" w:rsidP="00C702C7">
      <w:pPr>
        <w:spacing w:after="0" w:line="240" w:lineRule="auto"/>
      </w:pPr>
      <w:r>
        <w:separator/>
      </w:r>
    </w:p>
  </w:footnote>
  <w:footnote w:type="continuationSeparator" w:id="0">
    <w:p w14:paraId="1B6238AB" w14:textId="77777777" w:rsidR="003C1F22" w:rsidRDefault="003C1F22" w:rsidP="00C7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E225" w14:textId="2C536F53" w:rsidR="00C56476" w:rsidRDefault="00C56476" w:rsidP="00F41AD7">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B77C" w14:textId="63907C19" w:rsidR="00F41AD7" w:rsidRPr="002F2418" w:rsidRDefault="00F41AD7" w:rsidP="002F241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C32AA" w14:textId="35B3FBF6" w:rsidR="002F2418" w:rsidRPr="002F2418" w:rsidRDefault="002F2418" w:rsidP="002F2418">
    <w:pPr>
      <w:pStyle w:val="Zhlav"/>
      <w:rPr>
        <w:b w:val="0"/>
      </w:rPr>
    </w:pPr>
    <w:r w:rsidRPr="002F2418">
      <w:rPr>
        <w:b w:val="0"/>
      </w:rPr>
      <w:t xml:space="preserve">1. </w:t>
    </w:r>
    <w:proofErr w:type="gramStart"/>
    <w:r w:rsidRPr="002F2418">
      <w:rPr>
        <w:b w:val="0"/>
      </w:rPr>
      <w:t>ledna</w:t>
    </w:r>
    <w:proofErr w:type="gramEnd"/>
    <w:r w:rsidRPr="002F2418">
      <w:rPr>
        <w:b w:val="0"/>
      </w:rPr>
      <w:t xml:space="preserve"> 201</w:t>
    </w:r>
    <w:r w:rsidR="0048008E">
      <w:rPr>
        <w:b w:val="0"/>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DA8222E"/>
    <w:lvl w:ilvl="0">
      <w:start w:val="1"/>
      <w:numFmt w:val="lowerLetter"/>
      <w:pStyle w:val="slovanseznam2"/>
      <w:lvlText w:val="%1."/>
      <w:lvlJc w:val="left"/>
      <w:pPr>
        <w:ind w:left="644" w:hanging="360"/>
      </w:pPr>
    </w:lvl>
  </w:abstractNum>
  <w:abstractNum w:abstractNumId="1" w15:restartNumberingAfterBreak="0">
    <w:nsid w:val="FFFFFF83"/>
    <w:multiLevelType w:val="singleLevel"/>
    <w:tmpl w:val="8EAA911C"/>
    <w:lvl w:ilvl="0">
      <w:start w:val="1"/>
      <w:numFmt w:val="bullet"/>
      <w:pStyle w:val="Seznamsodrkami2"/>
      <w:lvlText w:val="‒"/>
      <w:lvlJc w:val="left"/>
      <w:pPr>
        <w:ind w:left="587" w:hanging="360"/>
      </w:pPr>
      <w:rPr>
        <w:rFonts w:ascii="Calibri" w:hAnsi="Calibri" w:hint="default"/>
      </w:rPr>
    </w:lvl>
  </w:abstractNum>
  <w:abstractNum w:abstractNumId="2" w15:restartNumberingAfterBreak="0">
    <w:nsid w:val="FFFFFF88"/>
    <w:multiLevelType w:val="singleLevel"/>
    <w:tmpl w:val="19C28B1A"/>
    <w:lvl w:ilvl="0">
      <w:start w:val="1"/>
      <w:numFmt w:val="decimal"/>
      <w:pStyle w:val="slovanseznam"/>
      <w:lvlText w:val="%1."/>
      <w:lvlJc w:val="left"/>
      <w:pPr>
        <w:tabs>
          <w:tab w:val="num" w:pos="360"/>
        </w:tabs>
        <w:ind w:left="360" w:hanging="360"/>
      </w:pPr>
    </w:lvl>
  </w:abstractNum>
  <w:abstractNum w:abstractNumId="3" w15:restartNumberingAfterBreak="0">
    <w:nsid w:val="FFFFFF89"/>
    <w:multiLevelType w:val="singleLevel"/>
    <w:tmpl w:val="2A4026B0"/>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11954A8"/>
    <w:multiLevelType w:val="hybridMultilevel"/>
    <w:tmpl w:val="F60CF5C4"/>
    <w:lvl w:ilvl="0" w:tplc="0CA22232">
      <w:start w:val="1"/>
      <w:numFmt w:val="decimal"/>
      <w:lvlText w:val="%1)"/>
      <w:lvlJc w:val="left"/>
      <w:pPr>
        <w:ind w:left="720" w:hanging="360"/>
      </w:pPr>
      <w:rPr>
        <w:rFonts w:ascii="Verdana" w:eastAsia="Times New Roman" w:hAnsi="Verdana"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13459AB"/>
    <w:multiLevelType w:val="hybridMultilevel"/>
    <w:tmpl w:val="6574A6A2"/>
    <w:lvl w:ilvl="0" w:tplc="D0CA4B2A">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884B72"/>
    <w:multiLevelType w:val="hybridMultilevel"/>
    <w:tmpl w:val="6B262144"/>
    <w:lvl w:ilvl="0" w:tplc="11961C5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0CE27DBE"/>
    <w:multiLevelType w:val="hybridMultilevel"/>
    <w:tmpl w:val="69AC711E"/>
    <w:lvl w:ilvl="0" w:tplc="04050001">
      <w:start w:val="1"/>
      <w:numFmt w:val="bullet"/>
      <w:lvlText w:val=""/>
      <w:lvlJc w:val="left"/>
      <w:pPr>
        <w:ind w:left="1230" w:hanging="360"/>
      </w:pPr>
      <w:rPr>
        <w:rFonts w:ascii="Symbol" w:hAnsi="Symbol"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8" w15:restartNumberingAfterBreak="0">
    <w:nsid w:val="1085695A"/>
    <w:multiLevelType w:val="hybridMultilevel"/>
    <w:tmpl w:val="BF0E14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BC7CE6"/>
    <w:multiLevelType w:val="hybridMultilevel"/>
    <w:tmpl w:val="68B8DD30"/>
    <w:lvl w:ilvl="0" w:tplc="1980B53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126C7DCF"/>
    <w:multiLevelType w:val="hybridMultilevel"/>
    <w:tmpl w:val="05026F7A"/>
    <w:lvl w:ilvl="0" w:tplc="6336A83E">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275A5CDD"/>
    <w:multiLevelType w:val="multilevel"/>
    <w:tmpl w:val="A77EFCDC"/>
    <w:lvl w:ilvl="0">
      <w:start w:val="1"/>
      <w:numFmt w:val="decimal"/>
      <w:pStyle w:val="smlouvaobchodnipodminky1"/>
      <w:lvlText w:val="Article %1."/>
      <w:lvlJc w:val="left"/>
      <w:pPr>
        <w:ind w:left="360" w:hanging="360"/>
      </w:pPr>
      <w:rPr>
        <w:rFonts w:ascii="Arial" w:hAnsi="Arial" w:hint="default"/>
        <w:b/>
        <w:bCs w:val="0"/>
        <w:i w:val="0"/>
        <w:iCs w:val="0"/>
        <w:caps w:val="0"/>
        <w:smallCaps w:val="0"/>
        <w:strike w:val="0"/>
        <w:dstrike w:val="0"/>
        <w:vanish w:val="0"/>
        <w:color w:val="000000"/>
        <w:spacing w:val="0"/>
        <w:kern w:val="0"/>
        <w:position w:val="0"/>
        <w:sz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mlouvaobchodnipodminky2"/>
      <w:lvlText w:val="%1.%2"/>
      <w:lvlJc w:val="left"/>
      <w:pPr>
        <w:ind w:left="454" w:hanging="454"/>
      </w:pPr>
      <w:rPr>
        <w:rFonts w:ascii="Arial" w:hAnsi="Arial" w:hint="default"/>
        <w:b w:val="0"/>
        <w:i w:val="0"/>
        <w:sz w:val="14"/>
      </w:rPr>
    </w:lvl>
    <w:lvl w:ilvl="2">
      <w:start w:val="1"/>
      <w:numFmt w:val="decimal"/>
      <w:pStyle w:val="smlouvaobchodnipodminky3"/>
      <w:lvlText w:val="%1.%2.%3"/>
      <w:lvlJc w:val="left"/>
      <w:pPr>
        <w:ind w:left="567" w:hanging="567"/>
      </w:pPr>
      <w:rPr>
        <w:rFonts w:ascii="Arial" w:hAnsi="Arial" w:hint="default"/>
        <w:b w:val="0"/>
        <w:i w:val="0"/>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FF7F64"/>
    <w:multiLevelType w:val="hybridMultilevel"/>
    <w:tmpl w:val="EE4A153C"/>
    <w:lvl w:ilvl="0" w:tplc="EC4A93B2">
      <w:start w:val="1"/>
      <w:numFmt w:val="bullet"/>
      <w:lvlText w:val="•"/>
      <w:lvlJc w:val="left"/>
      <w:pPr>
        <w:tabs>
          <w:tab w:val="num" w:pos="720"/>
        </w:tabs>
        <w:ind w:left="720" w:hanging="360"/>
      </w:pPr>
      <w:rPr>
        <w:rFonts w:ascii="Arial" w:hAnsi="Arial" w:hint="default"/>
      </w:rPr>
    </w:lvl>
    <w:lvl w:ilvl="1" w:tplc="B2481116">
      <w:start w:val="1"/>
      <w:numFmt w:val="decimal"/>
      <w:lvlText w:val="%2."/>
      <w:lvlJc w:val="left"/>
      <w:pPr>
        <w:tabs>
          <w:tab w:val="num" w:pos="1440"/>
        </w:tabs>
        <w:ind w:left="1440" w:hanging="360"/>
      </w:pPr>
    </w:lvl>
    <w:lvl w:ilvl="2" w:tplc="F6C445C8" w:tentative="1">
      <w:start w:val="1"/>
      <w:numFmt w:val="bullet"/>
      <w:lvlText w:val="•"/>
      <w:lvlJc w:val="left"/>
      <w:pPr>
        <w:tabs>
          <w:tab w:val="num" w:pos="2160"/>
        </w:tabs>
        <w:ind w:left="2160" w:hanging="360"/>
      </w:pPr>
      <w:rPr>
        <w:rFonts w:ascii="Arial" w:hAnsi="Arial" w:hint="default"/>
      </w:rPr>
    </w:lvl>
    <w:lvl w:ilvl="3" w:tplc="9DD6C6E6" w:tentative="1">
      <w:start w:val="1"/>
      <w:numFmt w:val="bullet"/>
      <w:lvlText w:val="•"/>
      <w:lvlJc w:val="left"/>
      <w:pPr>
        <w:tabs>
          <w:tab w:val="num" w:pos="2880"/>
        </w:tabs>
        <w:ind w:left="2880" w:hanging="360"/>
      </w:pPr>
      <w:rPr>
        <w:rFonts w:ascii="Arial" w:hAnsi="Arial" w:hint="default"/>
      </w:rPr>
    </w:lvl>
    <w:lvl w:ilvl="4" w:tplc="EA04418C" w:tentative="1">
      <w:start w:val="1"/>
      <w:numFmt w:val="bullet"/>
      <w:lvlText w:val="•"/>
      <w:lvlJc w:val="left"/>
      <w:pPr>
        <w:tabs>
          <w:tab w:val="num" w:pos="3600"/>
        </w:tabs>
        <w:ind w:left="3600" w:hanging="360"/>
      </w:pPr>
      <w:rPr>
        <w:rFonts w:ascii="Arial" w:hAnsi="Arial" w:hint="default"/>
      </w:rPr>
    </w:lvl>
    <w:lvl w:ilvl="5" w:tplc="FCCA6A90" w:tentative="1">
      <w:start w:val="1"/>
      <w:numFmt w:val="bullet"/>
      <w:lvlText w:val="•"/>
      <w:lvlJc w:val="left"/>
      <w:pPr>
        <w:tabs>
          <w:tab w:val="num" w:pos="4320"/>
        </w:tabs>
        <w:ind w:left="4320" w:hanging="360"/>
      </w:pPr>
      <w:rPr>
        <w:rFonts w:ascii="Arial" w:hAnsi="Arial" w:hint="default"/>
      </w:rPr>
    </w:lvl>
    <w:lvl w:ilvl="6" w:tplc="875664CE" w:tentative="1">
      <w:start w:val="1"/>
      <w:numFmt w:val="bullet"/>
      <w:lvlText w:val="•"/>
      <w:lvlJc w:val="left"/>
      <w:pPr>
        <w:tabs>
          <w:tab w:val="num" w:pos="5040"/>
        </w:tabs>
        <w:ind w:left="5040" w:hanging="360"/>
      </w:pPr>
      <w:rPr>
        <w:rFonts w:ascii="Arial" w:hAnsi="Arial" w:hint="default"/>
      </w:rPr>
    </w:lvl>
    <w:lvl w:ilvl="7" w:tplc="C57499F4" w:tentative="1">
      <w:start w:val="1"/>
      <w:numFmt w:val="bullet"/>
      <w:lvlText w:val="•"/>
      <w:lvlJc w:val="left"/>
      <w:pPr>
        <w:tabs>
          <w:tab w:val="num" w:pos="5760"/>
        </w:tabs>
        <w:ind w:left="5760" w:hanging="360"/>
      </w:pPr>
      <w:rPr>
        <w:rFonts w:ascii="Arial" w:hAnsi="Arial" w:hint="default"/>
      </w:rPr>
    </w:lvl>
    <w:lvl w:ilvl="8" w:tplc="AF6A2B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641AE0"/>
    <w:multiLevelType w:val="multilevel"/>
    <w:tmpl w:val="07FCAD98"/>
    <w:lvl w:ilvl="0">
      <w:start w:val="1"/>
      <w:numFmt w:val="lowerLetter"/>
      <w:lvlText w:val="%1)"/>
      <w:lvlJc w:val="left"/>
      <w:pPr>
        <w:ind w:left="720" w:hanging="360"/>
      </w:pPr>
      <w:rPr>
        <w:rFonts w:asciiTheme="minorHAnsi" w:hAnsiTheme="minorHAnsi"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4FE2DDD"/>
    <w:multiLevelType w:val="hybridMultilevel"/>
    <w:tmpl w:val="CA628A0A"/>
    <w:lvl w:ilvl="0" w:tplc="0BAC49B2">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428F9"/>
    <w:multiLevelType w:val="hybridMultilevel"/>
    <w:tmpl w:val="79E600EE"/>
    <w:lvl w:ilvl="0" w:tplc="5E766134">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4E4F6CC1"/>
    <w:multiLevelType w:val="hybridMultilevel"/>
    <w:tmpl w:val="476A3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890591"/>
    <w:multiLevelType w:val="multilevel"/>
    <w:tmpl w:val="8DDA7526"/>
    <w:lvl w:ilvl="0">
      <w:start w:val="1"/>
      <w:numFmt w:val="lowerRoman"/>
      <w:lvlText w:val="%1."/>
      <w:lvlJc w:val="left"/>
      <w:pPr>
        <w:ind w:left="644" w:hanging="360"/>
      </w:pPr>
      <w:rPr>
        <w:rFonts w:hint="default"/>
        <w:b w:val="0"/>
        <w:bCs/>
        <w:i w:val="0"/>
        <w:iCs w:val="0"/>
        <w:caps w:val="0"/>
        <w:smallCaps w:val="0"/>
        <w:strike w:val="0"/>
        <w:dstrike w:val="0"/>
        <w:vanish w:val="0"/>
        <w:color w:val="auto"/>
        <w:spacing w:val="0"/>
        <w:w w:val="100"/>
        <w:kern w:val="0"/>
        <w:position w:val="0"/>
        <w:sz w:val="16"/>
        <w:szCs w:val="19"/>
        <w:u w:val="none" w:color="2C5234" w:themeColor="accent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2"/>
        </w:tabs>
        <w:ind w:left="142" w:firstLine="0"/>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F42338E"/>
    <w:multiLevelType w:val="multilevel"/>
    <w:tmpl w:val="07FCAD98"/>
    <w:lvl w:ilvl="0">
      <w:start w:val="1"/>
      <w:numFmt w:val="lowerLetter"/>
      <w:lvlText w:val="%1)"/>
      <w:lvlJc w:val="left"/>
      <w:pPr>
        <w:ind w:left="720" w:hanging="360"/>
      </w:pPr>
      <w:rPr>
        <w:rFonts w:asciiTheme="minorHAnsi" w:hAnsiTheme="minorHAnsi"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0D75AB6"/>
    <w:multiLevelType w:val="hybridMultilevel"/>
    <w:tmpl w:val="B7F84608"/>
    <w:lvl w:ilvl="0" w:tplc="29D2D70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617F7D72"/>
    <w:multiLevelType w:val="hybridMultilevel"/>
    <w:tmpl w:val="BE1CF0E8"/>
    <w:lvl w:ilvl="0" w:tplc="31D2A61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1BF3AE8"/>
    <w:multiLevelType w:val="hybridMultilevel"/>
    <w:tmpl w:val="F04C331A"/>
    <w:lvl w:ilvl="0" w:tplc="01E4EAC4">
      <w:start w:val="1"/>
      <w:numFmt w:val="lowerLetter"/>
      <w:lvlText w:val="%1)"/>
      <w:lvlJc w:val="left"/>
      <w:pPr>
        <w:ind w:left="1081" w:hanging="360"/>
      </w:pPr>
      <w:rPr>
        <w:rFonts w:hint="default"/>
      </w:rPr>
    </w:lvl>
    <w:lvl w:ilvl="1" w:tplc="04050019" w:tentative="1">
      <w:start w:val="1"/>
      <w:numFmt w:val="lowerLetter"/>
      <w:lvlText w:val="%2."/>
      <w:lvlJc w:val="left"/>
      <w:pPr>
        <w:ind w:left="1801" w:hanging="360"/>
      </w:pPr>
    </w:lvl>
    <w:lvl w:ilvl="2" w:tplc="0405001B" w:tentative="1">
      <w:start w:val="1"/>
      <w:numFmt w:val="lowerRoman"/>
      <w:lvlText w:val="%3."/>
      <w:lvlJc w:val="right"/>
      <w:pPr>
        <w:ind w:left="2521" w:hanging="180"/>
      </w:pPr>
    </w:lvl>
    <w:lvl w:ilvl="3" w:tplc="0405000F" w:tentative="1">
      <w:start w:val="1"/>
      <w:numFmt w:val="decimal"/>
      <w:lvlText w:val="%4."/>
      <w:lvlJc w:val="left"/>
      <w:pPr>
        <w:ind w:left="3241" w:hanging="360"/>
      </w:pPr>
    </w:lvl>
    <w:lvl w:ilvl="4" w:tplc="04050019" w:tentative="1">
      <w:start w:val="1"/>
      <w:numFmt w:val="lowerLetter"/>
      <w:lvlText w:val="%5."/>
      <w:lvlJc w:val="left"/>
      <w:pPr>
        <w:ind w:left="3961" w:hanging="360"/>
      </w:pPr>
    </w:lvl>
    <w:lvl w:ilvl="5" w:tplc="0405001B" w:tentative="1">
      <w:start w:val="1"/>
      <w:numFmt w:val="lowerRoman"/>
      <w:lvlText w:val="%6."/>
      <w:lvlJc w:val="right"/>
      <w:pPr>
        <w:ind w:left="4681" w:hanging="180"/>
      </w:pPr>
    </w:lvl>
    <w:lvl w:ilvl="6" w:tplc="0405000F" w:tentative="1">
      <w:start w:val="1"/>
      <w:numFmt w:val="decimal"/>
      <w:lvlText w:val="%7."/>
      <w:lvlJc w:val="left"/>
      <w:pPr>
        <w:ind w:left="5401" w:hanging="360"/>
      </w:pPr>
    </w:lvl>
    <w:lvl w:ilvl="7" w:tplc="04050019" w:tentative="1">
      <w:start w:val="1"/>
      <w:numFmt w:val="lowerLetter"/>
      <w:lvlText w:val="%8."/>
      <w:lvlJc w:val="left"/>
      <w:pPr>
        <w:ind w:left="6121" w:hanging="360"/>
      </w:pPr>
    </w:lvl>
    <w:lvl w:ilvl="8" w:tplc="0405001B" w:tentative="1">
      <w:start w:val="1"/>
      <w:numFmt w:val="lowerRoman"/>
      <w:lvlText w:val="%9."/>
      <w:lvlJc w:val="right"/>
      <w:pPr>
        <w:ind w:left="6841" w:hanging="180"/>
      </w:pPr>
    </w:lvl>
  </w:abstractNum>
  <w:abstractNum w:abstractNumId="22" w15:restartNumberingAfterBreak="0">
    <w:nsid w:val="629D7AB3"/>
    <w:multiLevelType w:val="hybridMultilevel"/>
    <w:tmpl w:val="C90EBF80"/>
    <w:lvl w:ilvl="0" w:tplc="3A80CEA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62A4744F"/>
    <w:multiLevelType w:val="multilevel"/>
    <w:tmpl w:val="9836F326"/>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decimal"/>
      <w:lvlText w:val="%1.%2.%3"/>
      <w:lvlJc w:val="left"/>
      <w:pPr>
        <w:ind w:left="1080" w:hanging="360"/>
      </w:pPr>
      <w:rPr>
        <w:rFonts w:ascii="Arial" w:hAnsi="Aria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2B03963"/>
    <w:multiLevelType w:val="multilevel"/>
    <w:tmpl w:val="7D8A9E9E"/>
    <w:lvl w:ilvl="0">
      <w:start w:val="1"/>
      <w:numFmt w:val="decimal"/>
      <w:lvlText w:val="%1."/>
      <w:lvlJc w:val="left"/>
      <w:pPr>
        <w:ind w:left="644" w:hanging="360"/>
      </w:pPr>
      <w:rPr>
        <w:rFonts w:asciiTheme="minorHAnsi" w:hAnsiTheme="minorHAnsi" w:hint="default"/>
        <w:b/>
        <w:bCs/>
        <w:i w:val="0"/>
        <w:iCs w:val="0"/>
        <w:caps w:val="0"/>
        <w:smallCaps w:val="0"/>
        <w:strike w:val="0"/>
        <w:dstrike w:val="0"/>
        <w:vanish w:val="0"/>
        <w:color w:val="auto"/>
        <w:spacing w:val="0"/>
        <w:w w:val="100"/>
        <w:kern w:val="0"/>
        <w:position w:val="0"/>
        <w:sz w:val="16"/>
        <w:szCs w:val="19"/>
        <w:u w:val="none" w:color="2C5234" w:themeColor="accent2"/>
        <w:effect w:val="none"/>
        <w:vertAlign w:val="baseline"/>
      </w:rPr>
    </w:lvl>
    <w:lvl w:ilvl="1">
      <w:start w:val="1"/>
      <w:numFmt w:val="upperLetter"/>
      <w:lvlText w:val="%2."/>
      <w:lvlJc w:val="left"/>
      <w:pPr>
        <w:tabs>
          <w:tab w:val="num" w:pos="142"/>
        </w:tabs>
        <w:ind w:left="142" w:firstLine="0"/>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effect w:val="none"/>
        <w:vertAlign w:val="baseline"/>
      </w:rPr>
    </w:lvl>
    <w:lvl w:ilvl="2">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4">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5">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6">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7">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8">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abstractNum>
  <w:abstractNum w:abstractNumId="25" w15:restartNumberingAfterBreak="0">
    <w:nsid w:val="64E61953"/>
    <w:multiLevelType w:val="multilevel"/>
    <w:tmpl w:val="B8481C14"/>
    <w:lvl w:ilvl="0">
      <w:start w:val="1"/>
      <w:numFmt w:val="lowerRoman"/>
      <w:lvlText w:val="%1."/>
      <w:lvlJc w:val="left"/>
      <w:pPr>
        <w:ind w:left="644" w:hanging="360"/>
      </w:pPr>
      <w:rPr>
        <w:rFonts w:asciiTheme="minorHAnsi" w:hAnsiTheme="minorHAnsi" w:hint="default"/>
        <w:b w:val="0"/>
        <w:bCs/>
        <w:i w:val="0"/>
        <w:iCs w:val="0"/>
        <w:caps w:val="0"/>
        <w:smallCaps w:val="0"/>
        <w:strike w:val="0"/>
        <w:dstrike w:val="0"/>
        <w:vanish w:val="0"/>
        <w:color w:val="auto"/>
        <w:spacing w:val="0"/>
        <w:w w:val="100"/>
        <w:kern w:val="0"/>
        <w:position w:val="0"/>
        <w:sz w:val="16"/>
        <w:szCs w:val="19"/>
        <w:u w:val="none" w:color="2C5234" w:themeColor="accent2"/>
        <w:effect w:val="none"/>
        <w:vertAlign w:val="baseline"/>
      </w:rPr>
    </w:lvl>
    <w:lvl w:ilvl="1">
      <w:start w:val="1"/>
      <w:numFmt w:val="upperLetter"/>
      <w:lvlText w:val="%2."/>
      <w:lvlJc w:val="left"/>
      <w:pPr>
        <w:tabs>
          <w:tab w:val="num" w:pos="142"/>
        </w:tabs>
        <w:ind w:left="142" w:firstLine="0"/>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effect w:val="none"/>
        <w:vertAlign w:val="baseline"/>
      </w:rPr>
    </w:lvl>
    <w:lvl w:ilvl="2">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4">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5">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6">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7">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8">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abstractNum>
  <w:abstractNum w:abstractNumId="26" w15:restartNumberingAfterBreak="0">
    <w:nsid w:val="68251CBC"/>
    <w:multiLevelType w:val="multilevel"/>
    <w:tmpl w:val="814CC1DA"/>
    <w:lvl w:ilvl="0">
      <w:start w:val="1"/>
      <w:numFmt w:val="lowerLetter"/>
      <w:lvlText w:val="%1)"/>
      <w:lvlJc w:val="left"/>
      <w:pPr>
        <w:ind w:left="720" w:hanging="360"/>
      </w:pPr>
      <w:rPr>
        <w:rFonts w:asciiTheme="minorHAnsi" w:hAnsiTheme="minorHAnsi"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AE80D93"/>
    <w:multiLevelType w:val="hybridMultilevel"/>
    <w:tmpl w:val="A3021A44"/>
    <w:lvl w:ilvl="0" w:tplc="3632A6E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70053B5D"/>
    <w:multiLevelType w:val="hybridMultilevel"/>
    <w:tmpl w:val="96585322"/>
    <w:lvl w:ilvl="0" w:tplc="3A80CEA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791A33A4"/>
    <w:multiLevelType w:val="hybridMultilevel"/>
    <w:tmpl w:val="33D6FF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28068C"/>
    <w:multiLevelType w:val="multilevel"/>
    <w:tmpl w:val="C07E196E"/>
    <w:lvl w:ilvl="0">
      <w:start w:val="1"/>
      <w:numFmt w:val="decimal"/>
      <w:pStyle w:val="Smlouvaheading1"/>
      <w:lvlText w:val="Článek %1."/>
      <w:lvlJc w:val="left"/>
      <w:pPr>
        <w:tabs>
          <w:tab w:val="num" w:pos="425"/>
        </w:tabs>
        <w:ind w:left="425" w:hanging="425"/>
      </w:pPr>
      <w:rPr>
        <w:rFonts w:hint="default"/>
      </w:rPr>
    </w:lvl>
    <w:lvl w:ilvl="1">
      <w:start w:val="1"/>
      <w:numFmt w:val="decimal"/>
      <w:pStyle w:val="Smlouvaheading2"/>
      <w:lvlText w:val="%1.%2"/>
      <w:lvlJc w:val="left"/>
      <w:pPr>
        <w:tabs>
          <w:tab w:val="num" w:pos="568"/>
        </w:tabs>
        <w:ind w:left="568" w:hanging="426"/>
      </w:pPr>
      <w:rPr>
        <w:rFonts w:hint="default"/>
        <w:b w:val="0"/>
      </w:rPr>
    </w:lvl>
    <w:lvl w:ilvl="2">
      <w:start w:val="1"/>
      <w:numFmt w:val="decimal"/>
      <w:pStyle w:val="Smlouvaheading3"/>
      <w:lvlText w:val="%1.%2.%3"/>
      <w:lvlJc w:val="left"/>
      <w:pPr>
        <w:tabs>
          <w:tab w:val="num" w:pos="1474"/>
        </w:tabs>
        <w:ind w:left="1474" w:hanging="623"/>
      </w:pPr>
      <w:rPr>
        <w:rFonts w:hint="default"/>
      </w:rPr>
    </w:lvl>
    <w:lvl w:ilvl="3">
      <w:start w:val="1"/>
      <w:numFmt w:val="decimal"/>
      <w:pStyle w:val="Smlouvaheading4"/>
      <w:lvlText w:val="%1.%2.%3.%4"/>
      <w:lvlJc w:val="left"/>
      <w:pPr>
        <w:tabs>
          <w:tab w:val="num" w:pos="2296"/>
        </w:tabs>
        <w:ind w:left="2296"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num>
  <w:num w:numId="4">
    <w:abstractNumId w:val="0"/>
  </w:num>
  <w:num w:numId="5">
    <w:abstractNumId w:val="14"/>
  </w:num>
  <w:num w:numId="6">
    <w:abstractNumId w:val="5"/>
  </w:num>
  <w:num w:numId="7">
    <w:abstractNumId w:val="30"/>
  </w:num>
  <w:num w:numId="8">
    <w:abstractNumId w:val="23"/>
  </w:num>
  <w:num w:numId="9">
    <w:abstractNumId w:val="11"/>
  </w:num>
  <w:num w:numId="10">
    <w:abstractNumId w:val="17"/>
  </w:num>
  <w:num w:numId="11">
    <w:abstractNumId w:val="26"/>
  </w:num>
  <w:num w:numId="12">
    <w:abstractNumId w:val="24"/>
  </w:num>
  <w:num w:numId="13">
    <w:abstractNumId w:val="25"/>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21"/>
  </w:num>
  <w:num w:numId="18">
    <w:abstractNumId w:val="15"/>
  </w:num>
  <w:num w:numId="19">
    <w:abstractNumId w:val="16"/>
  </w:num>
  <w:num w:numId="20">
    <w:abstractNumId w:val="9"/>
  </w:num>
  <w:num w:numId="21">
    <w:abstractNumId w:val="19"/>
  </w:num>
  <w:num w:numId="22">
    <w:abstractNumId w:val="27"/>
  </w:num>
  <w:num w:numId="23">
    <w:abstractNumId w:val="28"/>
  </w:num>
  <w:num w:numId="24">
    <w:abstractNumId w:val="6"/>
  </w:num>
  <w:num w:numId="25">
    <w:abstractNumId w:val="13"/>
  </w:num>
  <w:num w:numId="26">
    <w:abstractNumId w:val="22"/>
  </w:num>
  <w:num w:numId="27">
    <w:abstractNumId w:val="7"/>
  </w:num>
  <w:num w:numId="28">
    <w:abstractNumId w:val="18"/>
  </w:num>
  <w:num w:numId="29">
    <w:abstractNumId w:val="20"/>
  </w:num>
  <w:num w:numId="30">
    <w:abstractNumId w:val="29"/>
  </w:num>
  <w:num w:numId="31">
    <w:abstractNumId w:val="4"/>
  </w:num>
  <w:num w:numId="32">
    <w:abstractNumId w:val="12"/>
  </w:num>
  <w:num w:numId="33">
    <w:abstractNumId w:val="30"/>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grammar="clean"/>
  <w:stylePaneSortMethod w:val="00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43"/>
    <w:rsid w:val="000005FE"/>
    <w:rsid w:val="0000173F"/>
    <w:rsid w:val="000131A3"/>
    <w:rsid w:val="00013C0A"/>
    <w:rsid w:val="00014B89"/>
    <w:rsid w:val="000173B3"/>
    <w:rsid w:val="00020D44"/>
    <w:rsid w:val="000219AF"/>
    <w:rsid w:val="00021A39"/>
    <w:rsid w:val="00025E7D"/>
    <w:rsid w:val="000354B6"/>
    <w:rsid w:val="00035DBA"/>
    <w:rsid w:val="00037C17"/>
    <w:rsid w:val="00041DB4"/>
    <w:rsid w:val="000429AC"/>
    <w:rsid w:val="00042B6A"/>
    <w:rsid w:val="00042B99"/>
    <w:rsid w:val="000445D6"/>
    <w:rsid w:val="0004657A"/>
    <w:rsid w:val="000516C4"/>
    <w:rsid w:val="000517C0"/>
    <w:rsid w:val="00061444"/>
    <w:rsid w:val="000637A6"/>
    <w:rsid w:val="00066BBA"/>
    <w:rsid w:val="00071509"/>
    <w:rsid w:val="00083DD5"/>
    <w:rsid w:val="00085546"/>
    <w:rsid w:val="0008662A"/>
    <w:rsid w:val="00092341"/>
    <w:rsid w:val="000A5FAE"/>
    <w:rsid w:val="000A7F05"/>
    <w:rsid w:val="000B6C05"/>
    <w:rsid w:val="000C20BD"/>
    <w:rsid w:val="000C2B24"/>
    <w:rsid w:val="000C5EA5"/>
    <w:rsid w:val="000D2DE0"/>
    <w:rsid w:val="000E2C94"/>
    <w:rsid w:val="000E4AA4"/>
    <w:rsid w:val="000F0DFC"/>
    <w:rsid w:val="000F5C22"/>
    <w:rsid w:val="001010A6"/>
    <w:rsid w:val="0010113D"/>
    <w:rsid w:val="0010462B"/>
    <w:rsid w:val="001063F4"/>
    <w:rsid w:val="00111011"/>
    <w:rsid w:val="0011755F"/>
    <w:rsid w:val="00123AD3"/>
    <w:rsid w:val="001263BF"/>
    <w:rsid w:val="001265CF"/>
    <w:rsid w:val="00130191"/>
    <w:rsid w:val="001323FF"/>
    <w:rsid w:val="00135844"/>
    <w:rsid w:val="00136294"/>
    <w:rsid w:val="001457BC"/>
    <w:rsid w:val="00157BD7"/>
    <w:rsid w:val="00163881"/>
    <w:rsid w:val="001659E4"/>
    <w:rsid w:val="00167186"/>
    <w:rsid w:val="001708B9"/>
    <w:rsid w:val="0017280D"/>
    <w:rsid w:val="001757CE"/>
    <w:rsid w:val="00180B55"/>
    <w:rsid w:val="00180BDA"/>
    <w:rsid w:val="0018108F"/>
    <w:rsid w:val="001840F7"/>
    <w:rsid w:val="00186FC8"/>
    <w:rsid w:val="00193BE3"/>
    <w:rsid w:val="001975EF"/>
    <w:rsid w:val="0019765A"/>
    <w:rsid w:val="001A45CF"/>
    <w:rsid w:val="001B0F94"/>
    <w:rsid w:val="001B5C19"/>
    <w:rsid w:val="001D03A7"/>
    <w:rsid w:val="001D3086"/>
    <w:rsid w:val="001E016B"/>
    <w:rsid w:val="001E2C8D"/>
    <w:rsid w:val="001E5A04"/>
    <w:rsid w:val="001E7D3E"/>
    <w:rsid w:val="001F38BE"/>
    <w:rsid w:val="001F61B8"/>
    <w:rsid w:val="001F6839"/>
    <w:rsid w:val="00204CBA"/>
    <w:rsid w:val="00211AB1"/>
    <w:rsid w:val="00212852"/>
    <w:rsid w:val="00214FC4"/>
    <w:rsid w:val="00216CF6"/>
    <w:rsid w:val="00220CCF"/>
    <w:rsid w:val="00221C4A"/>
    <w:rsid w:val="00227F1F"/>
    <w:rsid w:val="00231B44"/>
    <w:rsid w:val="002340B6"/>
    <w:rsid w:val="00234BA2"/>
    <w:rsid w:val="00235582"/>
    <w:rsid w:val="00237008"/>
    <w:rsid w:val="002370AB"/>
    <w:rsid w:val="00237872"/>
    <w:rsid w:val="0024202F"/>
    <w:rsid w:val="00244010"/>
    <w:rsid w:val="00245BEB"/>
    <w:rsid w:val="00253371"/>
    <w:rsid w:val="00253D2A"/>
    <w:rsid w:val="00255D53"/>
    <w:rsid w:val="00277DBB"/>
    <w:rsid w:val="002930B2"/>
    <w:rsid w:val="00293F1F"/>
    <w:rsid w:val="00294BBA"/>
    <w:rsid w:val="002957E3"/>
    <w:rsid w:val="00295B52"/>
    <w:rsid w:val="00297214"/>
    <w:rsid w:val="002B2376"/>
    <w:rsid w:val="002B3C11"/>
    <w:rsid w:val="002B4054"/>
    <w:rsid w:val="002B4D02"/>
    <w:rsid w:val="002B6D2E"/>
    <w:rsid w:val="002B735A"/>
    <w:rsid w:val="002C5FEA"/>
    <w:rsid w:val="002C690A"/>
    <w:rsid w:val="002C6F50"/>
    <w:rsid w:val="002D09B0"/>
    <w:rsid w:val="002D41F7"/>
    <w:rsid w:val="002D43EF"/>
    <w:rsid w:val="002E0D3C"/>
    <w:rsid w:val="002E1C00"/>
    <w:rsid w:val="002E7099"/>
    <w:rsid w:val="002F027D"/>
    <w:rsid w:val="002F2418"/>
    <w:rsid w:val="002F2771"/>
    <w:rsid w:val="002F279A"/>
    <w:rsid w:val="003121C1"/>
    <w:rsid w:val="00316F63"/>
    <w:rsid w:val="0032373B"/>
    <w:rsid w:val="00331D1F"/>
    <w:rsid w:val="00337680"/>
    <w:rsid w:val="00350886"/>
    <w:rsid w:val="00357E4F"/>
    <w:rsid w:val="00367B44"/>
    <w:rsid w:val="00375EB8"/>
    <w:rsid w:val="00377AE4"/>
    <w:rsid w:val="003863C7"/>
    <w:rsid w:val="00390B3D"/>
    <w:rsid w:val="0039181B"/>
    <w:rsid w:val="003923FD"/>
    <w:rsid w:val="00392568"/>
    <w:rsid w:val="003A3D9F"/>
    <w:rsid w:val="003A494E"/>
    <w:rsid w:val="003B3379"/>
    <w:rsid w:val="003B3C47"/>
    <w:rsid w:val="003B3F96"/>
    <w:rsid w:val="003C12AF"/>
    <w:rsid w:val="003C1F22"/>
    <w:rsid w:val="003C4BE4"/>
    <w:rsid w:val="003C4DE4"/>
    <w:rsid w:val="003C787B"/>
    <w:rsid w:val="003D0767"/>
    <w:rsid w:val="003D1A80"/>
    <w:rsid w:val="003E138D"/>
    <w:rsid w:val="003E1820"/>
    <w:rsid w:val="003E49BA"/>
    <w:rsid w:val="003E572E"/>
    <w:rsid w:val="003F0CBB"/>
    <w:rsid w:val="003F2224"/>
    <w:rsid w:val="00404297"/>
    <w:rsid w:val="004052BC"/>
    <w:rsid w:val="004066C3"/>
    <w:rsid w:val="00412EA0"/>
    <w:rsid w:val="00413084"/>
    <w:rsid w:val="004314E1"/>
    <w:rsid w:val="00432002"/>
    <w:rsid w:val="0044117C"/>
    <w:rsid w:val="0044558B"/>
    <w:rsid w:val="004509E3"/>
    <w:rsid w:val="00451886"/>
    <w:rsid w:val="00451AD9"/>
    <w:rsid w:val="004638AA"/>
    <w:rsid w:val="00473614"/>
    <w:rsid w:val="0048008E"/>
    <w:rsid w:val="0048369A"/>
    <w:rsid w:val="004860A3"/>
    <w:rsid w:val="00486736"/>
    <w:rsid w:val="004945DF"/>
    <w:rsid w:val="004A0DCC"/>
    <w:rsid w:val="004A0FBB"/>
    <w:rsid w:val="004A11A0"/>
    <w:rsid w:val="004A6C6D"/>
    <w:rsid w:val="004C2616"/>
    <w:rsid w:val="004D159E"/>
    <w:rsid w:val="004D1F57"/>
    <w:rsid w:val="004D49FC"/>
    <w:rsid w:val="004F47B4"/>
    <w:rsid w:val="004F4A4B"/>
    <w:rsid w:val="00501EFF"/>
    <w:rsid w:val="00526863"/>
    <w:rsid w:val="005270F9"/>
    <w:rsid w:val="00542505"/>
    <w:rsid w:val="00543BA8"/>
    <w:rsid w:val="00544D24"/>
    <w:rsid w:val="00551F0C"/>
    <w:rsid w:val="00563C6F"/>
    <w:rsid w:val="00564F21"/>
    <w:rsid w:val="00573556"/>
    <w:rsid w:val="00573D2F"/>
    <w:rsid w:val="005843DE"/>
    <w:rsid w:val="00585334"/>
    <w:rsid w:val="00591A85"/>
    <w:rsid w:val="00593BF7"/>
    <w:rsid w:val="005967D7"/>
    <w:rsid w:val="0059682F"/>
    <w:rsid w:val="005969FB"/>
    <w:rsid w:val="00597899"/>
    <w:rsid w:val="005A28A4"/>
    <w:rsid w:val="005A2F04"/>
    <w:rsid w:val="005A5D31"/>
    <w:rsid w:val="005A6392"/>
    <w:rsid w:val="005B6B53"/>
    <w:rsid w:val="005C004C"/>
    <w:rsid w:val="005C23D6"/>
    <w:rsid w:val="005C42A6"/>
    <w:rsid w:val="005D5512"/>
    <w:rsid w:val="005E3501"/>
    <w:rsid w:val="005F24AD"/>
    <w:rsid w:val="005F3D7B"/>
    <w:rsid w:val="005F525A"/>
    <w:rsid w:val="005F54F5"/>
    <w:rsid w:val="005F68FD"/>
    <w:rsid w:val="005F74C0"/>
    <w:rsid w:val="00601829"/>
    <w:rsid w:val="00605199"/>
    <w:rsid w:val="00624C5E"/>
    <w:rsid w:val="00626F7B"/>
    <w:rsid w:val="00626FD8"/>
    <w:rsid w:val="006270EC"/>
    <w:rsid w:val="006464CD"/>
    <w:rsid w:val="00650D85"/>
    <w:rsid w:val="006528C9"/>
    <w:rsid w:val="006673E8"/>
    <w:rsid w:val="00671567"/>
    <w:rsid w:val="00671EC0"/>
    <w:rsid w:val="006746CB"/>
    <w:rsid w:val="00676F48"/>
    <w:rsid w:val="0067770B"/>
    <w:rsid w:val="00686056"/>
    <w:rsid w:val="00691C32"/>
    <w:rsid w:val="0069330A"/>
    <w:rsid w:val="006947C4"/>
    <w:rsid w:val="006A473D"/>
    <w:rsid w:val="006B0513"/>
    <w:rsid w:val="006B16E0"/>
    <w:rsid w:val="006B24BB"/>
    <w:rsid w:val="006B30D1"/>
    <w:rsid w:val="006B4816"/>
    <w:rsid w:val="006C0902"/>
    <w:rsid w:val="006C1E9E"/>
    <w:rsid w:val="006C4B90"/>
    <w:rsid w:val="006C5AD3"/>
    <w:rsid w:val="006C617F"/>
    <w:rsid w:val="006D6A17"/>
    <w:rsid w:val="006E3221"/>
    <w:rsid w:val="00705766"/>
    <w:rsid w:val="00716314"/>
    <w:rsid w:val="007172D9"/>
    <w:rsid w:val="00720888"/>
    <w:rsid w:val="0072138D"/>
    <w:rsid w:val="0072746D"/>
    <w:rsid w:val="007312AA"/>
    <w:rsid w:val="00733D56"/>
    <w:rsid w:val="007342AA"/>
    <w:rsid w:val="00734C1B"/>
    <w:rsid w:val="007460A4"/>
    <w:rsid w:val="00750D3B"/>
    <w:rsid w:val="00750F80"/>
    <w:rsid w:val="007516F0"/>
    <w:rsid w:val="00753841"/>
    <w:rsid w:val="00753A99"/>
    <w:rsid w:val="007550AB"/>
    <w:rsid w:val="007604FB"/>
    <w:rsid w:val="007653DA"/>
    <w:rsid w:val="0076614E"/>
    <w:rsid w:val="00773725"/>
    <w:rsid w:val="00784EB7"/>
    <w:rsid w:val="0079305A"/>
    <w:rsid w:val="007A1421"/>
    <w:rsid w:val="007B29C4"/>
    <w:rsid w:val="007B2FB1"/>
    <w:rsid w:val="007C008A"/>
    <w:rsid w:val="007C0C20"/>
    <w:rsid w:val="007C2A5C"/>
    <w:rsid w:val="007C7944"/>
    <w:rsid w:val="007C7C55"/>
    <w:rsid w:val="007E03C0"/>
    <w:rsid w:val="007E2034"/>
    <w:rsid w:val="007E2836"/>
    <w:rsid w:val="007E47EF"/>
    <w:rsid w:val="007E568A"/>
    <w:rsid w:val="007F0D03"/>
    <w:rsid w:val="007F4828"/>
    <w:rsid w:val="008005C8"/>
    <w:rsid w:val="008006BE"/>
    <w:rsid w:val="00802289"/>
    <w:rsid w:val="0080397A"/>
    <w:rsid w:val="00803CB7"/>
    <w:rsid w:val="00807054"/>
    <w:rsid w:val="0080728A"/>
    <w:rsid w:val="00807803"/>
    <w:rsid w:val="00813DBC"/>
    <w:rsid w:val="00813F7A"/>
    <w:rsid w:val="00821F18"/>
    <w:rsid w:val="00822995"/>
    <w:rsid w:val="00822FC7"/>
    <w:rsid w:val="00825CB7"/>
    <w:rsid w:val="00826E16"/>
    <w:rsid w:val="00855A9A"/>
    <w:rsid w:val="00856A0E"/>
    <w:rsid w:val="008631CE"/>
    <w:rsid w:val="0086443E"/>
    <w:rsid w:val="008679E9"/>
    <w:rsid w:val="00872FD2"/>
    <w:rsid w:val="00873D35"/>
    <w:rsid w:val="00876869"/>
    <w:rsid w:val="008832E9"/>
    <w:rsid w:val="00887A84"/>
    <w:rsid w:val="00894F9A"/>
    <w:rsid w:val="00896BD0"/>
    <w:rsid w:val="008A70D1"/>
    <w:rsid w:val="008B26FD"/>
    <w:rsid w:val="008B2E86"/>
    <w:rsid w:val="008B2F37"/>
    <w:rsid w:val="008B434C"/>
    <w:rsid w:val="008C0AB9"/>
    <w:rsid w:val="008C0EAA"/>
    <w:rsid w:val="008C5A91"/>
    <w:rsid w:val="008E1D41"/>
    <w:rsid w:val="008E2830"/>
    <w:rsid w:val="008E3008"/>
    <w:rsid w:val="008E7B8E"/>
    <w:rsid w:val="008E7ED3"/>
    <w:rsid w:val="008F1380"/>
    <w:rsid w:val="008F31BA"/>
    <w:rsid w:val="00900B15"/>
    <w:rsid w:val="00904097"/>
    <w:rsid w:val="009053F7"/>
    <w:rsid w:val="00905422"/>
    <w:rsid w:val="00930258"/>
    <w:rsid w:val="00930A39"/>
    <w:rsid w:val="009350F0"/>
    <w:rsid w:val="009419A4"/>
    <w:rsid w:val="00952D32"/>
    <w:rsid w:val="009575EA"/>
    <w:rsid w:val="00957BA0"/>
    <w:rsid w:val="00971261"/>
    <w:rsid w:val="00977BEA"/>
    <w:rsid w:val="00991538"/>
    <w:rsid w:val="0099372E"/>
    <w:rsid w:val="00994C96"/>
    <w:rsid w:val="00995104"/>
    <w:rsid w:val="009A0464"/>
    <w:rsid w:val="009A44A5"/>
    <w:rsid w:val="009A4B11"/>
    <w:rsid w:val="009B058D"/>
    <w:rsid w:val="009B139F"/>
    <w:rsid w:val="009B2D95"/>
    <w:rsid w:val="009B60B8"/>
    <w:rsid w:val="009C403B"/>
    <w:rsid w:val="009C6EE0"/>
    <w:rsid w:val="009D3564"/>
    <w:rsid w:val="009D5174"/>
    <w:rsid w:val="009D57E3"/>
    <w:rsid w:val="009D5F93"/>
    <w:rsid w:val="009E006D"/>
    <w:rsid w:val="009E0A65"/>
    <w:rsid w:val="009E5122"/>
    <w:rsid w:val="009E7724"/>
    <w:rsid w:val="00A043CA"/>
    <w:rsid w:val="00A063EE"/>
    <w:rsid w:val="00A0784F"/>
    <w:rsid w:val="00A161A4"/>
    <w:rsid w:val="00A17957"/>
    <w:rsid w:val="00A22C63"/>
    <w:rsid w:val="00A253B8"/>
    <w:rsid w:val="00A31E80"/>
    <w:rsid w:val="00A32258"/>
    <w:rsid w:val="00A33333"/>
    <w:rsid w:val="00A37554"/>
    <w:rsid w:val="00A43B3E"/>
    <w:rsid w:val="00A659E1"/>
    <w:rsid w:val="00A7281A"/>
    <w:rsid w:val="00A80E26"/>
    <w:rsid w:val="00A8104F"/>
    <w:rsid w:val="00A85445"/>
    <w:rsid w:val="00A900CC"/>
    <w:rsid w:val="00A9095F"/>
    <w:rsid w:val="00A96951"/>
    <w:rsid w:val="00A97EDE"/>
    <w:rsid w:val="00AA34E3"/>
    <w:rsid w:val="00AA4905"/>
    <w:rsid w:val="00AB32A9"/>
    <w:rsid w:val="00AB3DD5"/>
    <w:rsid w:val="00AC02AA"/>
    <w:rsid w:val="00AC1D94"/>
    <w:rsid w:val="00AC2081"/>
    <w:rsid w:val="00AD1749"/>
    <w:rsid w:val="00AD6475"/>
    <w:rsid w:val="00AE0FC7"/>
    <w:rsid w:val="00AE6C40"/>
    <w:rsid w:val="00AE710A"/>
    <w:rsid w:val="00AF1E66"/>
    <w:rsid w:val="00AF692F"/>
    <w:rsid w:val="00B020E4"/>
    <w:rsid w:val="00B055B1"/>
    <w:rsid w:val="00B0660D"/>
    <w:rsid w:val="00B06697"/>
    <w:rsid w:val="00B176C3"/>
    <w:rsid w:val="00B204BA"/>
    <w:rsid w:val="00B20E03"/>
    <w:rsid w:val="00B253A1"/>
    <w:rsid w:val="00B262AB"/>
    <w:rsid w:val="00B33CB7"/>
    <w:rsid w:val="00B352FA"/>
    <w:rsid w:val="00B36B5C"/>
    <w:rsid w:val="00B36D31"/>
    <w:rsid w:val="00B43146"/>
    <w:rsid w:val="00B46969"/>
    <w:rsid w:val="00B47A1D"/>
    <w:rsid w:val="00B51A89"/>
    <w:rsid w:val="00B57046"/>
    <w:rsid w:val="00B615EA"/>
    <w:rsid w:val="00B617CD"/>
    <w:rsid w:val="00B65145"/>
    <w:rsid w:val="00B66FC9"/>
    <w:rsid w:val="00B7025F"/>
    <w:rsid w:val="00B71F0C"/>
    <w:rsid w:val="00B76AF5"/>
    <w:rsid w:val="00B805E0"/>
    <w:rsid w:val="00B955FF"/>
    <w:rsid w:val="00B962CB"/>
    <w:rsid w:val="00BB12C1"/>
    <w:rsid w:val="00BB4A7A"/>
    <w:rsid w:val="00BB6CB3"/>
    <w:rsid w:val="00BC0047"/>
    <w:rsid w:val="00BC266F"/>
    <w:rsid w:val="00BD2206"/>
    <w:rsid w:val="00BE48D2"/>
    <w:rsid w:val="00BE7509"/>
    <w:rsid w:val="00BE77B1"/>
    <w:rsid w:val="00BF67EE"/>
    <w:rsid w:val="00BF6F8B"/>
    <w:rsid w:val="00C04DCF"/>
    <w:rsid w:val="00C04F0F"/>
    <w:rsid w:val="00C06177"/>
    <w:rsid w:val="00C075EA"/>
    <w:rsid w:val="00C14C5A"/>
    <w:rsid w:val="00C158DA"/>
    <w:rsid w:val="00C23990"/>
    <w:rsid w:val="00C25EC1"/>
    <w:rsid w:val="00C34C43"/>
    <w:rsid w:val="00C41BEB"/>
    <w:rsid w:val="00C4550A"/>
    <w:rsid w:val="00C50A26"/>
    <w:rsid w:val="00C56476"/>
    <w:rsid w:val="00C61AC6"/>
    <w:rsid w:val="00C702C7"/>
    <w:rsid w:val="00C7429C"/>
    <w:rsid w:val="00C762EB"/>
    <w:rsid w:val="00C7751E"/>
    <w:rsid w:val="00C81837"/>
    <w:rsid w:val="00C8703B"/>
    <w:rsid w:val="00CA4E63"/>
    <w:rsid w:val="00CA5B05"/>
    <w:rsid w:val="00CC2A1A"/>
    <w:rsid w:val="00CC5E8F"/>
    <w:rsid w:val="00CC69B1"/>
    <w:rsid w:val="00CD2311"/>
    <w:rsid w:val="00CD5842"/>
    <w:rsid w:val="00CE1D9F"/>
    <w:rsid w:val="00CF3CA4"/>
    <w:rsid w:val="00CF546E"/>
    <w:rsid w:val="00CF7F7F"/>
    <w:rsid w:val="00D0023B"/>
    <w:rsid w:val="00D01239"/>
    <w:rsid w:val="00D149B4"/>
    <w:rsid w:val="00D15733"/>
    <w:rsid w:val="00D16A2C"/>
    <w:rsid w:val="00D21B41"/>
    <w:rsid w:val="00D236E8"/>
    <w:rsid w:val="00D27B73"/>
    <w:rsid w:val="00D329DF"/>
    <w:rsid w:val="00D33A2B"/>
    <w:rsid w:val="00D35C72"/>
    <w:rsid w:val="00D36E73"/>
    <w:rsid w:val="00D4280C"/>
    <w:rsid w:val="00D5297D"/>
    <w:rsid w:val="00D52A6A"/>
    <w:rsid w:val="00D61DFC"/>
    <w:rsid w:val="00D6230E"/>
    <w:rsid w:val="00D75254"/>
    <w:rsid w:val="00D768FD"/>
    <w:rsid w:val="00D7732D"/>
    <w:rsid w:val="00D77643"/>
    <w:rsid w:val="00D8016F"/>
    <w:rsid w:val="00D815D0"/>
    <w:rsid w:val="00DA1962"/>
    <w:rsid w:val="00DA2169"/>
    <w:rsid w:val="00DB0CB1"/>
    <w:rsid w:val="00DB1816"/>
    <w:rsid w:val="00DB5D79"/>
    <w:rsid w:val="00DC4D91"/>
    <w:rsid w:val="00DC6493"/>
    <w:rsid w:val="00DC65D0"/>
    <w:rsid w:val="00DD5A1B"/>
    <w:rsid w:val="00DD715C"/>
    <w:rsid w:val="00DE18BC"/>
    <w:rsid w:val="00DE4E01"/>
    <w:rsid w:val="00DE7594"/>
    <w:rsid w:val="00DF4B62"/>
    <w:rsid w:val="00E0517E"/>
    <w:rsid w:val="00E0575B"/>
    <w:rsid w:val="00E15DEF"/>
    <w:rsid w:val="00E15E9E"/>
    <w:rsid w:val="00E26113"/>
    <w:rsid w:val="00E266A4"/>
    <w:rsid w:val="00E307B8"/>
    <w:rsid w:val="00E35306"/>
    <w:rsid w:val="00E35847"/>
    <w:rsid w:val="00E36C7A"/>
    <w:rsid w:val="00E4362E"/>
    <w:rsid w:val="00E50FBB"/>
    <w:rsid w:val="00E514F8"/>
    <w:rsid w:val="00E51605"/>
    <w:rsid w:val="00E54BEF"/>
    <w:rsid w:val="00E56993"/>
    <w:rsid w:val="00E56F4A"/>
    <w:rsid w:val="00E7797E"/>
    <w:rsid w:val="00E82807"/>
    <w:rsid w:val="00E83F73"/>
    <w:rsid w:val="00E867F7"/>
    <w:rsid w:val="00E87432"/>
    <w:rsid w:val="00E943B8"/>
    <w:rsid w:val="00E94C20"/>
    <w:rsid w:val="00EA0D5A"/>
    <w:rsid w:val="00EA300D"/>
    <w:rsid w:val="00EA44E1"/>
    <w:rsid w:val="00EB209E"/>
    <w:rsid w:val="00EB5CD1"/>
    <w:rsid w:val="00EC6CC9"/>
    <w:rsid w:val="00ED5DBC"/>
    <w:rsid w:val="00EE16D4"/>
    <w:rsid w:val="00EE2C87"/>
    <w:rsid w:val="00EE61A2"/>
    <w:rsid w:val="00EF0925"/>
    <w:rsid w:val="00EF4086"/>
    <w:rsid w:val="00F045B9"/>
    <w:rsid w:val="00F1518C"/>
    <w:rsid w:val="00F15F5C"/>
    <w:rsid w:val="00F17C20"/>
    <w:rsid w:val="00F23266"/>
    <w:rsid w:val="00F3081C"/>
    <w:rsid w:val="00F41AD7"/>
    <w:rsid w:val="00F448EC"/>
    <w:rsid w:val="00F45C79"/>
    <w:rsid w:val="00F506EF"/>
    <w:rsid w:val="00F5140D"/>
    <w:rsid w:val="00F55BAD"/>
    <w:rsid w:val="00F565A3"/>
    <w:rsid w:val="00F600EA"/>
    <w:rsid w:val="00F63242"/>
    <w:rsid w:val="00F64334"/>
    <w:rsid w:val="00F66FD8"/>
    <w:rsid w:val="00F7435C"/>
    <w:rsid w:val="00F9119D"/>
    <w:rsid w:val="00F91722"/>
    <w:rsid w:val="00F94990"/>
    <w:rsid w:val="00F973D7"/>
    <w:rsid w:val="00FA6EC4"/>
    <w:rsid w:val="00FB0CB7"/>
    <w:rsid w:val="00FB25C1"/>
    <w:rsid w:val="00FB6C38"/>
    <w:rsid w:val="00FC1E31"/>
    <w:rsid w:val="00FC2104"/>
    <w:rsid w:val="00FC2B0D"/>
    <w:rsid w:val="00FC3A87"/>
    <w:rsid w:val="00FC5C06"/>
    <w:rsid w:val="00FC7B9F"/>
    <w:rsid w:val="00FD505C"/>
    <w:rsid w:val="00FD5421"/>
    <w:rsid w:val="00FD59D7"/>
    <w:rsid w:val="00FE7D65"/>
    <w:rsid w:val="00FE7E6F"/>
    <w:rsid w:val="00FF0F52"/>
    <w:rsid w:val="00FF1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5081B8"/>
  <w15:docId w15:val="{09ED99E0-453D-4B4A-8F37-65F7D5C3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iPriority="0"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50AB"/>
    <w:pPr>
      <w:spacing w:after="240" w:line="240" w:lineRule="atLeast"/>
    </w:pPr>
    <w:rPr>
      <w:sz w:val="18"/>
      <w:szCs w:val="22"/>
      <w:lang w:val="en-US" w:eastAsia="en-US"/>
    </w:rPr>
  </w:style>
  <w:style w:type="paragraph" w:styleId="Nadpis1">
    <w:name w:val="heading 1"/>
    <w:basedOn w:val="Normln"/>
    <w:next w:val="Normln"/>
    <w:link w:val="Nadpis1Char"/>
    <w:qFormat/>
    <w:rsid w:val="007550AB"/>
    <w:pPr>
      <w:keepNext/>
      <w:keepLines/>
      <w:spacing w:after="0"/>
      <w:outlineLvl w:val="0"/>
    </w:pPr>
    <w:rPr>
      <w:rFonts w:eastAsia="MingLiU"/>
      <w:b/>
      <w:bCs/>
      <w:color w:val="62B5E5"/>
      <w:szCs w:val="28"/>
    </w:rPr>
  </w:style>
  <w:style w:type="paragraph" w:styleId="Nadpis2">
    <w:name w:val="heading 2"/>
    <w:basedOn w:val="Normln"/>
    <w:next w:val="Normln"/>
    <w:link w:val="Nadpis2Char"/>
    <w:qFormat/>
    <w:rsid w:val="007550AB"/>
    <w:pPr>
      <w:keepNext/>
      <w:keepLines/>
      <w:spacing w:after="0"/>
      <w:outlineLvl w:val="1"/>
    </w:pPr>
    <w:rPr>
      <w:rFonts w:eastAsia="MingLiU"/>
      <w:b/>
      <w:bCs/>
      <w:color w:val="000000"/>
      <w:szCs w:val="26"/>
    </w:rPr>
  </w:style>
  <w:style w:type="paragraph" w:styleId="Nadpis3">
    <w:name w:val="heading 3"/>
    <w:basedOn w:val="Normln"/>
    <w:next w:val="Normln"/>
    <w:link w:val="Nadpis3Char"/>
    <w:qFormat/>
    <w:rsid w:val="00CC2A1A"/>
    <w:pPr>
      <w:keepNext/>
      <w:keepLines/>
      <w:spacing w:after="0"/>
      <w:outlineLvl w:val="2"/>
    </w:pPr>
    <w:rPr>
      <w:rFonts w:eastAsia="MingLiU"/>
      <w:b/>
      <w:bCs/>
      <w:color w:val="75787B"/>
    </w:rPr>
  </w:style>
  <w:style w:type="paragraph" w:styleId="Nadpis4">
    <w:name w:val="heading 4"/>
    <w:basedOn w:val="Normln"/>
    <w:next w:val="Normln"/>
    <w:link w:val="Nadpis4Char"/>
    <w:qFormat/>
    <w:rsid w:val="00255D53"/>
    <w:pPr>
      <w:keepNext/>
      <w:keepLines/>
      <w:tabs>
        <w:tab w:val="left" w:pos="340"/>
      </w:tabs>
      <w:spacing w:after="0"/>
      <w:outlineLvl w:val="3"/>
    </w:pPr>
    <w:rPr>
      <w:rFonts w:eastAsia="MingLiU"/>
      <w:b/>
      <w:bCs/>
      <w:iCs/>
      <w:color w:val="000000"/>
    </w:rPr>
  </w:style>
  <w:style w:type="paragraph" w:styleId="Nadpis5">
    <w:name w:val="heading 5"/>
    <w:basedOn w:val="Normln"/>
    <w:next w:val="Normln"/>
    <w:link w:val="Nadpis5Char"/>
    <w:unhideWhenUsed/>
    <w:qFormat/>
    <w:rsid w:val="00B7025F"/>
    <w:pPr>
      <w:keepNext/>
      <w:keepLines/>
      <w:spacing w:before="240" w:line="240" w:lineRule="auto"/>
      <w:ind w:left="1008" w:hanging="1008"/>
      <w:outlineLvl w:val="4"/>
    </w:pPr>
    <w:rPr>
      <w:rFonts w:ascii="Arial" w:eastAsiaTheme="majorEastAsia" w:hAnsi="Arial" w:cstheme="majorBidi"/>
      <w:b/>
      <w:i/>
      <w:color w:val="425D12" w:themeColor="accent1" w:themeShade="7F"/>
      <w:sz w:val="24"/>
      <w:szCs w:val="24"/>
    </w:rPr>
  </w:style>
  <w:style w:type="paragraph" w:styleId="Nadpis6">
    <w:name w:val="heading 6"/>
    <w:basedOn w:val="Normln"/>
    <w:next w:val="Normln"/>
    <w:link w:val="Nadpis6Char"/>
    <w:unhideWhenUsed/>
    <w:qFormat/>
    <w:rsid w:val="00B7025F"/>
    <w:pPr>
      <w:keepNext/>
      <w:keepLines/>
      <w:spacing w:before="240" w:line="240" w:lineRule="auto"/>
      <w:ind w:left="1152" w:hanging="1152"/>
      <w:outlineLvl w:val="5"/>
    </w:pPr>
    <w:rPr>
      <w:rFonts w:ascii="Arial" w:eastAsiaTheme="majorEastAsia" w:hAnsi="Arial" w:cstheme="majorBidi"/>
      <w:i/>
      <w:iCs/>
      <w:color w:val="425D12" w:themeColor="accent1" w:themeShade="7F"/>
      <w:sz w:val="24"/>
      <w:szCs w:val="24"/>
    </w:rPr>
  </w:style>
  <w:style w:type="paragraph" w:styleId="Nadpis7">
    <w:name w:val="heading 7"/>
    <w:basedOn w:val="Normln"/>
    <w:next w:val="Normln"/>
    <w:link w:val="Nadpis7Char"/>
    <w:unhideWhenUsed/>
    <w:qFormat/>
    <w:rsid w:val="00B7025F"/>
    <w:pPr>
      <w:keepNext/>
      <w:keepLines/>
      <w:spacing w:before="240" w:line="240" w:lineRule="auto"/>
      <w:ind w:left="1296" w:hanging="1296"/>
      <w:outlineLvl w:val="6"/>
    </w:pPr>
    <w:rPr>
      <w:rFonts w:ascii="Arial" w:eastAsiaTheme="majorEastAsia" w:hAnsi="Arial" w:cstheme="majorBidi"/>
      <w:i/>
      <w:iCs/>
      <w:color w:val="404040" w:themeColor="text1" w:themeTint="BF"/>
      <w:sz w:val="22"/>
      <w:szCs w:val="24"/>
    </w:rPr>
  </w:style>
  <w:style w:type="paragraph" w:styleId="Nadpis8">
    <w:name w:val="heading 8"/>
    <w:aliases w:val="(Appendici)"/>
    <w:basedOn w:val="Normln"/>
    <w:next w:val="Normln"/>
    <w:link w:val="Nadpis8Char"/>
    <w:unhideWhenUsed/>
    <w:qFormat/>
    <w:rsid w:val="00B7025F"/>
    <w:pPr>
      <w:keepNext/>
      <w:keepLines/>
      <w:spacing w:before="240" w:line="240" w:lineRule="auto"/>
      <w:ind w:left="1440" w:hanging="1440"/>
      <w:outlineLvl w:val="7"/>
    </w:pPr>
    <w:rPr>
      <w:rFonts w:ascii="Arial" w:eastAsiaTheme="majorEastAsia" w:hAnsi="Arial" w:cstheme="majorBidi"/>
      <w:i/>
      <w:color w:val="404040" w:themeColor="text1" w:themeTint="BF"/>
      <w:sz w:val="20"/>
      <w:szCs w:val="20"/>
    </w:rPr>
  </w:style>
  <w:style w:type="paragraph" w:styleId="Nadpis9">
    <w:name w:val="heading 9"/>
    <w:aliases w:val="(Bibliografia)"/>
    <w:basedOn w:val="Normln"/>
    <w:next w:val="Normln"/>
    <w:link w:val="Nadpis9Char"/>
    <w:unhideWhenUsed/>
    <w:qFormat/>
    <w:rsid w:val="00B7025F"/>
    <w:pPr>
      <w:keepNext/>
      <w:keepLines/>
      <w:spacing w:before="240" w:line="240" w:lineRule="auto"/>
      <w:ind w:left="1584" w:hanging="1584"/>
      <w:outlineLvl w:val="8"/>
    </w:pPr>
    <w:rPr>
      <w:rFonts w:ascii="Arial" w:eastAsiaTheme="majorEastAsia" w:hAnsi="Arial"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550AB"/>
    <w:rPr>
      <w:rFonts w:ascii="Verdana" w:eastAsia="MingLiU" w:hAnsi="Verdana" w:cs="Times New Roman"/>
      <w:b/>
      <w:bCs/>
      <w:color w:val="62B5E5"/>
      <w:sz w:val="18"/>
      <w:szCs w:val="28"/>
      <w:lang w:val="en-US"/>
    </w:rPr>
  </w:style>
  <w:style w:type="character" w:customStyle="1" w:styleId="Nadpis2Char">
    <w:name w:val="Nadpis 2 Char"/>
    <w:link w:val="Nadpis2"/>
    <w:uiPriority w:val="9"/>
    <w:rsid w:val="007550AB"/>
    <w:rPr>
      <w:rFonts w:ascii="Verdana" w:eastAsia="MingLiU" w:hAnsi="Verdana" w:cs="Times New Roman"/>
      <w:b/>
      <w:bCs/>
      <w:color w:val="000000"/>
      <w:sz w:val="18"/>
      <w:szCs w:val="26"/>
      <w:lang w:val="en-US"/>
    </w:rPr>
  </w:style>
  <w:style w:type="table" w:styleId="Mkatabulky">
    <w:name w:val="Table Grid"/>
    <w:aliases w:val="Deloitte table 3"/>
    <w:basedOn w:val="Normlntabulka"/>
    <w:rsid w:val="001E016B"/>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Zhlav">
    <w:name w:val="header"/>
    <w:link w:val="ZhlavChar"/>
    <w:uiPriority w:val="99"/>
    <w:rsid w:val="008631CE"/>
    <w:pPr>
      <w:tabs>
        <w:tab w:val="center" w:pos="4513"/>
        <w:tab w:val="right" w:pos="9026"/>
      </w:tabs>
    </w:pPr>
    <w:rPr>
      <w:b/>
      <w:sz w:val="14"/>
      <w:szCs w:val="22"/>
      <w:lang w:val="en-US" w:eastAsia="en-US"/>
    </w:rPr>
  </w:style>
  <w:style w:type="character" w:customStyle="1" w:styleId="ZhlavChar">
    <w:name w:val="Záhlaví Char"/>
    <w:link w:val="Zhlav"/>
    <w:uiPriority w:val="99"/>
    <w:rsid w:val="008631CE"/>
    <w:rPr>
      <w:b/>
      <w:sz w:val="14"/>
      <w:lang w:val="en-US"/>
    </w:rPr>
  </w:style>
  <w:style w:type="paragraph" w:styleId="Zpat">
    <w:name w:val="footer"/>
    <w:basedOn w:val="Normln"/>
    <w:link w:val="ZpatChar"/>
    <w:uiPriority w:val="99"/>
    <w:rsid w:val="001975EF"/>
    <w:pPr>
      <w:tabs>
        <w:tab w:val="right" w:pos="7371"/>
      </w:tabs>
      <w:spacing w:after="0" w:line="200" w:lineRule="atLeast"/>
    </w:pPr>
    <w:rPr>
      <w:sz w:val="16"/>
    </w:rPr>
  </w:style>
  <w:style w:type="character" w:customStyle="1" w:styleId="ZpatChar">
    <w:name w:val="Zápatí Char"/>
    <w:link w:val="Zpat"/>
    <w:uiPriority w:val="99"/>
    <w:rsid w:val="007550AB"/>
    <w:rPr>
      <w:sz w:val="16"/>
      <w:lang w:val="en-US"/>
    </w:rPr>
  </w:style>
  <w:style w:type="paragraph" w:styleId="Textbubliny">
    <w:name w:val="Balloon Text"/>
    <w:basedOn w:val="Normln"/>
    <w:link w:val="TextbublinyChar"/>
    <w:semiHidden/>
    <w:rsid w:val="00C702C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702C7"/>
    <w:rPr>
      <w:rFonts w:ascii="Tahoma" w:hAnsi="Tahoma" w:cs="Tahoma"/>
      <w:sz w:val="16"/>
      <w:szCs w:val="16"/>
    </w:rPr>
  </w:style>
  <w:style w:type="paragraph" w:customStyle="1" w:styleId="Subject">
    <w:name w:val="Subject"/>
    <w:basedOn w:val="Normln"/>
    <w:semiHidden/>
    <w:qFormat/>
    <w:rsid w:val="00A43B3E"/>
    <w:rPr>
      <w:b/>
    </w:rPr>
  </w:style>
  <w:style w:type="character" w:styleId="Zstupntext">
    <w:name w:val="Placeholder Text"/>
    <w:uiPriority w:val="99"/>
    <w:semiHidden/>
    <w:rsid w:val="001975EF"/>
    <w:rPr>
      <w:color w:val="808080"/>
    </w:rPr>
  </w:style>
  <w:style w:type="paragraph" w:styleId="Seznamsodrkami">
    <w:name w:val="List Bullet"/>
    <w:basedOn w:val="Normln"/>
    <w:uiPriority w:val="99"/>
    <w:qFormat/>
    <w:rsid w:val="00544D24"/>
    <w:pPr>
      <w:numPr>
        <w:numId w:val="1"/>
      </w:numPr>
      <w:tabs>
        <w:tab w:val="clear" w:pos="360"/>
      </w:tabs>
      <w:spacing w:after="0"/>
      <w:ind w:left="284" w:hanging="284"/>
      <w:contextualSpacing/>
    </w:pPr>
  </w:style>
  <w:style w:type="paragraph" w:styleId="Seznamsodrkami2">
    <w:name w:val="List Bullet 2"/>
    <w:basedOn w:val="Normln"/>
    <w:uiPriority w:val="99"/>
    <w:qFormat/>
    <w:rsid w:val="002B4D02"/>
    <w:pPr>
      <w:numPr>
        <w:numId w:val="2"/>
      </w:numPr>
      <w:ind w:left="568" w:hanging="284"/>
      <w:contextualSpacing/>
    </w:pPr>
  </w:style>
  <w:style w:type="paragraph" w:styleId="slovanseznam">
    <w:name w:val="List Number"/>
    <w:basedOn w:val="Normln"/>
    <w:uiPriority w:val="99"/>
    <w:qFormat/>
    <w:rsid w:val="00544D24"/>
    <w:pPr>
      <w:numPr>
        <w:numId w:val="3"/>
      </w:numPr>
      <w:tabs>
        <w:tab w:val="clear" w:pos="360"/>
      </w:tabs>
      <w:spacing w:after="0"/>
      <w:ind w:left="284" w:hanging="284"/>
      <w:contextualSpacing/>
    </w:pPr>
  </w:style>
  <w:style w:type="paragraph" w:styleId="slovanseznam2">
    <w:name w:val="List Number 2"/>
    <w:basedOn w:val="Normln"/>
    <w:uiPriority w:val="99"/>
    <w:qFormat/>
    <w:rsid w:val="00D35C72"/>
    <w:pPr>
      <w:numPr>
        <w:numId w:val="4"/>
      </w:numPr>
      <w:ind w:left="568" w:hanging="284"/>
      <w:contextualSpacing/>
    </w:pPr>
  </w:style>
  <w:style w:type="character" w:customStyle="1" w:styleId="Nadpis3Char">
    <w:name w:val="Nadpis 3 Char"/>
    <w:link w:val="Nadpis3"/>
    <w:uiPriority w:val="9"/>
    <w:rsid w:val="00CC2A1A"/>
    <w:rPr>
      <w:rFonts w:ascii="Verdana" w:eastAsia="MingLiU" w:hAnsi="Verdana" w:cs="Times New Roman"/>
      <w:b/>
      <w:bCs/>
      <w:color w:val="75787B"/>
      <w:sz w:val="18"/>
      <w:lang w:val="en-US"/>
    </w:rPr>
  </w:style>
  <w:style w:type="character" w:customStyle="1" w:styleId="Nadpis4Char">
    <w:name w:val="Nadpis 4 Char"/>
    <w:link w:val="Nadpis4"/>
    <w:rsid w:val="007550AB"/>
    <w:rPr>
      <w:rFonts w:ascii="Verdana" w:eastAsia="MingLiU" w:hAnsi="Verdana" w:cs="Times New Roman"/>
      <w:b/>
      <w:bCs/>
      <w:iCs/>
      <w:color w:val="000000"/>
      <w:sz w:val="18"/>
      <w:lang w:val="en-US"/>
    </w:rPr>
  </w:style>
  <w:style w:type="paragraph" w:styleId="Textpoznpodarou">
    <w:name w:val="footnote text"/>
    <w:basedOn w:val="Normln"/>
    <w:link w:val="TextpoznpodarouChar"/>
    <w:rsid w:val="00F3081C"/>
    <w:pPr>
      <w:spacing w:after="0" w:line="240" w:lineRule="auto"/>
    </w:pPr>
    <w:rPr>
      <w:sz w:val="16"/>
      <w:szCs w:val="20"/>
    </w:rPr>
  </w:style>
  <w:style w:type="character" w:customStyle="1" w:styleId="TextpoznpodarouChar">
    <w:name w:val="Text pozn. pod čarou Char"/>
    <w:link w:val="Textpoznpodarou"/>
    <w:rsid w:val="007550AB"/>
    <w:rPr>
      <w:sz w:val="16"/>
      <w:szCs w:val="20"/>
      <w:lang w:val="en-US"/>
    </w:rPr>
  </w:style>
  <w:style w:type="paragraph" w:customStyle="1" w:styleId="Documenttitle">
    <w:name w:val="Document title"/>
    <w:next w:val="Documentsubtitle"/>
    <w:qFormat/>
    <w:rsid w:val="00A7281A"/>
    <w:pPr>
      <w:spacing w:line="440" w:lineRule="atLeast"/>
    </w:pPr>
    <w:rPr>
      <w:rFonts w:eastAsia="MingLiU"/>
      <w:b/>
      <w:bCs/>
      <w:color w:val="000000"/>
      <w:sz w:val="36"/>
      <w:szCs w:val="28"/>
      <w:lang w:val="en-GB" w:eastAsia="en-US"/>
    </w:rPr>
  </w:style>
  <w:style w:type="paragraph" w:customStyle="1" w:styleId="Subheading">
    <w:name w:val="Subheading"/>
    <w:basedOn w:val="Normln"/>
    <w:next w:val="Normln"/>
    <w:semiHidden/>
    <w:qFormat/>
    <w:rsid w:val="00D236E8"/>
    <w:pPr>
      <w:spacing w:after="0"/>
    </w:pPr>
    <w:rPr>
      <w:rFonts w:eastAsia="MingLiU"/>
      <w:b/>
      <w:bCs/>
      <w:iCs/>
      <w:color w:val="000000"/>
    </w:rPr>
  </w:style>
  <w:style w:type="character" w:styleId="Znakapoznpodarou">
    <w:name w:val="footnote reference"/>
    <w:rsid w:val="00412EA0"/>
    <w:rPr>
      <w:vertAlign w:val="superscript"/>
    </w:rPr>
  </w:style>
  <w:style w:type="paragraph" w:customStyle="1" w:styleId="Sectionintro">
    <w:name w:val="Section intro"/>
    <w:basedOn w:val="Normln"/>
    <w:next w:val="Normln"/>
    <w:qFormat/>
    <w:rsid w:val="00212852"/>
    <w:pPr>
      <w:spacing w:line="360" w:lineRule="atLeast"/>
    </w:pPr>
    <w:rPr>
      <w:sz w:val="28"/>
    </w:rPr>
  </w:style>
  <w:style w:type="paragraph" w:customStyle="1" w:styleId="Documentdate">
    <w:name w:val="Document date"/>
    <w:qFormat/>
    <w:rsid w:val="007550AB"/>
    <w:pPr>
      <w:spacing w:line="240" w:lineRule="atLeast"/>
    </w:pPr>
    <w:rPr>
      <w:sz w:val="18"/>
      <w:szCs w:val="22"/>
      <w:lang w:val="en-US" w:eastAsia="en-US"/>
    </w:rPr>
  </w:style>
  <w:style w:type="paragraph" w:customStyle="1" w:styleId="Sectiontitle">
    <w:name w:val="Section title"/>
    <w:basedOn w:val="Normln"/>
    <w:next w:val="Normln"/>
    <w:qFormat/>
    <w:rsid w:val="00EE61A2"/>
    <w:pPr>
      <w:spacing w:after="480" w:line="720" w:lineRule="atLeast"/>
    </w:pPr>
    <w:rPr>
      <w:sz w:val="60"/>
    </w:rPr>
  </w:style>
  <w:style w:type="paragraph" w:customStyle="1" w:styleId="PulloutBlue">
    <w:name w:val="Pullout Blue"/>
    <w:basedOn w:val="Normln"/>
    <w:next w:val="Normln"/>
    <w:qFormat/>
    <w:rsid w:val="00DD5A1B"/>
    <w:pPr>
      <w:spacing w:line="360" w:lineRule="atLeast"/>
    </w:pPr>
    <w:rPr>
      <w:color w:val="62B5E5"/>
      <w:sz w:val="28"/>
    </w:rPr>
  </w:style>
  <w:style w:type="paragraph" w:customStyle="1" w:styleId="Contacttext">
    <w:name w:val="Contact text"/>
    <w:basedOn w:val="Normln"/>
    <w:qFormat/>
    <w:rsid w:val="00D7732D"/>
    <w:pPr>
      <w:spacing w:after="0"/>
    </w:pPr>
  </w:style>
  <w:style w:type="paragraph" w:customStyle="1" w:styleId="Contactus">
    <w:name w:val="Contact us"/>
    <w:basedOn w:val="Contacttext"/>
    <w:next w:val="Contacttext"/>
    <w:qFormat/>
    <w:rsid w:val="00D7732D"/>
    <w:pPr>
      <w:spacing w:after="240" w:line="340" w:lineRule="atLeast"/>
    </w:pPr>
    <w:rPr>
      <w:sz w:val="28"/>
    </w:rPr>
  </w:style>
  <w:style w:type="paragraph" w:styleId="Titulek">
    <w:name w:val="caption"/>
    <w:basedOn w:val="Normln"/>
    <w:next w:val="Normln"/>
    <w:uiPriority w:val="35"/>
    <w:qFormat/>
    <w:rsid w:val="00B46969"/>
    <w:pPr>
      <w:keepNext/>
      <w:spacing w:line="240" w:lineRule="auto"/>
    </w:pPr>
    <w:rPr>
      <w:iCs/>
      <w:color w:val="75787B"/>
      <w:sz w:val="17"/>
      <w:szCs w:val="18"/>
    </w:rPr>
  </w:style>
  <w:style w:type="character" w:styleId="Hypertextovodkaz">
    <w:name w:val="Hyperlink"/>
    <w:unhideWhenUsed/>
    <w:rsid w:val="00E94C20"/>
    <w:rPr>
      <w:color w:val="00A3E0"/>
      <w:u w:val="single"/>
    </w:rPr>
  </w:style>
  <w:style w:type="paragraph" w:customStyle="1" w:styleId="PulloutGreen">
    <w:name w:val="Pullout Green"/>
    <w:basedOn w:val="PulloutBlue"/>
    <w:next w:val="Normln"/>
    <w:qFormat/>
    <w:rsid w:val="00822995"/>
    <w:rPr>
      <w:color w:val="86BC25"/>
    </w:rPr>
  </w:style>
  <w:style w:type="paragraph" w:customStyle="1" w:styleId="QuotesourceBlue">
    <w:name w:val="Quote source Blue"/>
    <w:basedOn w:val="Normln"/>
    <w:next w:val="Normln"/>
    <w:qFormat/>
    <w:rsid w:val="000516C4"/>
    <w:pPr>
      <w:spacing w:line="200" w:lineRule="atLeast"/>
      <w:contextualSpacing/>
    </w:pPr>
    <w:rPr>
      <w:b/>
      <w:color w:val="62B5E5"/>
      <w:sz w:val="17"/>
    </w:rPr>
  </w:style>
  <w:style w:type="paragraph" w:customStyle="1" w:styleId="QuotesourceGreen">
    <w:name w:val="Quote source Green"/>
    <w:basedOn w:val="QuotesourceBlue"/>
    <w:next w:val="Normln"/>
    <w:qFormat/>
    <w:rsid w:val="000516C4"/>
    <w:rPr>
      <w:color w:val="86BC25"/>
    </w:rPr>
  </w:style>
  <w:style w:type="paragraph" w:customStyle="1" w:styleId="Paneltext">
    <w:name w:val="Panel text"/>
    <w:basedOn w:val="Normln"/>
    <w:qFormat/>
    <w:rsid w:val="00AE0FC7"/>
    <w:rPr>
      <w:color w:val="FFFFFF"/>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Documentsubtitle">
    <w:name w:val="Document subtitle"/>
    <w:basedOn w:val="Normln"/>
    <w:qFormat/>
    <w:rsid w:val="006528C9"/>
    <w:pPr>
      <w:spacing w:after="120" w:line="440" w:lineRule="atLeast"/>
    </w:pPr>
    <w:rPr>
      <w:sz w:val="36"/>
    </w:rPr>
  </w:style>
  <w:style w:type="paragraph" w:customStyle="1" w:styleId="Contentstitle">
    <w:name w:val="Contents title"/>
    <w:basedOn w:val="Sectiontitle"/>
    <w:next w:val="Normln"/>
    <w:qFormat/>
    <w:rsid w:val="00244010"/>
  </w:style>
  <w:style w:type="paragraph" w:styleId="Obsah1">
    <w:name w:val="toc 1"/>
    <w:basedOn w:val="Normln"/>
    <w:next w:val="Normln"/>
    <w:autoRedefine/>
    <w:uiPriority w:val="39"/>
    <w:rsid w:val="000B6C05"/>
    <w:pPr>
      <w:tabs>
        <w:tab w:val="right" w:pos="6935"/>
      </w:tabs>
      <w:spacing w:after="120" w:line="360" w:lineRule="atLeast"/>
    </w:pPr>
    <w:rPr>
      <w:sz w:val="28"/>
    </w:rPr>
  </w:style>
  <w:style w:type="paragraph" w:customStyle="1" w:styleId="Quotetext">
    <w:name w:val="Quote text"/>
    <w:basedOn w:val="PulloutBlue"/>
    <w:qFormat/>
    <w:rsid w:val="003E49BA"/>
    <w:pPr>
      <w:spacing w:after="0" w:line="720" w:lineRule="atLeast"/>
    </w:pPr>
    <w:rPr>
      <w:color w:val="FFFFFF"/>
      <w:sz w:val="60"/>
    </w:rPr>
  </w:style>
  <w:style w:type="paragraph" w:customStyle="1" w:styleId="Legaltext">
    <w:name w:val="Legal text"/>
    <w:basedOn w:val="Normln"/>
    <w:qFormat/>
    <w:rsid w:val="00BF6F8B"/>
    <w:pPr>
      <w:spacing w:after="0" w:line="180" w:lineRule="atLeast"/>
      <w:ind w:right="5387"/>
    </w:pPr>
    <w:rPr>
      <w:sz w:val="14"/>
    </w:rPr>
  </w:style>
  <w:style w:type="table" w:customStyle="1" w:styleId="Deloittetable">
    <w:name w:val="Deloitte table"/>
    <w:basedOn w:val="Normlntabulka"/>
    <w:uiPriority w:val="99"/>
    <w:rsid w:val="00367B44"/>
    <w:rPr>
      <w:sz w:val="17"/>
    </w:rPr>
    <w:tblPr>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rPr>
        <w:rFonts w:ascii="Verdana" w:hAnsi="Verdana"/>
        <w:b/>
        <w:color w:val="62B5E5"/>
        <w:sz w:val="17"/>
      </w:rPr>
      <w:tblPr/>
      <w:tcPr>
        <w:tcBorders>
          <w:top w:val="single" w:sz="24" w:space="0" w:color="62B5E5"/>
        </w:tcBorders>
      </w:tcPr>
    </w:tblStylePr>
  </w:style>
  <w:style w:type="paragraph" w:customStyle="1" w:styleId="Tabletext">
    <w:name w:val="Table text"/>
    <w:basedOn w:val="Normln"/>
    <w:qFormat/>
    <w:rsid w:val="004D1F57"/>
    <w:pPr>
      <w:spacing w:after="0" w:line="200" w:lineRule="atLeast"/>
    </w:pPr>
    <w:rPr>
      <w:sz w:val="17"/>
    </w:rPr>
  </w:style>
  <w:style w:type="paragraph" w:customStyle="1" w:styleId="Tabletitle">
    <w:name w:val="Table title"/>
    <w:basedOn w:val="Tabletext"/>
    <w:qFormat/>
    <w:rsid w:val="004D1F57"/>
    <w:rPr>
      <w:b/>
      <w:color w:val="62B5E5"/>
    </w:rPr>
  </w:style>
  <w:style w:type="paragraph" w:customStyle="1" w:styleId="SourcetextTableorChart">
    <w:name w:val="Source text Table or Chart"/>
    <w:basedOn w:val="Titulek"/>
    <w:next w:val="Normln"/>
    <w:qFormat/>
    <w:rsid w:val="003B3379"/>
    <w:pPr>
      <w:spacing w:before="120"/>
    </w:pPr>
    <w:rPr>
      <w:sz w:val="14"/>
    </w:rPr>
  </w:style>
  <w:style w:type="paragraph" w:customStyle="1" w:styleId="Tablebullets">
    <w:name w:val="Table bullets"/>
    <w:basedOn w:val="Tabletext"/>
    <w:qFormat/>
    <w:rsid w:val="00AD6475"/>
    <w:pPr>
      <w:numPr>
        <w:numId w:val="5"/>
      </w:numPr>
      <w:ind w:left="284" w:hanging="284"/>
    </w:pPr>
  </w:style>
  <w:style w:type="paragraph" w:customStyle="1" w:styleId="Tablenumbered">
    <w:name w:val="Table numbered"/>
    <w:basedOn w:val="Tablebullets"/>
    <w:qFormat/>
    <w:rsid w:val="00AD6475"/>
    <w:pPr>
      <w:numPr>
        <w:numId w:val="6"/>
      </w:numPr>
      <w:ind w:left="284" w:hanging="284"/>
    </w:pPr>
  </w:style>
  <w:style w:type="paragraph" w:customStyle="1" w:styleId="Charttitle">
    <w:name w:val="Chart title"/>
    <w:basedOn w:val="Nadpis2"/>
    <w:qFormat/>
    <w:rsid w:val="00B66FC9"/>
  </w:style>
  <w:style w:type="paragraph" w:customStyle="1" w:styleId="Smlouvaheading1">
    <w:name w:val="Smlouva heading 1"/>
    <w:basedOn w:val="Normln"/>
    <w:link w:val="Smlouvaheading1Char"/>
    <w:qFormat/>
    <w:rsid w:val="00277DBB"/>
    <w:pPr>
      <w:numPr>
        <w:numId w:val="7"/>
      </w:numPr>
      <w:spacing w:before="240" w:after="120"/>
      <w:jc w:val="both"/>
    </w:pPr>
    <w:rPr>
      <w:b/>
    </w:rPr>
  </w:style>
  <w:style w:type="character" w:customStyle="1" w:styleId="Smlouvaheading1Char">
    <w:name w:val="Smlouva heading 1 Char"/>
    <w:link w:val="Smlouvaheading1"/>
    <w:rsid w:val="00277DBB"/>
    <w:rPr>
      <w:b/>
      <w:sz w:val="18"/>
      <w:szCs w:val="22"/>
      <w:lang w:val="en-US" w:eastAsia="en-US"/>
    </w:rPr>
  </w:style>
  <w:style w:type="paragraph" w:customStyle="1" w:styleId="Smlouvaheading2">
    <w:name w:val="Smlouva heading 2"/>
    <w:link w:val="Smlouvaheading2Char"/>
    <w:qFormat/>
    <w:rsid w:val="00B204BA"/>
    <w:pPr>
      <w:numPr>
        <w:ilvl w:val="1"/>
        <w:numId w:val="7"/>
      </w:numPr>
      <w:spacing w:before="120" w:after="120" w:line="240" w:lineRule="atLeast"/>
      <w:jc w:val="both"/>
    </w:pPr>
    <w:rPr>
      <w:sz w:val="18"/>
      <w:szCs w:val="22"/>
      <w:lang w:val="en-US" w:eastAsia="en-US"/>
    </w:rPr>
  </w:style>
  <w:style w:type="character" w:customStyle="1" w:styleId="Smlouvaheading2Char">
    <w:name w:val="Smlouva heading 2 Char"/>
    <w:link w:val="Smlouvaheading2"/>
    <w:rsid w:val="00B204BA"/>
    <w:rPr>
      <w:sz w:val="18"/>
      <w:szCs w:val="22"/>
      <w:lang w:val="en-US" w:eastAsia="en-US"/>
    </w:rPr>
  </w:style>
  <w:style w:type="paragraph" w:customStyle="1" w:styleId="Smlouvaheading3">
    <w:name w:val="Smlouva heading 3"/>
    <w:qFormat/>
    <w:rsid w:val="00B204BA"/>
    <w:pPr>
      <w:numPr>
        <w:ilvl w:val="2"/>
        <w:numId w:val="7"/>
      </w:numPr>
      <w:spacing w:after="120" w:line="240" w:lineRule="atLeast"/>
      <w:jc w:val="both"/>
    </w:pPr>
    <w:rPr>
      <w:sz w:val="18"/>
      <w:szCs w:val="22"/>
      <w:lang w:val="en-US" w:eastAsia="en-US"/>
    </w:rPr>
  </w:style>
  <w:style w:type="paragraph" w:customStyle="1" w:styleId="Smlouvaheading4">
    <w:name w:val="Smlouva heading 4"/>
    <w:qFormat/>
    <w:rsid w:val="000445D6"/>
    <w:pPr>
      <w:numPr>
        <w:ilvl w:val="3"/>
        <w:numId w:val="7"/>
      </w:numPr>
      <w:spacing w:after="120" w:line="240" w:lineRule="atLeast"/>
      <w:jc w:val="both"/>
    </w:pPr>
    <w:rPr>
      <w:sz w:val="18"/>
      <w:szCs w:val="22"/>
      <w:lang w:val="en-US" w:eastAsia="en-US"/>
    </w:rPr>
  </w:style>
  <w:style w:type="character" w:customStyle="1" w:styleId="Nadpis5Char">
    <w:name w:val="Nadpis 5 Char"/>
    <w:basedOn w:val="Standardnpsmoodstavce"/>
    <w:link w:val="Nadpis5"/>
    <w:rsid w:val="00B7025F"/>
    <w:rPr>
      <w:rFonts w:ascii="Arial" w:eastAsiaTheme="majorEastAsia" w:hAnsi="Arial" w:cstheme="majorBidi"/>
      <w:b/>
      <w:i/>
      <w:color w:val="425D12" w:themeColor="accent1" w:themeShade="7F"/>
      <w:sz w:val="24"/>
      <w:szCs w:val="24"/>
      <w:lang w:val="en-US" w:eastAsia="en-US"/>
    </w:rPr>
  </w:style>
  <w:style w:type="character" w:customStyle="1" w:styleId="Nadpis6Char">
    <w:name w:val="Nadpis 6 Char"/>
    <w:basedOn w:val="Standardnpsmoodstavce"/>
    <w:link w:val="Nadpis6"/>
    <w:rsid w:val="00B7025F"/>
    <w:rPr>
      <w:rFonts w:ascii="Arial" w:eastAsiaTheme="majorEastAsia" w:hAnsi="Arial" w:cstheme="majorBidi"/>
      <w:i/>
      <w:iCs/>
      <w:color w:val="425D12" w:themeColor="accent1" w:themeShade="7F"/>
      <w:sz w:val="24"/>
      <w:szCs w:val="24"/>
      <w:lang w:val="en-US" w:eastAsia="en-US"/>
    </w:rPr>
  </w:style>
  <w:style w:type="character" w:customStyle="1" w:styleId="Nadpis7Char">
    <w:name w:val="Nadpis 7 Char"/>
    <w:basedOn w:val="Standardnpsmoodstavce"/>
    <w:link w:val="Nadpis7"/>
    <w:rsid w:val="00B7025F"/>
    <w:rPr>
      <w:rFonts w:ascii="Arial" w:eastAsiaTheme="majorEastAsia" w:hAnsi="Arial" w:cstheme="majorBidi"/>
      <w:i/>
      <w:iCs/>
      <w:color w:val="404040" w:themeColor="text1" w:themeTint="BF"/>
      <w:sz w:val="22"/>
      <w:szCs w:val="24"/>
      <w:lang w:val="en-US" w:eastAsia="en-US"/>
    </w:rPr>
  </w:style>
  <w:style w:type="character" w:customStyle="1" w:styleId="Nadpis8Char">
    <w:name w:val="Nadpis 8 Char"/>
    <w:aliases w:val="(Appendici) Char"/>
    <w:basedOn w:val="Standardnpsmoodstavce"/>
    <w:link w:val="Nadpis8"/>
    <w:rsid w:val="00B7025F"/>
    <w:rPr>
      <w:rFonts w:ascii="Arial" w:eastAsiaTheme="majorEastAsia" w:hAnsi="Arial" w:cstheme="majorBidi"/>
      <w:i/>
      <w:color w:val="404040" w:themeColor="text1" w:themeTint="BF"/>
      <w:lang w:val="en-US" w:eastAsia="en-US"/>
    </w:rPr>
  </w:style>
  <w:style w:type="character" w:customStyle="1" w:styleId="Nadpis9Char">
    <w:name w:val="Nadpis 9 Char"/>
    <w:aliases w:val="(Bibliografia) Char"/>
    <w:basedOn w:val="Standardnpsmoodstavce"/>
    <w:link w:val="Nadpis9"/>
    <w:rsid w:val="00B7025F"/>
    <w:rPr>
      <w:rFonts w:ascii="Arial" w:eastAsiaTheme="majorEastAsia" w:hAnsi="Arial" w:cstheme="majorBidi"/>
      <w:i/>
      <w:iCs/>
      <w:color w:val="404040" w:themeColor="text1" w:themeTint="BF"/>
      <w:sz w:val="18"/>
      <w:lang w:val="en-US" w:eastAsia="en-US"/>
    </w:rPr>
  </w:style>
  <w:style w:type="character" w:styleId="slostrnky">
    <w:name w:val="page number"/>
    <w:basedOn w:val="Standardnpsmoodstavce"/>
    <w:rsid w:val="00B7025F"/>
    <w:rPr>
      <w:rFonts w:ascii="Arial" w:hAnsi="Arial"/>
      <w:sz w:val="16"/>
    </w:rPr>
  </w:style>
  <w:style w:type="paragraph" w:styleId="Obsah2">
    <w:name w:val="toc 2"/>
    <w:basedOn w:val="Normln"/>
    <w:next w:val="Normln"/>
    <w:autoRedefine/>
    <w:uiPriority w:val="39"/>
    <w:rsid w:val="00B7025F"/>
    <w:pPr>
      <w:keepLines/>
      <w:tabs>
        <w:tab w:val="left" w:pos="851"/>
      </w:tabs>
      <w:spacing w:before="120" w:line="240" w:lineRule="auto"/>
      <w:ind w:left="238"/>
      <w:jc w:val="both"/>
    </w:pPr>
    <w:rPr>
      <w:rFonts w:ascii="Arial" w:eastAsia="Times New Roman" w:hAnsi="Arial"/>
      <w:sz w:val="24"/>
      <w:szCs w:val="18"/>
      <w:lang w:val="cs-CZ"/>
    </w:rPr>
  </w:style>
  <w:style w:type="paragraph" w:styleId="Obsah3">
    <w:name w:val="toc 3"/>
    <w:basedOn w:val="Normln"/>
    <w:next w:val="Normln"/>
    <w:autoRedefine/>
    <w:uiPriority w:val="39"/>
    <w:rsid w:val="00B7025F"/>
    <w:pPr>
      <w:keepLines/>
      <w:tabs>
        <w:tab w:val="left" w:pos="851"/>
      </w:tabs>
      <w:spacing w:before="120" w:line="240" w:lineRule="auto"/>
      <w:ind w:left="482"/>
      <w:jc w:val="both"/>
    </w:pPr>
    <w:rPr>
      <w:rFonts w:ascii="Arial" w:eastAsia="Times New Roman" w:hAnsi="Arial"/>
      <w:sz w:val="24"/>
      <w:szCs w:val="18"/>
      <w:lang w:val="cs-CZ"/>
    </w:rPr>
  </w:style>
  <w:style w:type="paragraph" w:customStyle="1" w:styleId="Legalentity">
    <w:name w:val="Legal entity"/>
    <w:basedOn w:val="Normln"/>
    <w:rsid w:val="00B7025F"/>
    <w:pPr>
      <w:keepLines/>
      <w:widowControl w:val="0"/>
      <w:tabs>
        <w:tab w:val="left" w:pos="851"/>
      </w:tabs>
      <w:suppressAutoHyphens/>
      <w:autoSpaceDE w:val="0"/>
      <w:autoSpaceDN w:val="0"/>
      <w:adjustRightInd w:val="0"/>
      <w:spacing w:before="120" w:after="90" w:line="180" w:lineRule="atLeast"/>
      <w:jc w:val="both"/>
      <w:textAlignment w:val="center"/>
    </w:pPr>
    <w:rPr>
      <w:rFonts w:ascii="Arial" w:eastAsia="Times New Roman" w:hAnsi="Arial"/>
      <w:color w:val="000000"/>
      <w:sz w:val="16"/>
      <w:szCs w:val="20"/>
      <w:lang w:val="en-GB" w:eastAsia="en-GB"/>
    </w:rPr>
  </w:style>
  <w:style w:type="paragraph" w:customStyle="1" w:styleId="CaptionIntroductionparagraph">
    <w:name w:val="Caption Introduction paragraph"/>
    <w:qFormat/>
    <w:rsid w:val="00B7025F"/>
    <w:rPr>
      <w:rFonts w:ascii="Arial" w:eastAsia="Times New Roman" w:hAnsi="Arial"/>
      <w:b/>
      <w:color w:val="00A1DE"/>
      <w:sz w:val="24"/>
      <w:szCs w:val="22"/>
      <w:lang w:eastAsia="en-US"/>
    </w:rPr>
  </w:style>
  <w:style w:type="paragraph" w:customStyle="1" w:styleId="smlouvabodytextbold">
    <w:name w:val="smlouva body text bold"/>
    <w:basedOn w:val="Normln"/>
    <w:next w:val="Normln"/>
    <w:qFormat/>
    <w:rsid w:val="00B204BA"/>
    <w:pPr>
      <w:jc w:val="both"/>
    </w:pPr>
    <w:rPr>
      <w:rFonts w:eastAsia="Times New Roman"/>
      <w:b/>
      <w:lang w:val="cs-CZ"/>
    </w:rPr>
  </w:style>
  <w:style w:type="character" w:customStyle="1" w:styleId="CaptionbodyChar">
    <w:name w:val="Caption body Char"/>
    <w:basedOn w:val="Standardnpsmoodstavce"/>
    <w:link w:val="Captionbody"/>
    <w:rsid w:val="00B7025F"/>
    <w:rPr>
      <w:rFonts w:ascii="Arial" w:hAnsi="Arial"/>
      <w:color w:val="000000"/>
      <w:sz w:val="18"/>
    </w:rPr>
  </w:style>
  <w:style w:type="paragraph" w:customStyle="1" w:styleId="Captionbody">
    <w:name w:val="Caption body"/>
    <w:link w:val="CaptionbodyChar"/>
    <w:rsid w:val="00B7025F"/>
    <w:rPr>
      <w:rFonts w:ascii="Arial" w:hAnsi="Arial"/>
      <w:color w:val="000000"/>
      <w:sz w:val="18"/>
    </w:rPr>
  </w:style>
  <w:style w:type="paragraph" w:customStyle="1" w:styleId="Captionheading">
    <w:name w:val="Caption heading"/>
    <w:basedOn w:val="Captionbody"/>
    <w:qFormat/>
    <w:rsid w:val="00B7025F"/>
    <w:rPr>
      <w:b/>
    </w:rPr>
  </w:style>
  <w:style w:type="paragraph" w:customStyle="1" w:styleId="smlouvabodytext">
    <w:name w:val="smlouva body text"/>
    <w:basedOn w:val="Normln"/>
    <w:rsid w:val="00B7025F"/>
    <w:pPr>
      <w:keepLines/>
      <w:tabs>
        <w:tab w:val="left" w:pos="851"/>
      </w:tabs>
      <w:jc w:val="both"/>
    </w:pPr>
    <w:rPr>
      <w:rFonts w:eastAsia="Times"/>
      <w:noProof/>
      <w:szCs w:val="18"/>
      <w:lang w:val="cs-CZ"/>
    </w:rPr>
  </w:style>
  <w:style w:type="paragraph" w:customStyle="1" w:styleId="Highlight1">
    <w:name w:val="Highlight 1"/>
    <w:basedOn w:val="Normln"/>
    <w:qFormat/>
    <w:rsid w:val="00B7025F"/>
    <w:pPr>
      <w:keepLines/>
      <w:tabs>
        <w:tab w:val="left" w:pos="851"/>
      </w:tabs>
      <w:spacing w:before="120" w:after="0" w:line="240" w:lineRule="auto"/>
      <w:jc w:val="both"/>
    </w:pPr>
    <w:rPr>
      <w:rFonts w:ascii="Arial" w:eastAsia="Times New Roman" w:hAnsi="Arial"/>
      <w:b/>
      <w:color w:val="0097A9" w:themeColor="accent5"/>
      <w:sz w:val="20"/>
      <w:szCs w:val="16"/>
      <w:lang w:val="cs-CZ"/>
    </w:rPr>
  </w:style>
  <w:style w:type="paragraph" w:customStyle="1" w:styleId="Highlight2">
    <w:name w:val="Highlight 2"/>
    <w:basedOn w:val="Highlight1"/>
    <w:qFormat/>
    <w:rsid w:val="00B7025F"/>
    <w:rPr>
      <w:color w:val="2C5234" w:themeColor="accent2"/>
    </w:rPr>
  </w:style>
  <w:style w:type="table" w:customStyle="1" w:styleId="Deloittetable1">
    <w:name w:val="Deloitte table 1"/>
    <w:basedOn w:val="Normlntabulka"/>
    <w:rsid w:val="00B7025F"/>
    <w:rPr>
      <w:rFonts w:ascii="Arial" w:eastAsia="Times New Roman" w:hAnsi="Arial"/>
      <w:sz w:val="19"/>
      <w:lang w:val="en-US" w:eastAsia="en-US"/>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
    <w:next w:val="Normln"/>
    <w:autoRedefine/>
    <w:uiPriority w:val="39"/>
    <w:rsid w:val="00B7025F"/>
    <w:pPr>
      <w:keepLines/>
      <w:tabs>
        <w:tab w:val="left" w:pos="851"/>
      </w:tabs>
      <w:spacing w:before="120" w:line="240" w:lineRule="auto"/>
      <w:ind w:left="720"/>
      <w:jc w:val="both"/>
    </w:pPr>
    <w:rPr>
      <w:rFonts w:ascii="Arial" w:eastAsia="Times New Roman" w:hAnsi="Arial"/>
      <w:szCs w:val="18"/>
      <w:lang w:val="cs-CZ"/>
    </w:rPr>
  </w:style>
  <w:style w:type="table" w:customStyle="1" w:styleId="Deloittetable2">
    <w:name w:val="Deloitte table 2"/>
    <w:basedOn w:val="Normlntabulka"/>
    <w:rsid w:val="00B7025F"/>
    <w:rPr>
      <w:rFonts w:ascii="Arial" w:eastAsia="Times New Roman" w:hAnsi="Arial"/>
      <w:sz w:val="19"/>
      <w:lang w:val="en-US" w:eastAsia="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lkasprostorovmiefekty1">
    <w:name w:val="Table 3D effects 1"/>
    <w:basedOn w:val="Normlntabulka"/>
    <w:rsid w:val="00B7025F"/>
    <w:rPr>
      <w:rFonts w:ascii="Times New Roman" w:eastAsia="Times New Roman" w:hAnsi="Times New Roma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tabulka"/>
    <w:rsid w:val="00B7025F"/>
    <w:rPr>
      <w:rFonts w:ascii="Arial" w:eastAsia="Times New Roman" w:hAnsi="Arial"/>
      <w:sz w:val="19"/>
      <w:lang w:val="en-US" w:eastAsia="en-US"/>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tabulka"/>
    <w:rsid w:val="00B7025F"/>
    <w:rPr>
      <w:rFonts w:ascii="Arial" w:eastAsia="Times New Roman" w:hAnsi="Arial"/>
      <w:sz w:val="19"/>
      <w:lang w:val="en-US" w:eastAsia="en-US"/>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tabulka"/>
    <w:rsid w:val="00B7025F"/>
    <w:rPr>
      <w:rFonts w:ascii="Arial" w:eastAsia="Times New Roman" w:hAnsi="Arial"/>
      <w:sz w:val="19"/>
      <w:lang w:val="en-US" w:eastAsia="en-US"/>
    </w:rPr>
    <w:tblPr/>
  </w:style>
  <w:style w:type="table" w:customStyle="1" w:styleId="Deloittetable6">
    <w:name w:val="Deloitte table 6"/>
    <w:basedOn w:val="Normlntabulka"/>
    <w:rsid w:val="00B7025F"/>
    <w:rPr>
      <w:rFonts w:ascii="Arial" w:eastAsia="Times New Roman" w:hAnsi="Arial"/>
      <w:sz w:val="19"/>
      <w:lang w:val="en-US" w:eastAsia="en-US"/>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E7E6E6" w:themeColor="background2"/>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tabulka"/>
    <w:rsid w:val="00B7025F"/>
    <w:rPr>
      <w:rFonts w:ascii="Arial" w:eastAsia="Times New Roman" w:hAnsi="Arial"/>
      <w:sz w:val="19"/>
      <w:lang w:val="en-US" w:eastAsia="en-US"/>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lkasprostorovmiefekty3">
    <w:name w:val="Table 3D effects 3"/>
    <w:basedOn w:val="Normlntabulka"/>
    <w:rsid w:val="00B7025F"/>
    <w:rPr>
      <w:rFonts w:ascii="Times New Roman" w:eastAsia="Times New Roman" w:hAnsi="Times New Roman"/>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tabulka"/>
    <w:rsid w:val="00B7025F"/>
    <w:pPr>
      <w:contextualSpacing/>
    </w:pPr>
    <w:rPr>
      <w:rFonts w:ascii="Arial" w:eastAsia="Times New Roman" w:hAnsi="Arial"/>
      <w:sz w:val="19"/>
      <w:lang w:val="en-US" w:eastAsia="en-US"/>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tabulka"/>
    <w:rsid w:val="00B7025F"/>
    <w:rPr>
      <w:rFonts w:ascii="Arial" w:eastAsia="Times New Roman" w:hAnsi="Arial"/>
      <w:sz w:val="19"/>
      <w:lang w:val="en-US" w:eastAsia="en-US"/>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tabulka"/>
    <w:rsid w:val="00B7025F"/>
    <w:rPr>
      <w:rFonts w:ascii="Arial" w:eastAsia="Times New Roman" w:hAnsi="Arial"/>
      <w:sz w:val="19"/>
      <w:lang w:val="en-US" w:eastAsia="en-US"/>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tabulka"/>
    <w:rsid w:val="00B7025F"/>
    <w:rPr>
      <w:rFonts w:ascii="Arial" w:eastAsia="Times New Roman" w:hAnsi="Arial"/>
      <w:sz w:val="19"/>
      <w:lang w:val="en-US" w:eastAsia="en-US"/>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tabulka"/>
    <w:rsid w:val="00B7025F"/>
    <w:rPr>
      <w:rFonts w:ascii="Arial" w:eastAsia="Times New Roman" w:hAnsi="Arial"/>
      <w:sz w:val="19"/>
      <w:lang w:val="en-US" w:eastAsia="en-US"/>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tabulka"/>
    <w:rsid w:val="00B7025F"/>
    <w:rPr>
      <w:rFonts w:ascii="Arial" w:eastAsia="Times New Roman" w:hAnsi="Arial"/>
      <w:sz w:val="19"/>
      <w:lang w:val="en-US" w:eastAsia="en-US"/>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tabulka"/>
    <w:rsid w:val="00B7025F"/>
    <w:rPr>
      <w:rFonts w:ascii="Arial" w:eastAsia="Times New Roman" w:hAnsi="Arial"/>
      <w:sz w:val="19"/>
      <w:lang w:val="en-US" w:eastAsia="en-US"/>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loupcetabulky3">
    <w:name w:val="Table Columns 3"/>
    <w:basedOn w:val="Normlntabulka"/>
    <w:rsid w:val="00B7025F"/>
    <w:rPr>
      <w:rFonts w:ascii="Times New Roman" w:eastAsia="Times New Roman" w:hAnsi="Times New Roman"/>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revnseznamzvraznn4">
    <w:name w:val="Colorful List Accent 4"/>
    <w:basedOn w:val="Normlntabulka"/>
    <w:uiPriority w:val="72"/>
    <w:rsid w:val="00B7025F"/>
    <w:rPr>
      <w:rFonts w:ascii="Times New Roman" w:eastAsia="Times New Roman" w:hAnsi="Times New Roman"/>
      <w:color w:val="000000"/>
      <w:lang w:val="en-US" w:eastAsia="en-US"/>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ednmka2zvraznn4">
    <w:name w:val="Medium Grid 2 Accent 4"/>
    <w:basedOn w:val="Normlntabulka"/>
    <w:uiPriority w:val="68"/>
    <w:rsid w:val="00B7025F"/>
    <w:rPr>
      <w:rFonts w:ascii="Arial" w:eastAsia="Times New Roman" w:hAnsi="Arial"/>
      <w:color w:val="000000"/>
      <w:lang w:val="en-US" w:eastAsia="en-US"/>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
    <w:next w:val="Normln"/>
    <w:autoRedefine/>
    <w:uiPriority w:val="39"/>
    <w:rsid w:val="00B7025F"/>
    <w:pPr>
      <w:keepLines/>
      <w:tabs>
        <w:tab w:val="left" w:pos="851"/>
      </w:tabs>
      <w:spacing w:before="120" w:after="100" w:line="240" w:lineRule="auto"/>
      <w:ind w:left="960"/>
      <w:jc w:val="both"/>
    </w:pPr>
    <w:rPr>
      <w:rFonts w:ascii="Arial" w:eastAsia="Times New Roman" w:hAnsi="Arial"/>
      <w:szCs w:val="18"/>
      <w:lang w:val="cs-CZ"/>
    </w:rPr>
  </w:style>
  <w:style w:type="paragraph" w:customStyle="1" w:styleId="Highlight3">
    <w:name w:val="Highlight 3"/>
    <w:basedOn w:val="Highlight2"/>
    <w:qFormat/>
    <w:rsid w:val="00B7025F"/>
    <w:rPr>
      <w:color w:val="00A3E0" w:themeColor="accent3"/>
    </w:rPr>
  </w:style>
  <w:style w:type="paragraph" w:styleId="Nadpisobsahu">
    <w:name w:val="TOC Heading"/>
    <w:basedOn w:val="Nadpis1"/>
    <w:next w:val="Normln"/>
    <w:uiPriority w:val="39"/>
    <w:semiHidden/>
    <w:unhideWhenUsed/>
    <w:qFormat/>
    <w:rsid w:val="00B7025F"/>
    <w:pPr>
      <w:spacing w:before="480" w:line="276" w:lineRule="auto"/>
      <w:outlineLvl w:val="9"/>
    </w:pPr>
    <w:rPr>
      <w:rFonts w:asciiTheme="majorHAnsi" w:eastAsiaTheme="majorEastAsia" w:hAnsiTheme="majorHAnsi" w:cstheme="majorBidi"/>
      <w:color w:val="638C1B" w:themeColor="accent1" w:themeShade="BF"/>
      <w:sz w:val="28"/>
    </w:rPr>
  </w:style>
  <w:style w:type="paragraph" w:styleId="Zkladntext">
    <w:name w:val="Body Text"/>
    <w:basedOn w:val="Normln"/>
    <w:link w:val="ZkladntextChar"/>
    <w:rsid w:val="00B7025F"/>
    <w:pPr>
      <w:keepLines/>
      <w:tabs>
        <w:tab w:val="left" w:pos="851"/>
      </w:tabs>
      <w:jc w:val="both"/>
    </w:pPr>
    <w:rPr>
      <w:rFonts w:eastAsia="Times New Roman"/>
      <w:szCs w:val="18"/>
      <w:lang w:val="en-GB"/>
    </w:rPr>
  </w:style>
  <w:style w:type="character" w:customStyle="1" w:styleId="ZkladntextChar">
    <w:name w:val="Základní text Char"/>
    <w:basedOn w:val="Standardnpsmoodstavce"/>
    <w:link w:val="Zkladntext"/>
    <w:rsid w:val="00B7025F"/>
    <w:rPr>
      <w:rFonts w:eastAsia="Times New Roman"/>
      <w:sz w:val="18"/>
      <w:szCs w:val="18"/>
      <w:lang w:val="en-GB" w:eastAsia="en-US"/>
    </w:rPr>
  </w:style>
  <w:style w:type="paragraph" w:customStyle="1" w:styleId="Table">
    <w:name w:val="Table"/>
    <w:basedOn w:val="Normln"/>
    <w:rsid w:val="00B7025F"/>
    <w:pPr>
      <w:keepLines/>
      <w:tabs>
        <w:tab w:val="left" w:pos="851"/>
      </w:tabs>
      <w:spacing w:before="120" w:after="0" w:line="240" w:lineRule="auto"/>
      <w:jc w:val="both"/>
    </w:pPr>
    <w:rPr>
      <w:rFonts w:ascii="Arial" w:eastAsia="Times New Roman" w:hAnsi="Arial"/>
      <w:szCs w:val="18"/>
      <w:lang w:val="cs-CZ"/>
    </w:rPr>
  </w:style>
  <w:style w:type="character" w:styleId="Odkaznakoment">
    <w:name w:val="annotation reference"/>
    <w:basedOn w:val="Standardnpsmoodstavce"/>
    <w:rsid w:val="00B7025F"/>
    <w:rPr>
      <w:sz w:val="16"/>
      <w:szCs w:val="16"/>
    </w:rPr>
  </w:style>
  <w:style w:type="paragraph" w:styleId="Normlnweb">
    <w:name w:val="Normal (Web)"/>
    <w:basedOn w:val="Normln"/>
    <w:uiPriority w:val="99"/>
    <w:unhideWhenUsed/>
    <w:rsid w:val="00B7025F"/>
    <w:pPr>
      <w:keepLines/>
      <w:tabs>
        <w:tab w:val="left" w:pos="851"/>
      </w:tabs>
      <w:spacing w:before="120" w:after="100" w:afterAutospacing="1" w:line="240" w:lineRule="auto"/>
      <w:jc w:val="both"/>
    </w:pPr>
    <w:rPr>
      <w:rFonts w:ascii="Arial" w:eastAsia="Times New Roman" w:hAnsi="Arial" w:cs="Arial"/>
      <w:color w:val="333333"/>
      <w:sz w:val="24"/>
      <w:szCs w:val="18"/>
      <w:lang w:val="cs-CZ"/>
    </w:rPr>
  </w:style>
  <w:style w:type="paragraph" w:customStyle="1" w:styleId="StyleHeading1">
    <w:name w:val="Style Heading 1"/>
    <w:basedOn w:val="Nadpis1"/>
    <w:next w:val="Normln"/>
    <w:rsid w:val="00B7025F"/>
    <w:pPr>
      <w:keepLines w:val="0"/>
      <w:spacing w:before="240" w:after="160" w:line="240" w:lineRule="auto"/>
      <w:ind w:left="720" w:hanging="360"/>
    </w:pPr>
    <w:rPr>
      <w:rFonts w:ascii="Times New Roman" w:eastAsia="Times New Roman" w:hAnsi="Times New Roman" w:cs="Arial"/>
      <w:b w:val="0"/>
      <w:bCs w:val="0"/>
      <w:color w:val="000066"/>
      <w:kern w:val="32"/>
      <w:sz w:val="60"/>
      <w:szCs w:val="32"/>
    </w:rPr>
  </w:style>
  <w:style w:type="paragraph" w:styleId="Odstavecseseznamem">
    <w:name w:val="List Paragraph"/>
    <w:basedOn w:val="Normln"/>
    <w:uiPriority w:val="34"/>
    <w:qFormat/>
    <w:rsid w:val="00B7025F"/>
    <w:pPr>
      <w:keepLines/>
      <w:tabs>
        <w:tab w:val="left" w:pos="851"/>
      </w:tabs>
      <w:spacing w:before="120" w:after="0" w:line="240" w:lineRule="auto"/>
      <w:ind w:left="720"/>
      <w:jc w:val="both"/>
    </w:pPr>
    <w:rPr>
      <w:rFonts w:ascii="Arial" w:eastAsia="Times New Roman" w:hAnsi="Arial"/>
      <w:szCs w:val="18"/>
      <w:lang w:val="cs-CZ"/>
    </w:rPr>
  </w:style>
  <w:style w:type="paragraph" w:customStyle="1" w:styleId="smlouvaobchodnipodminky1">
    <w:name w:val="smlouva obchodni podminky 1"/>
    <w:basedOn w:val="Normln"/>
    <w:qFormat/>
    <w:rsid w:val="00B204BA"/>
    <w:pPr>
      <w:numPr>
        <w:numId w:val="9"/>
      </w:numPr>
      <w:tabs>
        <w:tab w:val="left" w:pos="567"/>
      </w:tabs>
      <w:spacing w:before="240" w:after="120" w:line="240" w:lineRule="auto"/>
      <w:ind w:left="737" w:hanging="737"/>
      <w:jc w:val="both"/>
    </w:pPr>
    <w:rPr>
      <w:rFonts w:ascii="Arial" w:eastAsia="Times New Roman" w:hAnsi="Arial"/>
      <w:b/>
      <w:color w:val="000000" w:themeColor="text1"/>
      <w:sz w:val="14"/>
      <w:lang w:val="cs-CZ"/>
    </w:rPr>
  </w:style>
  <w:style w:type="paragraph" w:customStyle="1" w:styleId="smlouvaobchodnipodminky2">
    <w:name w:val="smlouva obchodni podminky 2"/>
    <w:basedOn w:val="Normln"/>
    <w:qFormat/>
    <w:rsid w:val="00B204BA"/>
    <w:pPr>
      <w:numPr>
        <w:ilvl w:val="1"/>
        <w:numId w:val="9"/>
      </w:numPr>
      <w:tabs>
        <w:tab w:val="left" w:pos="567"/>
      </w:tabs>
      <w:spacing w:before="120" w:after="0" w:line="240" w:lineRule="auto"/>
      <w:jc w:val="both"/>
    </w:pPr>
    <w:rPr>
      <w:rFonts w:ascii="Arial" w:eastAsia="Times New Roman" w:hAnsi="Arial"/>
      <w:color w:val="000000" w:themeColor="text1"/>
      <w:sz w:val="14"/>
      <w:lang w:val="cs-CZ"/>
    </w:rPr>
  </w:style>
  <w:style w:type="paragraph" w:customStyle="1" w:styleId="smlouvaobchodnipodminky3">
    <w:name w:val="smlouva obchodni podminky 3"/>
    <w:basedOn w:val="Normln"/>
    <w:qFormat/>
    <w:rsid w:val="00B204BA"/>
    <w:pPr>
      <w:numPr>
        <w:ilvl w:val="2"/>
        <w:numId w:val="9"/>
      </w:numPr>
      <w:spacing w:before="120" w:after="0" w:line="240" w:lineRule="auto"/>
      <w:jc w:val="both"/>
    </w:pPr>
    <w:rPr>
      <w:rFonts w:ascii="Arial" w:eastAsia="Times New Roman" w:hAnsi="Arial"/>
      <w:color w:val="000000" w:themeColor="text1"/>
      <w:sz w:val="14"/>
      <w:lang w:val="cs-CZ"/>
    </w:rPr>
  </w:style>
  <w:style w:type="numbering" w:customStyle="1" w:styleId="NoList1">
    <w:name w:val="No List1"/>
    <w:next w:val="Bezseznamu"/>
    <w:semiHidden/>
    <w:rsid w:val="00B7025F"/>
  </w:style>
  <w:style w:type="paragraph" w:customStyle="1" w:styleId="StyleOdstavecItalic">
    <w:name w:val="Style Odstavec + Italic"/>
    <w:basedOn w:val="Normln"/>
    <w:link w:val="StyleOdstavecItalicChar"/>
    <w:rsid w:val="00B7025F"/>
    <w:pPr>
      <w:keepLines/>
      <w:tabs>
        <w:tab w:val="left" w:pos="851"/>
        <w:tab w:val="left" w:pos="1701"/>
      </w:tabs>
      <w:spacing w:before="240" w:after="0" w:line="280" w:lineRule="exact"/>
      <w:ind w:left="1724" w:hanging="360"/>
      <w:jc w:val="both"/>
      <w:outlineLvl w:val="0"/>
    </w:pPr>
    <w:rPr>
      <w:rFonts w:ascii="Arial" w:eastAsia="Times New Roman" w:hAnsi="Arial"/>
      <w:i/>
      <w:iCs/>
      <w:szCs w:val="18"/>
      <w:lang w:val="cs-CZ"/>
    </w:rPr>
  </w:style>
  <w:style w:type="character" w:customStyle="1" w:styleId="StyleOdstavecItalicChar">
    <w:name w:val="Style Odstavec + Italic Char"/>
    <w:basedOn w:val="Standardnpsmoodstavce"/>
    <w:link w:val="StyleOdstavecItalic"/>
    <w:rsid w:val="00B7025F"/>
    <w:rPr>
      <w:rFonts w:ascii="Arial" w:eastAsia="Times New Roman" w:hAnsi="Arial"/>
      <w:i/>
      <w:iCs/>
      <w:sz w:val="18"/>
      <w:szCs w:val="18"/>
      <w:lang w:eastAsia="en-US"/>
    </w:rPr>
  </w:style>
  <w:style w:type="paragraph" w:styleId="Pedmtkomente">
    <w:name w:val="annotation subject"/>
    <w:basedOn w:val="Normln"/>
    <w:link w:val="PedmtkomenteChar"/>
    <w:rsid w:val="00B7025F"/>
    <w:pPr>
      <w:keepLines/>
      <w:tabs>
        <w:tab w:val="left" w:pos="851"/>
      </w:tabs>
      <w:spacing w:before="120" w:after="0" w:line="240" w:lineRule="auto"/>
      <w:jc w:val="both"/>
    </w:pPr>
    <w:rPr>
      <w:rFonts w:ascii="Arial" w:eastAsia="Times New Roman" w:hAnsi="Arial"/>
      <w:b/>
      <w:bCs/>
      <w:sz w:val="20"/>
      <w:szCs w:val="20"/>
      <w:lang w:val="cs-CZ"/>
    </w:rPr>
  </w:style>
  <w:style w:type="character" w:customStyle="1" w:styleId="PedmtkomenteChar">
    <w:name w:val="Předmět komentáře Char"/>
    <w:basedOn w:val="Standardnpsmoodstavce"/>
    <w:link w:val="Pedmtkomente"/>
    <w:rsid w:val="00B7025F"/>
    <w:rPr>
      <w:rFonts w:ascii="Arial" w:eastAsia="Times New Roman" w:hAnsi="Arial"/>
      <w:b/>
      <w:bCs/>
      <w:lang w:eastAsia="en-US"/>
    </w:rPr>
  </w:style>
  <w:style w:type="paragraph" w:styleId="Prosttext">
    <w:name w:val="Plain Text"/>
    <w:basedOn w:val="Normln"/>
    <w:link w:val="ProsttextChar"/>
    <w:uiPriority w:val="99"/>
    <w:semiHidden/>
    <w:unhideWhenUsed/>
    <w:rsid w:val="00B7025F"/>
    <w:pPr>
      <w:spacing w:after="0" w:line="240" w:lineRule="auto"/>
    </w:pPr>
    <w:rPr>
      <w:rFonts w:ascii="Calibri" w:eastAsiaTheme="minorHAnsi" w:hAnsi="Calibri" w:cs="Consolas"/>
      <w:sz w:val="22"/>
      <w:szCs w:val="21"/>
      <w:lang w:val="cs-CZ"/>
    </w:rPr>
  </w:style>
  <w:style w:type="character" w:customStyle="1" w:styleId="ProsttextChar">
    <w:name w:val="Prostý text Char"/>
    <w:basedOn w:val="Standardnpsmoodstavce"/>
    <w:link w:val="Prosttext"/>
    <w:uiPriority w:val="99"/>
    <w:semiHidden/>
    <w:rsid w:val="00B7025F"/>
    <w:rPr>
      <w:rFonts w:ascii="Calibri" w:eastAsiaTheme="minorHAnsi" w:hAnsi="Calibri" w:cs="Consolas"/>
      <w:sz w:val="22"/>
      <w:szCs w:val="21"/>
      <w:lang w:eastAsia="en-US"/>
    </w:rPr>
  </w:style>
  <w:style w:type="paragraph" w:styleId="Textkomente">
    <w:name w:val="annotation text"/>
    <w:basedOn w:val="Normln"/>
    <w:link w:val="TextkomenteChar"/>
    <w:semiHidden/>
    <w:pPr>
      <w:spacing w:line="240" w:lineRule="auto"/>
    </w:pPr>
    <w:rPr>
      <w:sz w:val="20"/>
      <w:szCs w:val="20"/>
    </w:rPr>
  </w:style>
  <w:style w:type="character" w:customStyle="1" w:styleId="TextkomenteChar">
    <w:name w:val="Text komentáře Char"/>
    <w:basedOn w:val="Standardnpsmoodstavce"/>
    <w:link w:val="Textkomente"/>
    <w:semiHidden/>
    <w:rPr>
      <w:lang w:val="en-US" w:eastAsia="en-US"/>
    </w:rPr>
  </w:style>
  <w:style w:type="paragraph" w:customStyle="1" w:styleId="smlouvaheading10">
    <w:name w:val="smlouva heading 1"/>
    <w:next w:val="Normln"/>
    <w:qFormat/>
    <w:rsid w:val="00FD59D7"/>
    <w:pPr>
      <w:tabs>
        <w:tab w:val="num" w:pos="425"/>
      </w:tabs>
      <w:spacing w:before="240" w:after="120"/>
      <w:ind w:left="850" w:hanging="425"/>
    </w:pPr>
    <w:rPr>
      <w:rFonts w:eastAsia="Times New Roman"/>
      <w:b/>
      <w:noProof/>
      <w:color w:val="000000" w:themeColor="text1"/>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1497841225">
      <w:bodyDiv w:val="1"/>
      <w:marLeft w:val="0"/>
      <w:marRight w:val="0"/>
      <w:marTop w:val="0"/>
      <w:marBottom w:val="0"/>
      <w:divBdr>
        <w:top w:val="none" w:sz="0" w:space="0" w:color="auto"/>
        <w:left w:val="none" w:sz="0" w:space="0" w:color="auto"/>
        <w:bottom w:val="none" w:sz="0" w:space="0" w:color="auto"/>
        <w:right w:val="none" w:sz="0" w:space="0" w:color="auto"/>
      </w:divBdr>
      <w:divsChild>
        <w:div w:id="1587690208">
          <w:marLeft w:val="274"/>
          <w:marRight w:val="0"/>
          <w:marTop w:val="0"/>
          <w:marBottom w:val="0"/>
          <w:divBdr>
            <w:top w:val="none" w:sz="0" w:space="0" w:color="auto"/>
            <w:left w:val="none" w:sz="0" w:space="0" w:color="auto"/>
            <w:bottom w:val="none" w:sz="0" w:space="0" w:color="auto"/>
            <w:right w:val="none" w:sz="0" w:space="0" w:color="auto"/>
          </w:divBdr>
        </w:div>
        <w:div w:id="66922285">
          <w:marLeft w:val="1080"/>
          <w:marRight w:val="0"/>
          <w:marTop w:val="0"/>
          <w:marBottom w:val="0"/>
          <w:divBdr>
            <w:top w:val="none" w:sz="0" w:space="0" w:color="auto"/>
            <w:left w:val="none" w:sz="0" w:space="0" w:color="auto"/>
            <w:bottom w:val="none" w:sz="0" w:space="0" w:color="auto"/>
            <w:right w:val="none" w:sz="0" w:space="0" w:color="auto"/>
          </w:divBdr>
        </w:div>
        <w:div w:id="235940263">
          <w:marLeft w:val="1080"/>
          <w:marRight w:val="0"/>
          <w:marTop w:val="0"/>
          <w:marBottom w:val="0"/>
          <w:divBdr>
            <w:top w:val="none" w:sz="0" w:space="0" w:color="auto"/>
            <w:left w:val="none" w:sz="0" w:space="0" w:color="auto"/>
            <w:bottom w:val="none" w:sz="0" w:space="0" w:color="auto"/>
            <w:right w:val="none" w:sz="0" w:space="0" w:color="auto"/>
          </w:divBdr>
        </w:div>
        <w:div w:id="1522359817">
          <w:marLeft w:val="1080"/>
          <w:marRight w:val="0"/>
          <w:marTop w:val="0"/>
          <w:marBottom w:val="0"/>
          <w:divBdr>
            <w:top w:val="none" w:sz="0" w:space="0" w:color="auto"/>
            <w:left w:val="none" w:sz="0" w:space="0" w:color="auto"/>
            <w:bottom w:val="none" w:sz="0" w:space="0" w:color="auto"/>
            <w:right w:val="none" w:sz="0" w:space="0" w:color="auto"/>
          </w:divBdr>
        </w:div>
        <w:div w:id="2046127373">
          <w:marLeft w:val="1080"/>
          <w:marRight w:val="0"/>
          <w:marTop w:val="0"/>
          <w:marBottom w:val="0"/>
          <w:divBdr>
            <w:top w:val="none" w:sz="0" w:space="0" w:color="auto"/>
            <w:left w:val="none" w:sz="0" w:space="0" w:color="auto"/>
            <w:bottom w:val="none" w:sz="0" w:space="0" w:color="auto"/>
            <w:right w:val="none" w:sz="0" w:space="0" w:color="auto"/>
          </w:divBdr>
        </w:div>
        <w:div w:id="786854858">
          <w:marLeft w:val="274"/>
          <w:marRight w:val="0"/>
          <w:marTop w:val="0"/>
          <w:marBottom w:val="0"/>
          <w:divBdr>
            <w:top w:val="none" w:sz="0" w:space="0" w:color="auto"/>
            <w:left w:val="none" w:sz="0" w:space="0" w:color="auto"/>
            <w:bottom w:val="none" w:sz="0" w:space="0" w:color="auto"/>
            <w:right w:val="none" w:sz="0" w:space="0" w:color="auto"/>
          </w:divBdr>
        </w:div>
        <w:div w:id="17200644">
          <w:marLeft w:val="994"/>
          <w:marRight w:val="0"/>
          <w:marTop w:val="0"/>
          <w:marBottom w:val="0"/>
          <w:divBdr>
            <w:top w:val="none" w:sz="0" w:space="0" w:color="auto"/>
            <w:left w:val="none" w:sz="0" w:space="0" w:color="auto"/>
            <w:bottom w:val="none" w:sz="0" w:space="0" w:color="auto"/>
            <w:right w:val="none" w:sz="0" w:space="0" w:color="auto"/>
          </w:divBdr>
        </w:div>
        <w:div w:id="817190710">
          <w:marLeft w:val="994"/>
          <w:marRight w:val="0"/>
          <w:marTop w:val="0"/>
          <w:marBottom w:val="0"/>
          <w:divBdr>
            <w:top w:val="none" w:sz="0" w:space="0" w:color="auto"/>
            <w:left w:val="none" w:sz="0" w:space="0" w:color="auto"/>
            <w:bottom w:val="none" w:sz="0" w:space="0" w:color="auto"/>
            <w:right w:val="none" w:sz="0" w:space="0" w:color="auto"/>
          </w:divBdr>
        </w:div>
        <w:div w:id="317729985">
          <w:marLeft w:val="994"/>
          <w:marRight w:val="0"/>
          <w:marTop w:val="0"/>
          <w:marBottom w:val="0"/>
          <w:divBdr>
            <w:top w:val="none" w:sz="0" w:space="0" w:color="auto"/>
            <w:left w:val="none" w:sz="0" w:space="0" w:color="auto"/>
            <w:bottom w:val="none" w:sz="0" w:space="0" w:color="auto"/>
            <w:right w:val="none" w:sz="0" w:space="0" w:color="auto"/>
          </w:divBdr>
        </w:div>
        <w:div w:id="101234069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D7ADC-CD72-4CC3-B46A-C9A3CA82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9690</Words>
  <Characters>57176</Characters>
  <Application>Microsoft Office Word</Application>
  <DocSecurity>0</DocSecurity>
  <Lines>476</Lines>
  <Paragraphs>133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Proposal_A4</vt:lpstr>
      <vt:lpstr>Proposal_A4</vt:lpstr>
    </vt:vector>
  </TitlesOfParts>
  <Company>Deloitte Touche Tohmatsu Services, Inc.</Company>
  <LinksUpToDate>false</LinksUpToDate>
  <CharactersWithSpaces>66733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Proposal_A4</dc:title>
  <dc:creator>Havlova, Pavlina (CZ - Prague)</dc:creator>
  <cp:lastModifiedBy>Šalingová Lucie</cp:lastModifiedBy>
  <cp:revision>3</cp:revision>
  <cp:lastPrinted>2018-03-09T08:55:00Z</cp:lastPrinted>
  <dcterms:created xsi:type="dcterms:W3CDTF">2018-03-23T07:25:00Z</dcterms:created>
  <dcterms:modified xsi:type="dcterms:W3CDTF">2018-04-30T08:47:00Z</dcterms:modified>
</cp:coreProperties>
</file>