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4645C9F0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Střední škola automobilní a informatiky</w:t>
      </w:r>
    </w:p>
    <w:p w14:paraId="37607D81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Právní forma:  Příspěvková organizace zřízená územním samosprávným celkem</w:t>
      </w:r>
    </w:p>
    <w:p w14:paraId="2D26D302" w14:textId="77777777" w:rsidR="0039044E" w:rsidRPr="0039044E" w:rsidRDefault="00BE742B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Se sídlem:</w:t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="00037A18" w:rsidRPr="0039044E">
        <w:rPr>
          <w:rFonts w:ascii="Times New Roman" w:hAnsi="Times New Roman" w:cs="Times New Roman"/>
          <w:sz w:val="24"/>
          <w:szCs w:val="24"/>
        </w:rPr>
        <w:tab/>
      </w:r>
      <w:r w:rsidR="0039044E" w:rsidRPr="0039044E">
        <w:rPr>
          <w:rFonts w:ascii="Times New Roman" w:hAnsi="Times New Roman" w:cs="Times New Roman"/>
          <w:sz w:val="24"/>
          <w:szCs w:val="24"/>
        </w:rPr>
        <w:t>Praha - Hostivař, Weilova 1270/4, PSČ 10200</w:t>
      </w:r>
    </w:p>
    <w:p w14:paraId="31D3C546" w14:textId="45231C0E" w:rsidR="000E084F" w:rsidRPr="0039044E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IČ:</w:t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="000D357C" w:rsidRPr="0039044E">
        <w:rPr>
          <w:rFonts w:ascii="Times New Roman" w:hAnsi="Times New Roman" w:cs="Times New Roman"/>
          <w:sz w:val="24"/>
          <w:szCs w:val="24"/>
        </w:rPr>
        <w:tab/>
      </w:r>
      <w:r w:rsidR="0039044E" w:rsidRPr="0039044E">
        <w:rPr>
          <w:rFonts w:ascii="Times New Roman" w:hAnsi="Times New Roman" w:cs="Times New Roman"/>
          <w:sz w:val="24"/>
          <w:szCs w:val="24"/>
        </w:rPr>
        <w:t>00497070</w:t>
      </w:r>
    </w:p>
    <w:p w14:paraId="2443DAA2" w14:textId="03A83AF0" w:rsidR="00BE742B" w:rsidRPr="00AD255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39044E">
        <w:rPr>
          <w:rFonts w:ascii="Times New Roman" w:hAnsi="Times New Roman" w:cs="Times New Roman"/>
          <w:sz w:val="24"/>
          <w:szCs w:val="24"/>
        </w:rPr>
        <w:t>:</w:t>
      </w:r>
      <w:r w:rsidR="00037A18" w:rsidRPr="0039044E">
        <w:rPr>
          <w:rFonts w:ascii="Times New Roman" w:hAnsi="Times New Roman" w:cs="Times New Roman"/>
          <w:sz w:val="24"/>
          <w:szCs w:val="24"/>
        </w:rPr>
        <w:tab/>
      </w:r>
      <w:r w:rsidR="0039044E">
        <w:rPr>
          <w:rFonts w:ascii="Times New Roman" w:hAnsi="Times New Roman" w:cs="Times New Roman"/>
          <w:sz w:val="24"/>
          <w:szCs w:val="24"/>
        </w:rPr>
        <w:t>Milan Vorel, ředitel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AFF94DF" w14:textId="0F6FFAFB" w:rsidR="00AD2556" w:rsidRPr="009E7D70" w:rsidRDefault="00CA53E2" w:rsidP="0039044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 w:rsidRPr="0039044E">
        <w:rPr>
          <w:rFonts w:ascii="Times New Roman" w:hAnsi="Times New Roman" w:cs="Times New Roman"/>
          <w:sz w:val="24"/>
          <w:szCs w:val="24"/>
        </w:rPr>
        <w:t>„</w:t>
      </w:r>
      <w:r w:rsidR="0039044E" w:rsidRPr="0039044E">
        <w:rPr>
          <w:rFonts w:ascii="Arial" w:eastAsia="Times New Roman" w:hAnsi="Arial" w:cs="Arial"/>
          <w:color w:val="000000"/>
          <w:shd w:val="clear" w:color="auto" w:fill="FFFFFF"/>
        </w:rPr>
        <w:t>Modernizace elektrotechnické laboratoře</w:t>
      </w:r>
      <w:r w:rsidR="009745D4" w:rsidRPr="0039044E">
        <w:rPr>
          <w:rFonts w:ascii="Times New Roman" w:hAnsi="Times New Roman" w:cs="Times New Roman"/>
          <w:sz w:val="24"/>
          <w:szCs w:val="24"/>
        </w:rPr>
        <w:t>“.</w:t>
      </w: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4BB09705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509E721B" w14:textId="77777777" w:rsidR="00EA746E" w:rsidRDefault="00EA746E" w:rsidP="00EA746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54B9F5CE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</w:t>
      </w:r>
      <w:bookmarkStart w:id="0" w:name="_GoBack"/>
      <w:r w:rsidR="0039044E" w:rsidRPr="0023480A">
        <w:rPr>
          <w:rFonts w:ascii="Times New Roman" w:hAnsi="Times New Roman" w:cs="Times New Roman"/>
          <w:b/>
          <w:sz w:val="24"/>
          <w:szCs w:val="24"/>
        </w:rPr>
        <w:t>174.000</w:t>
      </w:r>
      <w:r w:rsidR="00A55268" w:rsidRPr="0023480A">
        <w:rPr>
          <w:rFonts w:ascii="Times New Roman" w:hAnsi="Times New Roman" w:cs="Times New Roman"/>
          <w:b/>
          <w:sz w:val="24"/>
          <w:szCs w:val="24"/>
        </w:rPr>
        <w:t xml:space="preserve"> Kč včetně DPH</w:t>
      </w:r>
      <w:r w:rsidR="00A55268" w:rsidRPr="0039044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55268" w:rsidRPr="0039044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A55268" w:rsidRPr="0039044E">
        <w:rPr>
          <w:rFonts w:ascii="Times New Roman" w:hAnsi="Times New Roman" w:cs="Times New Roman"/>
          <w:sz w:val="24"/>
          <w:szCs w:val="24"/>
        </w:rPr>
        <w:t>st</w:t>
      </w:r>
      <w:r w:rsidR="0039044E" w:rsidRPr="0039044E">
        <w:rPr>
          <w:rFonts w:ascii="Times New Roman" w:hAnsi="Times New Roman" w:cs="Times New Roman"/>
          <w:sz w:val="24"/>
          <w:szCs w:val="24"/>
        </w:rPr>
        <w:t>osedmdesátčtyřitisíc</w:t>
      </w:r>
      <w:proofErr w:type="spellEnd"/>
      <w:r w:rsidR="00A55268" w:rsidRPr="0039044E">
        <w:rPr>
          <w:rFonts w:ascii="Times New Roman" w:hAnsi="Times New Roman" w:cs="Times New Roman"/>
          <w:sz w:val="24"/>
          <w:szCs w:val="24"/>
        </w:rPr>
        <w:t xml:space="preserve"> Kč).</w:t>
      </w:r>
      <w:r w:rsidR="00A55268">
        <w:rPr>
          <w:rFonts w:ascii="Times New Roman" w:hAnsi="Times New Roman" w:cs="Times New Roman"/>
          <w:sz w:val="24"/>
          <w:szCs w:val="24"/>
        </w:rPr>
        <w:t xml:space="preserve"> </w:t>
      </w:r>
      <w:r w:rsidR="00A37F25">
        <w:rPr>
          <w:rFonts w:ascii="Times New Roman" w:hAnsi="Times New Roman" w:cs="Times New Roman"/>
          <w:sz w:val="24"/>
          <w:szCs w:val="24"/>
        </w:rPr>
        <w:t xml:space="preserve">Tato odměna je splatná průběžně v následujících krocích: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150C93BA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39044E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9B41F29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39044E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698C6719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A5C1C7F" w14:textId="77777777" w:rsidR="00EA746E" w:rsidRDefault="00EA746E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lastRenderedPageBreak/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4303479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628505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CDB870" w:rsidR="00787E47" w:rsidRPr="0039044E" w:rsidRDefault="0039044E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E">
              <w:rPr>
                <w:rFonts w:ascii="Times New Roman" w:hAnsi="Times New Roman" w:cs="Times New Roman"/>
                <w:sz w:val="24"/>
                <w:szCs w:val="24"/>
              </w:rPr>
              <w:t>Milan Vorel</w:t>
            </w:r>
          </w:p>
          <w:p w14:paraId="14A787EB" w14:textId="77777777" w:rsidR="0039044E" w:rsidRPr="0039044E" w:rsidRDefault="0039044E" w:rsidP="0039044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E">
              <w:rPr>
                <w:rFonts w:ascii="Times New Roman" w:hAnsi="Times New Roman" w:cs="Times New Roman"/>
                <w:sz w:val="24"/>
                <w:szCs w:val="24"/>
              </w:rPr>
              <w:t>Střední škola automobilní a informatiky</w:t>
            </w:r>
          </w:p>
          <w:p w14:paraId="7D9DC7BE" w14:textId="78F61C45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3FC0BAFE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1590DE75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Střední škola automobilní a informatiky</w:t>
      </w:r>
    </w:p>
    <w:p w14:paraId="71B2DF34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Právní forma:  Příspěvková organizace zřízená územním samosprávným celkem</w:t>
      </w:r>
    </w:p>
    <w:p w14:paraId="7629D0A3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Se sídlem:</w:t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Pr="0039044E">
        <w:rPr>
          <w:rFonts w:ascii="Times New Roman" w:hAnsi="Times New Roman" w:cs="Times New Roman"/>
          <w:sz w:val="24"/>
          <w:szCs w:val="24"/>
        </w:rPr>
        <w:tab/>
        <w:t>Praha - Hostivař, Weilova 1270/4, PSČ 10200</w:t>
      </w:r>
    </w:p>
    <w:p w14:paraId="3D35FC12" w14:textId="77777777" w:rsidR="0039044E" w:rsidRPr="0039044E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IČ:</w:t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Pr="0039044E">
        <w:rPr>
          <w:rFonts w:ascii="Times New Roman" w:hAnsi="Times New Roman" w:cs="Times New Roman"/>
          <w:sz w:val="24"/>
          <w:szCs w:val="24"/>
        </w:rPr>
        <w:tab/>
      </w:r>
      <w:r w:rsidRPr="0039044E">
        <w:rPr>
          <w:rFonts w:ascii="Times New Roman" w:hAnsi="Times New Roman" w:cs="Times New Roman"/>
          <w:sz w:val="24"/>
          <w:szCs w:val="24"/>
        </w:rPr>
        <w:tab/>
        <w:t>00497070</w:t>
      </w:r>
    </w:p>
    <w:p w14:paraId="5B1405F2" w14:textId="77777777" w:rsidR="0039044E" w:rsidRPr="00AD2556" w:rsidRDefault="0039044E" w:rsidP="003904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044E">
        <w:rPr>
          <w:rFonts w:ascii="Times New Roman" w:hAnsi="Times New Roman" w:cs="Times New Roman"/>
          <w:sz w:val="24"/>
          <w:szCs w:val="24"/>
        </w:rPr>
        <w:t>Jednající osoba:</w:t>
      </w:r>
      <w:r w:rsidRPr="00390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Milan Vorel, ředitel školy</w:t>
      </w:r>
    </w:p>
    <w:p w14:paraId="2A34F2BA" w14:textId="77777777" w:rsidR="0039044E" w:rsidRPr="000D357C" w:rsidRDefault="0039044E" w:rsidP="0039044E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079C481F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39044E">
        <w:rPr>
          <w:rFonts w:ascii="Times New Roman" w:hAnsi="Times New Roman" w:cs="Times New Roman"/>
          <w:sz w:val="24"/>
          <w:szCs w:val="24"/>
        </w:rPr>
        <w:t>Milan Vorel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3480A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9044E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A746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71F1352E-F085-4251-9952-E268FC3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ACE7-72B6-4F91-AD5A-072E0132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2066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Milan Vorel</cp:lastModifiedBy>
  <cp:revision>3</cp:revision>
  <cp:lastPrinted>2018-04-08T11:13:00Z</cp:lastPrinted>
  <dcterms:created xsi:type="dcterms:W3CDTF">2018-04-09T04:54:00Z</dcterms:created>
  <dcterms:modified xsi:type="dcterms:W3CDTF">2018-04-09T06:01:00Z</dcterms:modified>
</cp:coreProperties>
</file>