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24E79" w14:textId="77777777" w:rsidR="00AC51B8" w:rsidRDefault="00AC51B8" w:rsidP="00AC51B8">
      <w:pPr>
        <w:pStyle w:val="Nzev"/>
        <w:rPr>
          <w:rFonts w:ascii="Calibri" w:hAnsi="Calibri" w:cs="Calibri"/>
          <w:sz w:val="28"/>
          <w:szCs w:val="16"/>
        </w:rPr>
      </w:pPr>
      <w:r>
        <w:rPr>
          <w:rFonts w:ascii="Calibri" w:hAnsi="Calibri" w:cs="Calibri"/>
          <w:sz w:val="28"/>
          <w:szCs w:val="16"/>
        </w:rPr>
        <w:t xml:space="preserve">OBJEDNÁVKA </w:t>
      </w:r>
    </w:p>
    <w:p w14:paraId="2FD9529F" w14:textId="77777777" w:rsidR="00AC51B8" w:rsidRDefault="00AC51B8" w:rsidP="00AC51B8">
      <w:pPr>
        <w:tabs>
          <w:tab w:val="center" w:pos="4536"/>
          <w:tab w:val="right" w:pos="9072"/>
        </w:tabs>
        <w:spacing w:after="60" w:line="240" w:lineRule="auto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Statutární město Brno – Magistrát města Brna,</w:t>
      </w:r>
    </w:p>
    <w:p w14:paraId="3F436F5C" w14:textId="77777777" w:rsidR="00AC51B8" w:rsidRDefault="00AC51B8" w:rsidP="00AC51B8">
      <w:pPr>
        <w:spacing w:after="6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se sídlem: Dominikánské náměstí 196/1,</w:t>
      </w:r>
      <w:r w:rsidR="004B1D1C">
        <w:rPr>
          <w:color w:val="000000"/>
          <w:sz w:val="16"/>
          <w:szCs w:val="16"/>
        </w:rPr>
        <w:t>602 00</w:t>
      </w:r>
      <w:r>
        <w:rPr>
          <w:color w:val="000000"/>
          <w:sz w:val="16"/>
          <w:szCs w:val="16"/>
        </w:rPr>
        <w:t xml:space="preserve"> Brno  </w:t>
      </w:r>
    </w:p>
    <w:p w14:paraId="1913EED8" w14:textId="77777777" w:rsidR="00AC51B8" w:rsidRDefault="00AC51B8" w:rsidP="00AC51B8">
      <w:pPr>
        <w:spacing w:after="6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IČ: 44992785</w:t>
      </w:r>
    </w:p>
    <w:p w14:paraId="2CBEA6D1" w14:textId="77777777" w:rsidR="00AC51B8" w:rsidRDefault="004B1D1C" w:rsidP="00AC51B8">
      <w:pPr>
        <w:spacing w:after="6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DIČ (VAT ID): CZ44992785</w:t>
      </w:r>
    </w:p>
    <w:p w14:paraId="29126B4E" w14:textId="77777777" w:rsidR="00AC51B8" w:rsidRDefault="00AC51B8" w:rsidP="00AC51B8">
      <w:pPr>
        <w:spacing w:after="6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bankovní spojení: </w:t>
      </w:r>
      <w:r w:rsidR="004B1D1C">
        <w:rPr>
          <w:color w:val="000000"/>
          <w:sz w:val="16"/>
          <w:szCs w:val="16"/>
        </w:rPr>
        <w:t>Česká spořitelna, a.s.</w:t>
      </w:r>
      <w:r>
        <w:rPr>
          <w:color w:val="000000"/>
          <w:sz w:val="16"/>
          <w:szCs w:val="16"/>
        </w:rPr>
        <w:t>,</w:t>
      </w:r>
      <w:r w:rsidR="006828C3">
        <w:rPr>
          <w:color w:val="000000"/>
          <w:sz w:val="16"/>
          <w:szCs w:val="16"/>
        </w:rPr>
        <w:t xml:space="preserve"> </w:t>
      </w:r>
      <w:r w:rsidR="006828C3" w:rsidRPr="006828C3">
        <w:rPr>
          <w:color w:val="000000"/>
          <w:sz w:val="16"/>
          <w:szCs w:val="16"/>
        </w:rPr>
        <w:t>Olbrachtova 1929/62, 140 00 Praha 4</w:t>
      </w:r>
    </w:p>
    <w:p w14:paraId="42AB5ED6" w14:textId="77777777" w:rsidR="006828C3" w:rsidRDefault="0049685A" w:rsidP="00AC51B8">
      <w:pPr>
        <w:spacing w:after="6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č</w:t>
      </w:r>
      <w:r w:rsidR="006828C3">
        <w:rPr>
          <w:color w:val="000000"/>
          <w:sz w:val="16"/>
          <w:szCs w:val="16"/>
        </w:rPr>
        <w:t>íslo účtu:</w:t>
      </w:r>
      <w:r w:rsidR="006828C3">
        <w:rPr>
          <w:color w:val="000000"/>
          <w:sz w:val="16"/>
          <w:szCs w:val="16"/>
        </w:rPr>
        <w:tab/>
      </w:r>
      <w:r w:rsidR="006828C3" w:rsidRPr="006828C3">
        <w:rPr>
          <w:color w:val="000000"/>
          <w:sz w:val="16"/>
          <w:szCs w:val="16"/>
        </w:rPr>
        <w:t>111211222/0800</w:t>
      </w:r>
    </w:p>
    <w:p w14:paraId="436206DE" w14:textId="77777777" w:rsidR="00AC51B8" w:rsidRDefault="004B1D1C" w:rsidP="00AC51B8">
      <w:pPr>
        <w:spacing w:after="60" w:line="240" w:lineRule="auto"/>
        <w:rPr>
          <w:color w:val="000000"/>
          <w:sz w:val="16"/>
          <w:szCs w:val="16"/>
        </w:rPr>
      </w:pPr>
      <w:r>
        <w:rPr>
          <w:sz w:val="16"/>
          <w:szCs w:val="16"/>
        </w:rPr>
        <w:t>elektronická adresa:  zamecnikova.bohuslava@brno.cz, číslo faxu: 542 17 21 68</w:t>
      </w:r>
      <w:r w:rsidR="00AC51B8">
        <w:rPr>
          <w:sz w:val="16"/>
          <w:szCs w:val="16"/>
        </w:rPr>
        <w:t>,</w:t>
      </w:r>
    </w:p>
    <w:p w14:paraId="22AE454C" w14:textId="77777777" w:rsidR="00994BB8" w:rsidRDefault="00AC51B8" w:rsidP="00AC51B8">
      <w:pPr>
        <w:spacing w:after="6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zastoupenou: Ing. Petrem Vokřálem, primátorem statutárního města Brna</w:t>
      </w:r>
    </w:p>
    <w:p w14:paraId="12A53580" w14:textId="73C21D7F" w:rsidR="00AC51B8" w:rsidRDefault="00AC51B8" w:rsidP="00AC51B8">
      <w:pPr>
        <w:spacing w:after="6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k podpisu smlouvy je oprávněna</w:t>
      </w:r>
      <w:r w:rsidR="003220B8">
        <w:rPr>
          <w:color w:val="000000"/>
          <w:sz w:val="16"/>
          <w:szCs w:val="16"/>
        </w:rPr>
        <w:t>:</w:t>
      </w:r>
      <w:r>
        <w:rPr>
          <w:color w:val="000000"/>
          <w:sz w:val="16"/>
          <w:szCs w:val="16"/>
        </w:rPr>
        <w:t xml:space="preserve"> Bc. Bohuslava Zámečníková vedoucí Personálního oddělení Magistrátu města Brna</w:t>
      </w:r>
    </w:p>
    <w:p w14:paraId="67022E83" w14:textId="77777777" w:rsidR="006828C3" w:rsidRDefault="0049685A" w:rsidP="00AC51B8">
      <w:pPr>
        <w:spacing w:after="6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č</w:t>
      </w:r>
      <w:r w:rsidR="006828C3">
        <w:rPr>
          <w:color w:val="000000"/>
          <w:sz w:val="16"/>
          <w:szCs w:val="16"/>
        </w:rPr>
        <w:t>íslo objednávky</w:t>
      </w:r>
      <w:r w:rsidR="006828C3" w:rsidRPr="006828C3">
        <w:rPr>
          <w:color w:val="000000"/>
          <w:sz w:val="16"/>
          <w:szCs w:val="16"/>
        </w:rPr>
        <w:t>:</w:t>
      </w:r>
      <w:r w:rsidR="003E29E6">
        <w:rPr>
          <w:color w:val="000000"/>
          <w:sz w:val="16"/>
          <w:szCs w:val="16"/>
        </w:rPr>
        <w:t xml:space="preserve"> </w:t>
      </w:r>
    </w:p>
    <w:p w14:paraId="59BF4E93" w14:textId="77777777" w:rsidR="00AC51B8" w:rsidRDefault="00AC51B8" w:rsidP="00AC51B8">
      <w:pPr>
        <w:spacing w:after="6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(dále jen „</w:t>
      </w:r>
      <w:r>
        <w:rPr>
          <w:b/>
          <w:bCs/>
          <w:color w:val="000000"/>
          <w:sz w:val="16"/>
          <w:szCs w:val="16"/>
        </w:rPr>
        <w:t>Objednatel</w:t>
      </w:r>
      <w:r>
        <w:rPr>
          <w:color w:val="000000"/>
          <w:sz w:val="16"/>
          <w:szCs w:val="16"/>
        </w:rPr>
        <w:t xml:space="preserve">“) </w:t>
      </w:r>
    </w:p>
    <w:p w14:paraId="1B364854" w14:textId="77777777" w:rsidR="00AC51B8" w:rsidRDefault="00AC51B8" w:rsidP="00AC51B8">
      <w:pPr>
        <w:spacing w:before="12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a</w:t>
      </w:r>
    </w:p>
    <w:p w14:paraId="0C8179B6" w14:textId="77777777" w:rsidR="00AC51B8" w:rsidRDefault="00AC51B8" w:rsidP="00AC51B8">
      <w:pPr>
        <w:pStyle w:val="Zhlav"/>
        <w:spacing w:after="60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Grafton Recruitment s.r.o.,</w:t>
      </w:r>
    </w:p>
    <w:p w14:paraId="5E2701A0" w14:textId="77777777" w:rsidR="00AC51B8" w:rsidRDefault="00AC51B8" w:rsidP="00AC51B8">
      <w:pPr>
        <w:spacing w:after="6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se sídlem: Praha 1, Na Poříčí 3a, PSČ 110 00,</w:t>
      </w:r>
    </w:p>
    <w:p w14:paraId="19762E0B" w14:textId="77777777" w:rsidR="00AC51B8" w:rsidRDefault="00AC51B8" w:rsidP="00AC51B8">
      <w:pPr>
        <w:spacing w:after="6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IČ: 62583344,</w:t>
      </w:r>
    </w:p>
    <w:p w14:paraId="65D12A72" w14:textId="77777777" w:rsidR="00AC51B8" w:rsidRDefault="00AC51B8" w:rsidP="00AC51B8">
      <w:pPr>
        <w:spacing w:after="6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DIČ (VAT ID): CZ62583344,</w:t>
      </w:r>
    </w:p>
    <w:p w14:paraId="24563813" w14:textId="77777777" w:rsidR="00AC51B8" w:rsidRDefault="00AC51B8" w:rsidP="00AC51B8">
      <w:pPr>
        <w:spacing w:after="6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zapsanou v obchodním rejstříku vedeném Městským soudem v Praze, </w:t>
      </w:r>
    </w:p>
    <w:p w14:paraId="1AB1F085" w14:textId="77777777" w:rsidR="00AC51B8" w:rsidRDefault="00AC51B8" w:rsidP="00AC51B8">
      <w:pPr>
        <w:spacing w:after="6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oddíl C, vložka 33542,</w:t>
      </w:r>
    </w:p>
    <w:p w14:paraId="3764D9F6" w14:textId="77777777" w:rsidR="00AC51B8" w:rsidRDefault="00AC51B8" w:rsidP="00AC51B8">
      <w:pPr>
        <w:spacing w:after="6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Bankovní spojení: HSBC Bank plc, V Celnici 10, 117 21   Praha 1</w:t>
      </w:r>
    </w:p>
    <w:p w14:paraId="34503A58" w14:textId="4D3E77D9" w:rsidR="00AC51B8" w:rsidRDefault="00AC51B8" w:rsidP="008649B2">
      <w:pPr>
        <w:spacing w:after="6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Číslo účtu CZK</w:t>
      </w:r>
    </w:p>
    <w:p w14:paraId="6367F5A6" w14:textId="3161DACD" w:rsidR="00AC51B8" w:rsidRDefault="00AC51B8" w:rsidP="008649B2">
      <w:pPr>
        <w:spacing w:after="6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Číslo účtu EUR: </w:t>
      </w:r>
    </w:p>
    <w:p w14:paraId="2647BEBE" w14:textId="77777777" w:rsidR="00AC51B8" w:rsidRDefault="00AC51B8" w:rsidP="00AC51B8">
      <w:pPr>
        <w:spacing w:after="6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SWIFT adresa banky: MIDLCZPP,</w:t>
      </w:r>
    </w:p>
    <w:p w14:paraId="296D45E8" w14:textId="77777777" w:rsidR="00AC51B8" w:rsidRDefault="00AC51B8" w:rsidP="00AC51B8">
      <w:pPr>
        <w:spacing w:after="6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elektronická adresa:  </w:t>
      </w:r>
      <w:hyperlink r:id="rId7" w:history="1">
        <w:r>
          <w:rPr>
            <w:sz w:val="16"/>
            <w:szCs w:val="16"/>
          </w:rPr>
          <w:t>info@grafton.cz</w:t>
        </w:r>
      </w:hyperlink>
      <w:r>
        <w:rPr>
          <w:color w:val="000000"/>
          <w:sz w:val="16"/>
          <w:szCs w:val="16"/>
        </w:rPr>
        <w:t>, číslo faxu: +420 242 456 405,</w:t>
      </w:r>
    </w:p>
    <w:p w14:paraId="601FA8AD" w14:textId="77777777" w:rsidR="00AC51B8" w:rsidRDefault="00AC51B8" w:rsidP="00AC51B8">
      <w:pPr>
        <w:spacing w:after="6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zastoupenou na základě plné moci: Kateřina Tkadlecová, </w:t>
      </w:r>
    </w:p>
    <w:p w14:paraId="3996D50E" w14:textId="77777777" w:rsidR="00AC51B8" w:rsidRDefault="00AC51B8" w:rsidP="00AC51B8">
      <w:pPr>
        <w:spacing w:after="6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číslo povolení ke zprostředkování zaměstnání: značka 2010/15684-422/4, datum vydání rozhodnutí 26.2.2010 a UPCR-2016/97214/5, datum vydání rozhodnutí 31.10.2016</w:t>
      </w:r>
    </w:p>
    <w:p w14:paraId="6A785C9D" w14:textId="77777777" w:rsidR="00AC51B8" w:rsidRDefault="00AC51B8" w:rsidP="00AC51B8">
      <w:pPr>
        <w:spacing w:after="60" w:line="240" w:lineRule="auto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(dále jen „</w:t>
      </w:r>
      <w:r>
        <w:rPr>
          <w:b/>
          <w:bCs/>
          <w:color w:val="000000"/>
          <w:sz w:val="16"/>
          <w:szCs w:val="16"/>
        </w:rPr>
        <w:t>Agentura</w:t>
      </w:r>
      <w:r>
        <w:rPr>
          <w:color w:val="000000"/>
          <w:sz w:val="16"/>
          <w:szCs w:val="16"/>
        </w:rPr>
        <w:t xml:space="preserve">“) </w:t>
      </w:r>
    </w:p>
    <w:p w14:paraId="2685EDC5" w14:textId="77777777" w:rsidR="00AC51B8" w:rsidRDefault="00AC51B8" w:rsidP="00AC51B8">
      <w:pPr>
        <w:spacing w:line="240" w:lineRule="auto"/>
        <w:jc w:val="both"/>
        <w:rPr>
          <w:b/>
          <w:bCs/>
          <w:sz w:val="16"/>
          <w:szCs w:val="16"/>
        </w:rPr>
      </w:pPr>
    </w:p>
    <w:tbl>
      <w:tblPr>
        <w:tblW w:w="9345" w:type="dxa"/>
        <w:tblLayout w:type="fixed"/>
        <w:tblLook w:val="00A0" w:firstRow="1" w:lastRow="0" w:firstColumn="1" w:lastColumn="0" w:noHBand="0" w:noVBand="0"/>
      </w:tblPr>
      <w:tblGrid>
        <w:gridCol w:w="4440"/>
        <w:gridCol w:w="4905"/>
      </w:tblGrid>
      <w:tr w:rsidR="00AC51B8" w14:paraId="2356C4FE" w14:textId="77777777" w:rsidTr="00D0174A">
        <w:trPr>
          <w:trHeight w:val="60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6645" w14:textId="77777777" w:rsidR="00AC51B8" w:rsidRDefault="00AC51B8" w:rsidP="00D01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poptávaného pracovního místa: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035EC0" w14:textId="77777777" w:rsidR="00AC51B8" w:rsidRDefault="00AC51B8" w:rsidP="00D01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Vedoucí odboru dopravy</w:t>
            </w:r>
          </w:p>
        </w:tc>
      </w:tr>
      <w:tr w:rsidR="00AC51B8" w14:paraId="264F8DEE" w14:textId="77777777" w:rsidTr="00D0174A">
        <w:trPr>
          <w:trHeight w:val="60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0490" w14:textId="77777777" w:rsidR="00AC51B8" w:rsidRDefault="00AC51B8" w:rsidP="00D01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Základní specifikace poptávaného pracovního místa: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4BDC4F" w14:textId="77777777" w:rsidR="00AC51B8" w:rsidRPr="00D0174A" w:rsidRDefault="00AC51B8" w:rsidP="00D0174A">
            <w:pPr>
              <w:pStyle w:val="Normlnweb"/>
              <w:shd w:val="clear" w:color="auto" w:fill="FFFFFF"/>
              <w:rPr>
                <w:rFonts w:asciiTheme="minorHAnsi" w:hAnsiTheme="minorHAnsi" w:cs="Arial"/>
                <w:color w:val="000000"/>
                <w:sz w:val="16"/>
                <w:szCs w:val="16"/>
              </w:rPr>
            </w:pPr>
            <w:r w:rsidRPr="00D0174A">
              <w:rPr>
                <w:rFonts w:asciiTheme="minorHAnsi" w:hAnsiTheme="minorHAnsi" w:cs="Arial"/>
                <w:color w:val="000000"/>
                <w:sz w:val="16"/>
                <w:szCs w:val="16"/>
              </w:rPr>
              <w:t>vysokoškolské vzdělání v magisterském studijním programu v oboru technickém, stavebním, právo, ekonomika, management</w:t>
            </w:r>
            <w:r w:rsidRPr="00157A0F">
              <w:rPr>
                <w:rFonts w:asciiTheme="minorHAnsi" w:hAnsiTheme="minorHAnsi" w:cs="Arial"/>
                <w:color w:val="000000"/>
                <w:sz w:val="16"/>
                <w:szCs w:val="16"/>
              </w:rPr>
              <w:t>;</w:t>
            </w:r>
            <w:r w:rsidRPr="00D0174A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pra</w:t>
            </w:r>
            <w:r w:rsidRPr="00157A0F">
              <w:rPr>
                <w:rFonts w:asciiTheme="minorHAnsi" w:hAnsiTheme="minorHAnsi" w:cs="Arial"/>
                <w:color w:val="000000"/>
                <w:sz w:val="16"/>
                <w:szCs w:val="16"/>
              </w:rPr>
              <w:t>xe ve vedoucí pozici min. 5 let;</w:t>
            </w:r>
            <w:r w:rsidRPr="00D0174A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</w:t>
            </w:r>
            <w:r w:rsidRPr="00157A0F">
              <w:rPr>
                <w:rFonts w:asciiTheme="minorHAnsi" w:hAnsiTheme="minorHAnsi" w:cs="Arial"/>
                <w:color w:val="000000"/>
                <w:sz w:val="16"/>
                <w:szCs w:val="16"/>
              </w:rPr>
              <w:t>znalost principů veřejné sprá</w:t>
            </w:r>
            <w:r w:rsidRPr="00D0174A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vy včetně právních předpisů </w:t>
            </w:r>
            <w:r w:rsidRPr="00157A0F">
              <w:rPr>
                <w:rFonts w:asciiTheme="minorHAnsi" w:hAnsiTheme="minorHAnsi" w:cs="Arial"/>
                <w:color w:val="000000"/>
                <w:sz w:val="16"/>
                <w:szCs w:val="16"/>
              </w:rPr>
              <w:t>vztahujících se k činnosti obcí;</w:t>
            </w:r>
            <w:r w:rsidRPr="00D0174A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velmi dobrá schopnost jednat s lidmi, vysoké pracovní nasazení, odpovědnost, spolehlivost, flexibilita, sch</w:t>
            </w:r>
            <w:r w:rsidRPr="00157A0F">
              <w:rPr>
                <w:rFonts w:asciiTheme="minorHAnsi" w:hAnsiTheme="minorHAnsi" w:cs="Arial"/>
                <w:color w:val="000000"/>
                <w:sz w:val="16"/>
                <w:szCs w:val="16"/>
              </w:rPr>
              <w:t>opnost samostatného rozhodování;</w:t>
            </w:r>
            <w:r w:rsidRPr="00D0174A">
              <w:rPr>
                <w:rFonts w:asciiTheme="minorHAnsi" w:hAnsiTheme="minorHAnsi" w:cs="Arial"/>
                <w:color w:val="000000"/>
                <w:sz w:val="16"/>
                <w:szCs w:val="16"/>
              </w:rPr>
              <w:t xml:space="preserve"> znalost práce s PC.</w:t>
            </w:r>
          </w:p>
        </w:tc>
      </w:tr>
      <w:tr w:rsidR="00AC51B8" w14:paraId="42A402C2" w14:textId="77777777" w:rsidTr="00D0174A">
        <w:trPr>
          <w:trHeight w:val="60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A506" w14:textId="77777777" w:rsidR="00AC51B8" w:rsidRDefault="00AC51B8" w:rsidP="00D01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zadání pozice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BAE8C" w14:textId="77777777" w:rsidR="00AC51B8" w:rsidRDefault="00AC51B8" w:rsidP="00D01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4. 4. 2018</w:t>
            </w:r>
          </w:p>
        </w:tc>
      </w:tr>
      <w:tr w:rsidR="00AC51B8" w14:paraId="23AD139B" w14:textId="77777777" w:rsidTr="00D0174A">
        <w:trPr>
          <w:trHeight w:val="60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9469" w14:textId="77777777" w:rsidR="00AC51B8" w:rsidRDefault="00AC51B8" w:rsidP="00D0174A">
            <w:pPr>
              <w:rPr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Očekávaná </w:t>
            </w:r>
            <w:r>
              <w:rPr>
                <w:rFonts w:asciiTheme="minorHAnsi" w:hAnsiTheme="minorHAnsi"/>
                <w:iCs/>
                <w:sz w:val="16"/>
                <w:szCs w:val="16"/>
              </w:rPr>
              <w:t xml:space="preserve">hrubý základní plat 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EC4202" w14:textId="77777777" w:rsidR="00AC51B8" w:rsidRDefault="00AC51B8" w:rsidP="00D01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45 000 až 50 000</w:t>
            </w:r>
          </w:p>
        </w:tc>
      </w:tr>
      <w:tr w:rsidR="00AC51B8" w14:paraId="32F0F35B" w14:textId="77777777" w:rsidTr="00D0174A">
        <w:trPr>
          <w:trHeight w:val="600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E2B9" w14:textId="78F297EE" w:rsidR="00AC51B8" w:rsidRDefault="00AC51B8" w:rsidP="00D01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Očekávaný </w:t>
            </w:r>
            <w:r w:rsidR="00731BE2">
              <w:rPr>
                <w:bCs/>
                <w:sz w:val="16"/>
              </w:rPr>
              <w:t>h</w:t>
            </w:r>
            <w:r>
              <w:rPr>
                <w:bCs/>
                <w:sz w:val="16"/>
              </w:rPr>
              <w:t>rubý roční příjem</w:t>
            </w:r>
            <w:r>
              <w:rPr>
                <w:b/>
                <w:bCs/>
                <w:sz w:val="16"/>
              </w:rPr>
              <w:t xml:space="preserve"> </w:t>
            </w:r>
            <w:r>
              <w:rPr>
                <w:sz w:val="16"/>
              </w:rPr>
              <w:t>(součet roční základního hrubého platu a variabilní hrubého platu</w:t>
            </w:r>
            <w:r>
              <w:rPr>
                <w:sz w:val="16"/>
                <w:szCs w:val="16"/>
              </w:rPr>
              <w:t>):</w:t>
            </w:r>
          </w:p>
        </w:tc>
        <w:tc>
          <w:tcPr>
            <w:tcW w:w="4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679CA3" w14:textId="77777777" w:rsidR="00AC51B8" w:rsidRDefault="00AC51B8" w:rsidP="00D01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600 000 – 680 000</w:t>
            </w:r>
          </w:p>
        </w:tc>
      </w:tr>
    </w:tbl>
    <w:p w14:paraId="60B4B13D" w14:textId="16CD2D38" w:rsidR="00AC51B8" w:rsidRDefault="00AC51B8" w:rsidP="00AC51B8">
      <w:pPr>
        <w:spacing w:after="120" w:line="240" w:lineRule="auto"/>
        <w:jc w:val="both"/>
        <w:rPr>
          <w:sz w:val="16"/>
          <w:szCs w:val="16"/>
        </w:rPr>
      </w:pPr>
    </w:p>
    <w:p w14:paraId="584C8606" w14:textId="6EBEAE84" w:rsidR="00A01F32" w:rsidRDefault="00A01F32" w:rsidP="00AC51B8">
      <w:pPr>
        <w:spacing w:after="12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Pozn</w:t>
      </w:r>
      <w:r w:rsidR="00573369">
        <w:rPr>
          <w:sz w:val="16"/>
          <w:szCs w:val="16"/>
        </w:rPr>
        <w:t xml:space="preserve">. </w:t>
      </w:r>
      <w:r>
        <w:rPr>
          <w:sz w:val="16"/>
          <w:szCs w:val="16"/>
        </w:rPr>
        <w:t>: Bližší specifikace pozice je obsažena v inzerátu, který agentura obdržela jako přílohu e-mailu Objednatele ze dne 4. 4. 2018.</w:t>
      </w:r>
    </w:p>
    <w:p w14:paraId="0F00606F" w14:textId="77777777" w:rsidR="00AC51B8" w:rsidRDefault="00AC51B8" w:rsidP="00AC51B8">
      <w:pPr>
        <w:jc w:val="both"/>
        <w:rPr>
          <w:sz w:val="16"/>
          <w:szCs w:val="16"/>
        </w:rPr>
      </w:pPr>
      <w:r>
        <w:rPr>
          <w:sz w:val="16"/>
          <w:szCs w:val="16"/>
        </w:rPr>
        <w:t>Objednatel tímto u Agentury objednává služby – zprostředkování pracovní smlouvy s kandidátem na výše uvedené pracovní místo (dále jen „</w:t>
      </w:r>
      <w:r>
        <w:rPr>
          <w:b/>
          <w:sz w:val="16"/>
          <w:szCs w:val="16"/>
        </w:rPr>
        <w:t>Kandidát</w:t>
      </w:r>
      <w:r>
        <w:rPr>
          <w:sz w:val="16"/>
          <w:szCs w:val="16"/>
        </w:rPr>
        <w:t>“).</w:t>
      </w:r>
    </w:p>
    <w:p w14:paraId="1C802BB0" w14:textId="77777777" w:rsidR="00AC51B8" w:rsidRDefault="00AC51B8" w:rsidP="00AC51B8">
      <w:pPr>
        <w:jc w:val="both"/>
        <w:rPr>
          <w:sz w:val="16"/>
          <w:szCs w:val="16"/>
        </w:rPr>
      </w:pPr>
      <w:r>
        <w:rPr>
          <w:sz w:val="16"/>
          <w:szCs w:val="16"/>
        </w:rPr>
        <w:t>Činnost Agentury pro Objednatele dle této objednávky (dále jen „</w:t>
      </w:r>
      <w:r>
        <w:rPr>
          <w:b/>
          <w:sz w:val="16"/>
          <w:szCs w:val="16"/>
        </w:rPr>
        <w:t>Objednávka</w:t>
      </w:r>
      <w:r>
        <w:rPr>
          <w:sz w:val="16"/>
          <w:szCs w:val="16"/>
        </w:rPr>
        <w:t>“)</w:t>
      </w: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zahrnuje vyhledání a výběr Kandidátů dle Objednávky, představení Kandidáta a pozvání Kandidáta na pohovor s Objednatelem, na žádost Objednatele. Konečný výběr Kandidáta, se kterým Objednatel uzavře pracovní smlouvu, je věcí Objednatele.</w:t>
      </w:r>
    </w:p>
    <w:p w14:paraId="7C18BC9A" w14:textId="77777777" w:rsidR="00AC51B8" w:rsidRDefault="00AC51B8" w:rsidP="00AC51B8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Odměna:</w:t>
      </w:r>
    </w:p>
    <w:p w14:paraId="5C084C97" w14:textId="142AD8A8" w:rsidR="00AC51B8" w:rsidRDefault="00AC51B8" w:rsidP="00AC51B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Odměna za zprostředkování je stanovena fixní částkou ve výši </w:t>
      </w:r>
      <w:bookmarkStart w:id="0" w:name="_Ref75163903"/>
      <w:bookmarkStart w:id="1" w:name="_Ref71906224"/>
      <w:bookmarkStart w:id="2" w:name="_Ref70143461"/>
      <w:r>
        <w:rPr>
          <w:sz w:val="16"/>
          <w:szCs w:val="16"/>
        </w:rPr>
        <w:t>100.000,- Kč</w:t>
      </w:r>
      <w:r w:rsidR="001804D8">
        <w:rPr>
          <w:sz w:val="16"/>
          <w:szCs w:val="16"/>
        </w:rPr>
        <w:t xml:space="preserve"> bez DPH</w:t>
      </w:r>
      <w:r>
        <w:rPr>
          <w:sz w:val="16"/>
          <w:szCs w:val="16"/>
        </w:rPr>
        <w:t xml:space="preserve"> (dále jen „</w:t>
      </w:r>
      <w:r>
        <w:rPr>
          <w:b/>
          <w:sz w:val="16"/>
          <w:szCs w:val="16"/>
        </w:rPr>
        <w:t>Odměna</w:t>
      </w:r>
      <w:r>
        <w:rPr>
          <w:sz w:val="16"/>
          <w:szCs w:val="16"/>
        </w:rPr>
        <w:t>“). Nárok na Odměnu vzniká Agentuře dnem vzniku pracovního vztahu</w:t>
      </w:r>
      <w:bookmarkStart w:id="3" w:name="_GoBack"/>
      <w:bookmarkEnd w:id="3"/>
      <w:r>
        <w:rPr>
          <w:sz w:val="16"/>
          <w:szCs w:val="16"/>
        </w:rPr>
        <w:t xml:space="preserve"> Kandidáta u Objednatele; se souhlasem Objednatele může Agentura fakturovat Odměnu i před tímto datem. Pracovní vztah znamená pro účely této Objednávky pracovní poměr a / nebo činnost vykonávaná na základě dohody o pracích konaných mimo pracovní poměr a / nebo i jiný smluvně upravený vztah, jehož obsahem je činnost vykonávaná Kandidátem pro Objednatele a dle jeho zadání</w:t>
      </w:r>
    </w:p>
    <w:p w14:paraId="456F2561" w14:textId="0DBB7CFA" w:rsidR="00AC51B8" w:rsidRDefault="00AC51B8" w:rsidP="00AC51B8">
      <w:pPr>
        <w:jc w:val="both"/>
        <w:rPr>
          <w:sz w:val="16"/>
          <w:szCs w:val="16"/>
        </w:rPr>
      </w:pPr>
      <w:r>
        <w:rPr>
          <w:sz w:val="16"/>
          <w:szCs w:val="16"/>
        </w:rPr>
        <w:t>K Odměně bude Agenturou dále účtována příslušná sazba DPH</w:t>
      </w:r>
      <w:r w:rsidR="00196AD6">
        <w:rPr>
          <w:sz w:val="16"/>
          <w:szCs w:val="16"/>
        </w:rPr>
        <w:t xml:space="preserve">, </w:t>
      </w:r>
      <w:r w:rsidR="00196AD6" w:rsidRPr="00196AD6">
        <w:rPr>
          <w:sz w:val="16"/>
          <w:szCs w:val="16"/>
        </w:rPr>
        <w:t xml:space="preserve">ve výši odpovídající platným a účinným právním předpisům ke dni zdanitelného plnění. Cena za plnění bez DPH </w:t>
      </w:r>
      <w:r w:rsidR="00196AD6">
        <w:rPr>
          <w:sz w:val="16"/>
          <w:szCs w:val="16"/>
        </w:rPr>
        <w:t>tímto není dotčena. Agentura</w:t>
      </w:r>
      <w:r w:rsidR="00196AD6" w:rsidRPr="00196AD6">
        <w:rPr>
          <w:sz w:val="16"/>
          <w:szCs w:val="16"/>
        </w:rPr>
        <w:t xml:space="preserve"> odpovídá za to, že sazba DPH je stanovena v souladu s platnými právními předpisy.</w:t>
      </w:r>
    </w:p>
    <w:p w14:paraId="53F9E2FD" w14:textId="216B4C9A" w:rsidR="00AC51B8" w:rsidRDefault="00AC51B8" w:rsidP="00AC51B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Nárok na zaplacení Odměny Objednatelem vzniká Agentuře pouze v případě, že dojde ke vzniku pracovního vztahu mezi Kandidátem a Objednatelem do 12 (dvanácti) měsíců od představení Kandidáta Objednateli. Nárok Agentury na zaplacení Odměny Objednatelem vznikne i v případě, že ve stejné lhůtě dojde ke vzniku pracovního vztahu mezi Kandidátem a třetí osobou, které byl Kandidát Objednatelem nebo jeho zaměstnanci </w:t>
      </w:r>
      <w:r w:rsidR="00A01F32">
        <w:rPr>
          <w:sz w:val="16"/>
          <w:szCs w:val="16"/>
        </w:rPr>
        <w:t>písemně</w:t>
      </w:r>
      <w:r w:rsidR="00573369">
        <w:rPr>
          <w:sz w:val="16"/>
          <w:szCs w:val="16"/>
        </w:rPr>
        <w:t xml:space="preserve"> </w:t>
      </w:r>
      <w:r>
        <w:rPr>
          <w:sz w:val="16"/>
          <w:szCs w:val="16"/>
        </w:rPr>
        <w:t>doporučen, jakož i v případě, že Objednatel uzavře s Kandidátem pracovní smlouvu na jinou pracovní pozici, než která odpovídá Objednávce.</w:t>
      </w:r>
    </w:p>
    <w:p w14:paraId="3485DB34" w14:textId="77777777" w:rsidR="00AC51B8" w:rsidRDefault="00AC51B8" w:rsidP="00AC51B8">
      <w:pPr>
        <w:jc w:val="both"/>
        <w:rPr>
          <w:sz w:val="16"/>
          <w:szCs w:val="16"/>
        </w:rPr>
      </w:pPr>
      <w:r>
        <w:rPr>
          <w:sz w:val="16"/>
          <w:szCs w:val="16"/>
        </w:rPr>
        <w:t>V případě, že Objednatel zaměstná Kandidáta na jinou pozici, než je uvedeno v této Objednávce, zavazuje se Objednatel zaplatit Agentuře odměnu ve výši 25 % hrubého ročního příjmu Kandidáta, minimálně však 60.000,- Kč.</w:t>
      </w:r>
    </w:p>
    <w:bookmarkEnd w:id="0"/>
    <w:bookmarkEnd w:id="1"/>
    <w:bookmarkEnd w:id="2"/>
    <w:p w14:paraId="0E3724D3" w14:textId="7D473D37" w:rsidR="00AC51B8" w:rsidRDefault="00AC51B8" w:rsidP="00AC51B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Objednatel je povinen do 30 (třiceti) dní od uzavření pracovní smlouvy s Kandidátem, nejpozději však v den vzniku pracovního vztahu, Agentuře písemně, emailem nebo faxem na adresu/číslo uvedené na první straně této Objednávky, oznámit, </w:t>
      </w:r>
      <w:r w:rsidR="00573369">
        <w:rPr>
          <w:sz w:val="16"/>
          <w:szCs w:val="16"/>
        </w:rPr>
        <w:t>že (i) uzavřel pracovní smlouvu</w:t>
      </w:r>
      <w:r>
        <w:rPr>
          <w:sz w:val="16"/>
          <w:szCs w:val="16"/>
        </w:rPr>
        <w:t xml:space="preserve"> s Kandidátem doporučeným Agenturou, (ii) údaje o datu vzniku pracovního vztahu a (iii) výši částky odpovídající hrubému ročnímu příjmu Kandidáta. V případě nesplnění této povinnosti uhradí Objednatel Agentuře smluvní pokutu ve výši </w:t>
      </w:r>
      <w:r>
        <w:rPr>
          <w:snapToGrid w:val="0"/>
          <w:sz w:val="16"/>
          <w:szCs w:val="16"/>
        </w:rPr>
        <w:t>250.000,- Kč</w:t>
      </w:r>
      <w:r>
        <w:rPr>
          <w:sz w:val="16"/>
          <w:szCs w:val="16"/>
        </w:rPr>
        <w:t>. Nárok na náhradu škody v její plné výši není ustanovením o smluvní pokutě dotčen.</w:t>
      </w:r>
    </w:p>
    <w:p w14:paraId="748C5857" w14:textId="0814544C" w:rsidR="00AC51B8" w:rsidRDefault="00AC51B8" w:rsidP="00AC51B8">
      <w:pPr>
        <w:keepNext/>
        <w:keepLines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Platby související se zprostředkováním Kandidáta dle této Objednávky budou Objednatelem Agentuře hrazeny na základě faktur vystavených Agenturou se lhůtou splatnosti </w:t>
      </w:r>
      <w:r w:rsidR="00731BE2">
        <w:rPr>
          <w:sz w:val="16"/>
          <w:szCs w:val="16"/>
        </w:rPr>
        <w:t>30</w:t>
      </w:r>
      <w:r>
        <w:rPr>
          <w:sz w:val="16"/>
          <w:szCs w:val="16"/>
        </w:rPr>
        <w:t xml:space="preserve"> </w:t>
      </w:r>
      <w:r w:rsidR="00731BE2">
        <w:rPr>
          <w:sz w:val="16"/>
          <w:szCs w:val="16"/>
        </w:rPr>
        <w:t>(třicet)</w:t>
      </w:r>
      <w:r>
        <w:rPr>
          <w:sz w:val="16"/>
          <w:szCs w:val="16"/>
        </w:rPr>
        <w:t>) dnů od data</w:t>
      </w:r>
      <w:r w:rsidR="00832412">
        <w:rPr>
          <w:sz w:val="16"/>
          <w:szCs w:val="16"/>
        </w:rPr>
        <w:t xml:space="preserve"> doručení</w:t>
      </w:r>
      <w:r>
        <w:rPr>
          <w:sz w:val="16"/>
          <w:szCs w:val="16"/>
        </w:rPr>
        <w:t xml:space="preserve"> faktury. Tyto faktury budou vystaveny Agenturou s datem uskutečnění plnění ke dni vzniku pracovního vztahu Kandidáta, pokud nebude stranami sjednáno jinak.</w:t>
      </w:r>
    </w:p>
    <w:p w14:paraId="4725E975" w14:textId="464D5D8D" w:rsidR="00AC51B8" w:rsidRDefault="00AC51B8" w:rsidP="00AC51B8">
      <w:pPr>
        <w:keepNext/>
        <w:keepLines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Objednatel nesouhlasí se zasíláním faktur elektronickou poštou. </w:t>
      </w:r>
    </w:p>
    <w:p w14:paraId="1479FE0E" w14:textId="77777777" w:rsidR="00AC51B8" w:rsidRDefault="00AC51B8" w:rsidP="00AC51B8">
      <w:pPr>
        <w:jc w:val="both"/>
        <w:rPr>
          <w:sz w:val="16"/>
          <w:szCs w:val="16"/>
        </w:rPr>
      </w:pPr>
      <w:r>
        <w:rPr>
          <w:sz w:val="16"/>
          <w:szCs w:val="16"/>
        </w:rPr>
        <w:t>V případě prodlení Objednatele s úhradou kterékoli platby dle této Objednávky zaplatí Objednatel Agentuře úrok z prodlení ve výši 0,05 % z dlužné částky za každý započatý den prodlení.</w:t>
      </w:r>
    </w:p>
    <w:p w14:paraId="27141CAE" w14:textId="77777777" w:rsidR="00AC51B8" w:rsidRDefault="00AC51B8" w:rsidP="00AC51B8">
      <w:pPr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Záruky:</w:t>
      </w:r>
    </w:p>
    <w:p w14:paraId="499CFE86" w14:textId="77777777" w:rsidR="00AC51B8" w:rsidRDefault="00AC51B8" w:rsidP="00AC51B8">
      <w:pPr>
        <w:jc w:val="both"/>
        <w:rPr>
          <w:sz w:val="16"/>
          <w:szCs w:val="16"/>
        </w:rPr>
      </w:pPr>
      <w:r>
        <w:rPr>
          <w:sz w:val="16"/>
          <w:szCs w:val="16"/>
        </w:rPr>
        <w:t>V případě skončení pracovního vztahu mezi Objednatelem a Kandidátem, ať již ze strany Objednatele či Kandidáta, v průběhu 1. – 12. týdne trvání pracovního vztahu, má Objednatel nárok na vrácení poměrné části uhrazené Odměny (dále jen „</w:t>
      </w:r>
      <w:r>
        <w:rPr>
          <w:b/>
          <w:bCs/>
          <w:sz w:val="16"/>
          <w:szCs w:val="16"/>
        </w:rPr>
        <w:t>Refundace</w:t>
      </w:r>
      <w:r>
        <w:rPr>
          <w:sz w:val="16"/>
          <w:szCs w:val="16"/>
        </w:rPr>
        <w:t>"). Refundace se nevztahuje na případy skončení pracovního vztahu pro okolnost, která by zakládala právní důvod udělení výpovědi ze strany Objednatele, jakožto zaměstnavatele, z důvodů podle ustanovení § 52  písm. a) až d)</w:t>
      </w:r>
      <w:r>
        <w:rPr>
          <w:rStyle w:val="Znakapoznpodarou"/>
          <w:sz w:val="16"/>
          <w:szCs w:val="16"/>
        </w:rPr>
        <w:footnoteReference w:id="1"/>
      </w:r>
      <w:r>
        <w:rPr>
          <w:sz w:val="16"/>
          <w:szCs w:val="16"/>
        </w:rPr>
        <w:t xml:space="preserve"> zákona č. 262/2006 Sb., zákoník práce, ve znění pozdějších předpisů (dále </w:t>
      </w:r>
      <w:r>
        <w:rPr>
          <w:sz w:val="16"/>
          <w:szCs w:val="16"/>
        </w:rPr>
        <w:lastRenderedPageBreak/>
        <w:t>jen „</w:t>
      </w:r>
      <w:r>
        <w:rPr>
          <w:b/>
          <w:bCs/>
          <w:sz w:val="16"/>
          <w:szCs w:val="16"/>
        </w:rPr>
        <w:t>zákoník práce</w:t>
      </w:r>
      <w:r>
        <w:rPr>
          <w:sz w:val="16"/>
          <w:szCs w:val="16"/>
        </w:rPr>
        <w:t>“) nebo okamžité zrušení pracovního vztahu ze strany Kandidáta v souladu s ustanovením § 56 odst. 1 písm. b)</w:t>
      </w:r>
      <w:r>
        <w:rPr>
          <w:rStyle w:val="Znakapoznpodarou"/>
          <w:sz w:val="16"/>
          <w:szCs w:val="16"/>
        </w:rPr>
        <w:footnoteReference w:id="2"/>
      </w:r>
      <w:r>
        <w:rPr>
          <w:sz w:val="16"/>
          <w:szCs w:val="16"/>
        </w:rPr>
        <w:t xml:space="preserve"> zákoníku práce, a to bez ohledu na formální důvod a způsob skončení pracovního vztahu.</w:t>
      </w:r>
    </w:p>
    <w:p w14:paraId="26DD472D" w14:textId="77777777" w:rsidR="00AC51B8" w:rsidRDefault="00AC51B8" w:rsidP="00AC51B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Objednatel se zavazuje písemně informovat Agenturu o skončení pracovního vztahu s Kandidátem, a to do 14 (čtrnácti) dnů ode dne skončení pracovního vztahu. Nedodržení této povinnosti má za následek zánik nároku na Refundaci. </w:t>
      </w:r>
    </w:p>
    <w:p w14:paraId="120063CA" w14:textId="77777777" w:rsidR="00AC51B8" w:rsidRDefault="00AC51B8" w:rsidP="00AC51B8">
      <w:pPr>
        <w:jc w:val="both"/>
        <w:rPr>
          <w:sz w:val="16"/>
          <w:szCs w:val="16"/>
        </w:rPr>
      </w:pPr>
      <w:r>
        <w:rPr>
          <w:sz w:val="16"/>
          <w:szCs w:val="16"/>
        </w:rPr>
        <w:t>Výše Refundace se stanoví takto:</w:t>
      </w:r>
    </w:p>
    <w:p w14:paraId="3400F913" w14:textId="77777777" w:rsidR="00AC51B8" w:rsidRDefault="00AC51B8" w:rsidP="00AC51B8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80 % Odměny, pokud pracovní vztah skončil do konce čtvrtého (4.) týdne od vzniku pracovního vztahu, </w:t>
      </w:r>
    </w:p>
    <w:p w14:paraId="24602CB0" w14:textId="77777777" w:rsidR="00AC51B8" w:rsidRDefault="00AC51B8" w:rsidP="00AC51B8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sz w:val="16"/>
          <w:szCs w:val="16"/>
        </w:rPr>
      </w:pPr>
      <w:r>
        <w:rPr>
          <w:sz w:val="16"/>
          <w:szCs w:val="16"/>
        </w:rPr>
        <w:t>60 % Odměny, pokud pracovní vztah skončil od počátku pátého (5.) do konce osmého (8.) týdne od vzniku pracovního vztahu,</w:t>
      </w:r>
    </w:p>
    <w:p w14:paraId="189F2D2A" w14:textId="77777777" w:rsidR="00AC51B8" w:rsidRDefault="00AC51B8" w:rsidP="00AC51B8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sz w:val="16"/>
          <w:szCs w:val="16"/>
        </w:rPr>
      </w:pPr>
      <w:r>
        <w:rPr>
          <w:sz w:val="16"/>
          <w:szCs w:val="16"/>
        </w:rPr>
        <w:t>50 % Odměny, pokud pracovní vztah skončil od počátku devátého (9.) do konce dvanáctého (12.) týdne od vzniku pracovního vztahu,</w:t>
      </w:r>
    </w:p>
    <w:p w14:paraId="2D9453D7" w14:textId="77777777" w:rsidR="00AC51B8" w:rsidRDefault="00AC51B8" w:rsidP="00AC51B8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sz w:val="16"/>
          <w:szCs w:val="16"/>
        </w:rPr>
      </w:pPr>
      <w:r>
        <w:rPr>
          <w:sz w:val="16"/>
          <w:szCs w:val="16"/>
        </w:rPr>
        <w:t>40 % Odměny, pokud pracovní vztah skončil od počátku třináctého (13.) do konce šestnáctého (16.) týdne od vzniku pracovního vztahu,</w:t>
      </w:r>
    </w:p>
    <w:p w14:paraId="2E611FB2" w14:textId="77777777" w:rsidR="00AC51B8" w:rsidRDefault="00AC51B8" w:rsidP="00AC51B8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sz w:val="16"/>
          <w:szCs w:val="16"/>
        </w:rPr>
      </w:pPr>
      <w:r>
        <w:rPr>
          <w:sz w:val="16"/>
          <w:szCs w:val="16"/>
        </w:rPr>
        <w:t>30 % Odměny, pokud pracovní vztah skončil od počátku sedmnáctého (17.) do konce dvacátého (20.) týdne od vzniku pracovního vztahu.</w:t>
      </w:r>
    </w:p>
    <w:p w14:paraId="5F09B92B" w14:textId="77777777" w:rsidR="00AC51B8" w:rsidRDefault="00AC51B8" w:rsidP="00AC51B8">
      <w:pPr>
        <w:numPr>
          <w:ilvl w:val="0"/>
          <w:numId w:val="4"/>
        </w:numPr>
        <w:spacing w:after="120" w:line="240" w:lineRule="auto"/>
        <w:ind w:left="714" w:hanging="357"/>
        <w:jc w:val="both"/>
        <w:rPr>
          <w:sz w:val="16"/>
          <w:szCs w:val="16"/>
        </w:rPr>
      </w:pPr>
      <w:r>
        <w:rPr>
          <w:sz w:val="16"/>
          <w:szCs w:val="16"/>
        </w:rPr>
        <w:t>20 % Odměny, pokud pracovní vztah skončil od počátku jednadvacátého (21.) do konce dvacátého čtverého (24.) týdne od vzniku pracovního vztahu.</w:t>
      </w:r>
    </w:p>
    <w:p w14:paraId="131187BB" w14:textId="77777777" w:rsidR="00AC51B8" w:rsidRDefault="00AC51B8" w:rsidP="00AC51B8">
      <w:pPr>
        <w:spacing w:after="120" w:line="240" w:lineRule="auto"/>
        <w:ind w:left="357"/>
        <w:jc w:val="both"/>
        <w:rPr>
          <w:sz w:val="16"/>
          <w:szCs w:val="16"/>
        </w:rPr>
      </w:pPr>
    </w:p>
    <w:p w14:paraId="2290D3FF" w14:textId="77777777" w:rsidR="00AC51B8" w:rsidRDefault="00AC51B8" w:rsidP="00AC51B8">
      <w:pPr>
        <w:jc w:val="both"/>
        <w:rPr>
          <w:sz w:val="16"/>
          <w:szCs w:val="16"/>
        </w:rPr>
      </w:pPr>
      <w:r>
        <w:rPr>
          <w:bCs/>
          <w:sz w:val="16"/>
          <w:szCs w:val="16"/>
        </w:rPr>
        <w:t xml:space="preserve">Pokud bude Objednatel </w:t>
      </w:r>
      <w:r>
        <w:rPr>
          <w:sz w:val="16"/>
          <w:szCs w:val="16"/>
        </w:rPr>
        <w:t>v prodlení s úhradou faktury déle než 14 (čtrnáct) dní, nárok na Refundaci nevznikne.</w:t>
      </w:r>
    </w:p>
    <w:p w14:paraId="2921A6EB" w14:textId="77777777" w:rsidR="00AC51B8" w:rsidRDefault="00AC51B8" w:rsidP="00AC51B8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Důvěrnost informací:</w:t>
      </w:r>
    </w:p>
    <w:p w14:paraId="0B0D5194" w14:textId="7582EA71" w:rsidR="00AC51B8" w:rsidRDefault="00AC51B8" w:rsidP="00AC51B8">
      <w:pPr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Objednatel se zavazuje zachovávat mlčenlivost o osobních údajích Kandidáta ve smyslu a za podmínek stanovených zákonem č. 101/2000 Sb., o ochraně osobních údajů, ve znění pozdějších předpisů. Objednatel se zavazuje, že bude s osobními údaji Kandidáta nakládat pouze v rozsahu a za účelem stanoveným touto Objednávkou, a to i po jejím splnění. Objednatel je povinen přijmout taková technická a organizační opatření, aby nemohlo dojít k neoprávněnému nebo nahodilému přístupu k osobním údajům Kandidáta, k jejich změně, zničení, ztrátě, neoprávněnému zpracování, jakož i k jinému zneužití. Na výzvu Agentury je Objednatel povinen prokázat Agentuře, že zpracovává osobní údaje Kandidáta v souladu s požadavky stanovenými zákonem a touto Objednávkou.</w:t>
      </w:r>
    </w:p>
    <w:p w14:paraId="3A68F23A" w14:textId="5D802BDE" w:rsidR="00EB55FE" w:rsidRDefault="00BF79A5" w:rsidP="00AC51B8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Objednatel </w:t>
      </w:r>
      <w:r w:rsidRPr="00BF79A5">
        <w:rPr>
          <w:sz w:val="16"/>
          <w:szCs w:val="16"/>
        </w:rPr>
        <w:t>je při nakládán</w:t>
      </w:r>
      <w:r>
        <w:rPr>
          <w:sz w:val="16"/>
          <w:szCs w:val="16"/>
        </w:rPr>
        <w:t>í s veřejnými prostředky povinen</w:t>
      </w:r>
      <w:r w:rsidRPr="00BF79A5">
        <w:rPr>
          <w:sz w:val="16"/>
          <w:szCs w:val="16"/>
        </w:rPr>
        <w:t xml:space="preserve"> dodržovat ustanovení zákona č. 106/1999 Sb., o svobodném přístupu k</w:t>
      </w:r>
      <w:r>
        <w:rPr>
          <w:sz w:val="16"/>
          <w:szCs w:val="16"/>
        </w:rPr>
        <w:t> </w:t>
      </w:r>
      <w:r w:rsidRPr="00BF79A5">
        <w:rPr>
          <w:sz w:val="16"/>
          <w:szCs w:val="16"/>
        </w:rPr>
        <w:t>informacím ve znění pozdějších předpisů.</w:t>
      </w:r>
    </w:p>
    <w:p w14:paraId="18FF43D4" w14:textId="77777777" w:rsidR="00AC51B8" w:rsidRDefault="00AC51B8" w:rsidP="00AC51B8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Ostatní:</w:t>
      </w:r>
    </w:p>
    <w:p w14:paraId="13D9E42D" w14:textId="77777777" w:rsidR="00AC51B8" w:rsidRDefault="00AC51B8" w:rsidP="00AC51B8">
      <w:pPr>
        <w:jc w:val="both"/>
        <w:rPr>
          <w:sz w:val="16"/>
          <w:szCs w:val="16"/>
        </w:rPr>
      </w:pPr>
      <w:r>
        <w:rPr>
          <w:sz w:val="16"/>
          <w:szCs w:val="16"/>
        </w:rPr>
        <w:t>Objednatel zasílá 3 (tři) jím podepsaná vyhotovení této Objednávky Agentuře na adresu Agentury uvedenou na první straně této Objednávky. Objednávka může být Agenturou přijata pouze písemně. 1 (jedno) vyhotovení Objednávky podepsané Agenturou i Objednatelem zašle Agentura zpět na adresu Objednatele uvedenou na první straně této Objednávky; 2 (dvě) vyhotovení jsou určena pro potřeby Agentury. Měnit podmínky této Objednávky lze pouze písemnou dohodou obou stran; to platí i pro změnu tohoto ustanovení o písemné formě.</w:t>
      </w:r>
    </w:p>
    <w:p w14:paraId="291342C1" w14:textId="77777777" w:rsidR="00AC51B8" w:rsidRDefault="00AC51B8" w:rsidP="00AC51B8">
      <w:pPr>
        <w:jc w:val="both"/>
        <w:rPr>
          <w:sz w:val="16"/>
          <w:szCs w:val="16"/>
        </w:rPr>
      </w:pPr>
      <w:r>
        <w:rPr>
          <w:sz w:val="16"/>
          <w:szCs w:val="16"/>
        </w:rPr>
        <w:t>Agentura a Objednatel na sebe přebírají nebezpečí změny okolností ve smyslu § 1765 odst. 2 občanského zákoníku. Objednatel a Agentura se dohodli, že v maximálním přípustném rozsahu vylučují použití § 1800 občanského zákoníku na smluvní vztah založený touto Objednávkou.</w:t>
      </w:r>
    </w:p>
    <w:p w14:paraId="62F4A6A0" w14:textId="77777777" w:rsidR="00AC51B8" w:rsidRDefault="00AC51B8" w:rsidP="00AC51B8">
      <w:pPr>
        <w:jc w:val="both"/>
        <w:rPr>
          <w:sz w:val="16"/>
          <w:szCs w:val="16"/>
        </w:rPr>
      </w:pPr>
      <w:r>
        <w:rPr>
          <w:sz w:val="16"/>
          <w:szCs w:val="16"/>
        </w:rPr>
        <w:t>Agentura je povinna nahradit Objednateli pouze takovou újmu, která Objednateli vznikla zaviněným porušením povinností Agentury, a to do výše Odměny. To se netýká újmy způsobené Agenturou člověku na jeho přirozených právech, anebo způsobené úmyslně nebo z hrubé nedbalosti. Takovou újmu je Agentura povinna nahradit v plné výši.</w:t>
      </w:r>
    </w:p>
    <w:p w14:paraId="5EA93106" w14:textId="18401D0D" w:rsidR="00AC51B8" w:rsidRDefault="00EB55FE" w:rsidP="00AC51B8">
      <w:pPr>
        <w:jc w:val="both"/>
        <w:rPr>
          <w:sz w:val="16"/>
          <w:szCs w:val="16"/>
        </w:rPr>
      </w:pPr>
      <w:r>
        <w:rPr>
          <w:sz w:val="16"/>
          <w:szCs w:val="16"/>
        </w:rPr>
        <w:t>Tato objednávka</w:t>
      </w:r>
      <w:r w:rsidRPr="00EB55FE">
        <w:rPr>
          <w:sz w:val="16"/>
          <w:szCs w:val="16"/>
        </w:rPr>
        <w:t xml:space="preserve"> nabývá platnosti dnem jejího podpisu oběma smluvními stranami a účinnosti uveřejněním prostřednictvím registru smluv ve smyslu zák. č. 340/2015 Sb., o zvláštních podmínkách účinnosti některých smluv, uveřejňování těchto smluv a o registru smluv (zákon o registru smluv) </w:t>
      </w:r>
      <w:r w:rsidR="00BF79A5" w:rsidRPr="00BF79A5">
        <w:rPr>
          <w:sz w:val="16"/>
          <w:szCs w:val="16"/>
        </w:rPr>
        <w:t xml:space="preserve">ve znění pozdějších předpisů </w:t>
      </w:r>
      <w:r w:rsidRPr="00EB55FE">
        <w:rPr>
          <w:sz w:val="16"/>
          <w:szCs w:val="16"/>
        </w:rPr>
        <w:t>(dále jen „ZoRS</w:t>
      </w:r>
      <w:r w:rsidR="00BF79A5">
        <w:rPr>
          <w:sz w:val="16"/>
          <w:szCs w:val="16"/>
        </w:rPr>
        <w:t>“). Podle ZoRS bude tato objednávka</w:t>
      </w:r>
      <w:r w:rsidRPr="00EB55FE">
        <w:rPr>
          <w:sz w:val="16"/>
          <w:szCs w:val="16"/>
        </w:rPr>
        <w:t xml:space="preserve"> Objednatelem zveřejněna v registru smluv.</w:t>
      </w:r>
    </w:p>
    <w:p w14:paraId="2E7242EC" w14:textId="77777777" w:rsidR="0082537B" w:rsidRDefault="0082537B" w:rsidP="00AC51B8">
      <w:pPr>
        <w:pStyle w:val="Textlnk"/>
        <w:numPr>
          <w:ilvl w:val="0"/>
          <w:numId w:val="0"/>
        </w:numPr>
        <w:tabs>
          <w:tab w:val="left" w:pos="4962"/>
        </w:tabs>
        <w:rPr>
          <w:rFonts w:ascii="Calibri" w:hAnsi="Calibri" w:cs="Calibri"/>
          <w:sz w:val="16"/>
          <w:szCs w:val="16"/>
        </w:rPr>
      </w:pPr>
    </w:p>
    <w:p w14:paraId="1BCA9869" w14:textId="72291E09" w:rsidR="00AC51B8" w:rsidRDefault="00AC51B8" w:rsidP="00AC51B8">
      <w:pPr>
        <w:pStyle w:val="Textlnk"/>
        <w:numPr>
          <w:ilvl w:val="0"/>
          <w:numId w:val="0"/>
        </w:numPr>
        <w:tabs>
          <w:tab w:val="left" w:pos="4962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Datum: __.__.____   </w:t>
      </w:r>
      <w:r>
        <w:rPr>
          <w:rFonts w:ascii="Calibri" w:hAnsi="Calibri" w:cs="Calibri"/>
          <w:sz w:val="16"/>
          <w:szCs w:val="16"/>
        </w:rPr>
        <w:tab/>
        <w:t>Datum: __.__.____</w:t>
      </w:r>
    </w:p>
    <w:p w14:paraId="4645B6D5" w14:textId="77777777" w:rsidR="00AC51B8" w:rsidRDefault="00AC51B8" w:rsidP="00AC51B8">
      <w:pPr>
        <w:pStyle w:val="Textlnk"/>
        <w:numPr>
          <w:ilvl w:val="0"/>
          <w:numId w:val="0"/>
        </w:numPr>
        <w:tabs>
          <w:tab w:val="left" w:pos="4962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lastRenderedPageBreak/>
        <w:t xml:space="preserve">Místo: ___________________________     </w:t>
      </w:r>
      <w:r>
        <w:rPr>
          <w:rFonts w:ascii="Calibri" w:hAnsi="Calibri" w:cs="Calibri"/>
          <w:sz w:val="16"/>
          <w:szCs w:val="16"/>
        </w:rPr>
        <w:tab/>
        <w:t>Místo: ____________________________</w:t>
      </w:r>
    </w:p>
    <w:p w14:paraId="7B83D62D" w14:textId="1421A3D0" w:rsidR="00AC51B8" w:rsidRDefault="00AC51B8" w:rsidP="00AC51B8">
      <w:pPr>
        <w:pStyle w:val="Textlnk"/>
        <w:numPr>
          <w:ilvl w:val="0"/>
          <w:numId w:val="0"/>
        </w:numPr>
        <w:tabs>
          <w:tab w:val="left" w:pos="4962"/>
        </w:tabs>
        <w:rPr>
          <w:rFonts w:ascii="Calibri" w:hAnsi="Calibri" w:cs="Calibri"/>
          <w:sz w:val="16"/>
          <w:szCs w:val="16"/>
        </w:rPr>
      </w:pPr>
    </w:p>
    <w:p w14:paraId="69962266" w14:textId="4164F739" w:rsidR="0082537B" w:rsidRDefault="0082537B" w:rsidP="00AC51B8">
      <w:pPr>
        <w:pStyle w:val="Textlnk"/>
        <w:numPr>
          <w:ilvl w:val="0"/>
          <w:numId w:val="0"/>
        </w:numPr>
        <w:tabs>
          <w:tab w:val="left" w:pos="4962"/>
        </w:tabs>
        <w:rPr>
          <w:rFonts w:ascii="Calibri" w:hAnsi="Calibri" w:cs="Calibri"/>
          <w:sz w:val="16"/>
          <w:szCs w:val="16"/>
        </w:rPr>
      </w:pPr>
    </w:p>
    <w:p w14:paraId="596D1C06" w14:textId="77777777" w:rsidR="0082537B" w:rsidRDefault="0082537B" w:rsidP="00AC51B8">
      <w:pPr>
        <w:pStyle w:val="Textlnk"/>
        <w:numPr>
          <w:ilvl w:val="0"/>
          <w:numId w:val="0"/>
        </w:numPr>
        <w:tabs>
          <w:tab w:val="left" w:pos="4962"/>
        </w:tabs>
        <w:rPr>
          <w:rFonts w:ascii="Calibri" w:hAnsi="Calibri" w:cs="Calibri"/>
          <w:sz w:val="16"/>
          <w:szCs w:val="16"/>
        </w:rPr>
      </w:pPr>
    </w:p>
    <w:p w14:paraId="0BBC8386" w14:textId="77777777" w:rsidR="00AC51B8" w:rsidRDefault="00AC51B8" w:rsidP="00AC51B8">
      <w:pPr>
        <w:pStyle w:val="Textlnk"/>
        <w:numPr>
          <w:ilvl w:val="0"/>
          <w:numId w:val="0"/>
        </w:numPr>
        <w:tabs>
          <w:tab w:val="left" w:pos="4962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________________________________ </w:t>
      </w:r>
      <w:r>
        <w:rPr>
          <w:rFonts w:ascii="Calibri" w:hAnsi="Calibri" w:cs="Calibri"/>
          <w:sz w:val="16"/>
          <w:szCs w:val="16"/>
        </w:rPr>
        <w:tab/>
        <w:t>__________________________________</w:t>
      </w:r>
    </w:p>
    <w:p w14:paraId="5A6DAF0E" w14:textId="4605BDD6" w:rsidR="00A16EBE" w:rsidRDefault="00BF79A5" w:rsidP="00AC51B8">
      <w:pPr>
        <w:pStyle w:val="Textlnk"/>
        <w:numPr>
          <w:ilvl w:val="0"/>
          <w:numId w:val="0"/>
        </w:numPr>
        <w:tabs>
          <w:tab w:val="left" w:pos="4962"/>
        </w:tabs>
      </w:pPr>
      <w:r w:rsidRPr="00BF79A5">
        <w:rPr>
          <w:rFonts w:ascii="Calibri" w:hAnsi="Calibri" w:cs="Calibri"/>
          <w:b/>
          <w:sz w:val="16"/>
          <w:szCs w:val="16"/>
        </w:rPr>
        <w:t>za statutární město Brno</w:t>
      </w:r>
      <w:r w:rsidR="00DF3CCB">
        <w:rPr>
          <w:rFonts w:ascii="Calibri" w:hAnsi="Calibri" w:cs="Calibri"/>
          <w:b/>
          <w:sz w:val="16"/>
          <w:szCs w:val="16"/>
        </w:rPr>
        <w:t xml:space="preserve"> - Magistrát města Brna</w:t>
      </w:r>
      <w:r w:rsidR="0082537B">
        <w:rPr>
          <w:rFonts w:ascii="Calibri" w:hAnsi="Calibri" w:cs="Calibri"/>
          <w:b/>
          <w:sz w:val="16"/>
          <w:szCs w:val="16"/>
        </w:rPr>
        <w:t xml:space="preserve">  </w:t>
      </w:r>
      <w:r w:rsidR="00573369">
        <w:rPr>
          <w:rFonts w:ascii="Calibri" w:hAnsi="Calibri" w:cs="Calibri"/>
          <w:b/>
          <w:sz w:val="16"/>
          <w:szCs w:val="16"/>
        </w:rPr>
        <w:tab/>
      </w:r>
      <w:r w:rsidR="0082537B">
        <w:rPr>
          <w:rFonts w:ascii="Calibri" w:hAnsi="Calibri" w:cs="Calibri"/>
          <w:b/>
          <w:sz w:val="16"/>
          <w:szCs w:val="16"/>
        </w:rPr>
        <w:t xml:space="preserve">za </w:t>
      </w:r>
      <w:r w:rsidR="00AC51B8">
        <w:rPr>
          <w:rFonts w:ascii="Calibri" w:hAnsi="Calibri" w:cs="Calibri"/>
          <w:b/>
          <w:sz w:val="16"/>
          <w:szCs w:val="16"/>
        </w:rPr>
        <w:t>Grafton Recruitment s.r.o.</w:t>
      </w:r>
      <w:r w:rsidR="00A16EBE" w:rsidRPr="00A16EBE">
        <w:t xml:space="preserve"> </w:t>
      </w:r>
    </w:p>
    <w:p w14:paraId="5A0E52DE" w14:textId="6E7F3966" w:rsidR="00AC51B8" w:rsidRDefault="00A16EBE" w:rsidP="00AC51B8">
      <w:pPr>
        <w:pStyle w:val="Textlnk"/>
        <w:numPr>
          <w:ilvl w:val="0"/>
          <w:numId w:val="0"/>
        </w:numPr>
        <w:tabs>
          <w:tab w:val="left" w:pos="4962"/>
        </w:tabs>
        <w:rPr>
          <w:rFonts w:ascii="Calibri" w:hAnsi="Calibri" w:cs="Calibri"/>
          <w:sz w:val="16"/>
          <w:szCs w:val="16"/>
        </w:rPr>
      </w:pPr>
      <w:r>
        <w:t xml:space="preserve">   </w:t>
      </w:r>
      <w:r w:rsidRPr="00A16EBE">
        <w:rPr>
          <w:rFonts w:ascii="Calibri" w:hAnsi="Calibri" w:cs="Calibri"/>
          <w:sz w:val="16"/>
          <w:szCs w:val="16"/>
        </w:rPr>
        <w:t>vedoucí Personálního oddělení</w:t>
      </w:r>
      <w:r>
        <w:rPr>
          <w:rFonts w:ascii="Calibri" w:hAnsi="Calibri" w:cs="Calibri"/>
          <w:sz w:val="16"/>
          <w:szCs w:val="16"/>
        </w:rPr>
        <w:t xml:space="preserve"> MMB</w:t>
      </w:r>
      <w:r w:rsidR="00AC51B8">
        <w:rPr>
          <w:rFonts w:ascii="Calibri" w:hAnsi="Calibri" w:cs="Calibri"/>
          <w:sz w:val="16"/>
          <w:szCs w:val="16"/>
        </w:rPr>
        <w:tab/>
        <w:t>Kateřina Tkadlecová, na základě plné moci</w:t>
      </w:r>
    </w:p>
    <w:p w14:paraId="728DE869" w14:textId="0605453D" w:rsidR="00AC51B8" w:rsidRDefault="0082537B" w:rsidP="00AC51B8">
      <w:pPr>
        <w:jc w:val="both"/>
        <w:rPr>
          <w:sz w:val="16"/>
          <w:szCs w:val="16"/>
        </w:rPr>
      </w:pPr>
      <w:r>
        <w:rPr>
          <w:rFonts w:cs="Calibri"/>
          <w:sz w:val="16"/>
          <w:szCs w:val="16"/>
        </w:rPr>
        <w:t xml:space="preserve">           Bc. Bohuslava Zámečníková</w:t>
      </w:r>
    </w:p>
    <w:p w14:paraId="4919F536" w14:textId="77777777" w:rsidR="00AC51B8" w:rsidRDefault="00AC51B8" w:rsidP="00AC51B8">
      <w:pPr>
        <w:spacing w:after="0" w:line="340" w:lineRule="exact"/>
        <w:rPr>
          <w:b/>
          <w:sz w:val="28"/>
          <w:szCs w:val="28"/>
        </w:rPr>
      </w:pPr>
    </w:p>
    <w:p w14:paraId="03E0F635" w14:textId="77777777" w:rsidR="00AC51B8" w:rsidRDefault="00AC51B8" w:rsidP="00AC51B8">
      <w:pPr>
        <w:spacing w:after="0" w:line="340" w:lineRule="exact"/>
        <w:rPr>
          <w:b/>
          <w:sz w:val="28"/>
          <w:szCs w:val="28"/>
        </w:rPr>
      </w:pPr>
    </w:p>
    <w:p w14:paraId="6851FDB5" w14:textId="77777777" w:rsidR="00A4645A" w:rsidRDefault="00A4645A"/>
    <w:sectPr w:rsidR="00A4645A">
      <w:headerReference w:type="default" r:id="rId8"/>
      <w:footerReference w:type="default" r:id="rId9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C0068" w14:textId="77777777" w:rsidR="00AB6DE8" w:rsidRDefault="00AB6DE8" w:rsidP="00AC51B8">
      <w:pPr>
        <w:spacing w:after="0" w:line="240" w:lineRule="auto"/>
      </w:pPr>
      <w:r>
        <w:separator/>
      </w:r>
    </w:p>
  </w:endnote>
  <w:endnote w:type="continuationSeparator" w:id="0">
    <w:p w14:paraId="1C8203D1" w14:textId="77777777" w:rsidR="00AB6DE8" w:rsidRDefault="00AB6DE8" w:rsidP="00AC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7967799"/>
      <w:docPartObj>
        <w:docPartGallery w:val="Page Numbers (Bottom of Page)"/>
        <w:docPartUnique/>
      </w:docPartObj>
    </w:sdtPr>
    <w:sdtEndPr/>
    <w:sdtContent>
      <w:p w14:paraId="18201024" w14:textId="435E58D3" w:rsidR="00E11FDF" w:rsidRDefault="00E11FD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5A4">
          <w:rPr>
            <w:noProof/>
          </w:rPr>
          <w:t>1</w:t>
        </w:r>
        <w:r>
          <w:fldChar w:fldCharType="end"/>
        </w:r>
      </w:p>
    </w:sdtContent>
  </w:sdt>
  <w:p w14:paraId="2117F48B" w14:textId="77777777" w:rsidR="007100B4" w:rsidRDefault="00AB6D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536987" w14:textId="77777777" w:rsidR="00AB6DE8" w:rsidRDefault="00AB6DE8" w:rsidP="00AC51B8">
      <w:pPr>
        <w:spacing w:after="0" w:line="240" w:lineRule="auto"/>
      </w:pPr>
      <w:r>
        <w:separator/>
      </w:r>
    </w:p>
  </w:footnote>
  <w:footnote w:type="continuationSeparator" w:id="0">
    <w:p w14:paraId="29B5013A" w14:textId="77777777" w:rsidR="00AB6DE8" w:rsidRDefault="00AB6DE8" w:rsidP="00AC51B8">
      <w:pPr>
        <w:spacing w:after="0" w:line="240" w:lineRule="auto"/>
      </w:pPr>
      <w:r>
        <w:continuationSeparator/>
      </w:r>
    </w:p>
  </w:footnote>
  <w:footnote w:id="1">
    <w:p w14:paraId="6DB4597E" w14:textId="77777777" w:rsidR="00AC51B8" w:rsidRDefault="00AC51B8" w:rsidP="00AC51B8">
      <w:pPr>
        <w:pStyle w:val="Textpoznpodarou"/>
        <w:spacing w:after="20"/>
        <w:rPr>
          <w:sz w:val="12"/>
          <w:szCs w:val="12"/>
          <w:lang w:val="cs-CZ"/>
        </w:rPr>
      </w:pPr>
      <w:r>
        <w:rPr>
          <w:rStyle w:val="Znakapoznpodarou"/>
          <w:sz w:val="12"/>
          <w:szCs w:val="12"/>
        </w:rPr>
        <w:footnoteRef/>
      </w:r>
      <w:r>
        <w:rPr>
          <w:sz w:val="12"/>
          <w:szCs w:val="12"/>
          <w:lang w:val="cs-CZ"/>
        </w:rPr>
        <w:t>§ 52</w:t>
      </w:r>
    </w:p>
    <w:p w14:paraId="3ADA36D4" w14:textId="77777777" w:rsidR="00AC51B8" w:rsidRDefault="00AC51B8" w:rsidP="00AC51B8">
      <w:pPr>
        <w:pStyle w:val="Textpoznpodarou"/>
        <w:spacing w:after="20"/>
        <w:rPr>
          <w:sz w:val="12"/>
          <w:szCs w:val="12"/>
          <w:lang w:val="cs-CZ"/>
        </w:rPr>
      </w:pPr>
      <w:r>
        <w:rPr>
          <w:sz w:val="12"/>
          <w:szCs w:val="12"/>
          <w:lang w:val="cs-CZ"/>
        </w:rPr>
        <w:t>Zaměstnavatel může dát zaměstnanci výpověď pouze z těchto důvodů:</w:t>
      </w:r>
    </w:p>
    <w:p w14:paraId="607626D3" w14:textId="77777777" w:rsidR="00AC51B8" w:rsidRDefault="00AC51B8" w:rsidP="00AC51B8">
      <w:pPr>
        <w:pStyle w:val="Textpoznpodarou"/>
        <w:numPr>
          <w:ilvl w:val="0"/>
          <w:numId w:val="2"/>
        </w:numPr>
        <w:spacing w:after="20"/>
        <w:rPr>
          <w:sz w:val="12"/>
          <w:szCs w:val="12"/>
          <w:lang w:val="cs-CZ"/>
        </w:rPr>
      </w:pPr>
      <w:r>
        <w:rPr>
          <w:sz w:val="12"/>
          <w:szCs w:val="12"/>
          <w:lang w:val="cs-CZ"/>
        </w:rPr>
        <w:t>ruší-li se zaměstnavatel nebo jeho část;</w:t>
      </w:r>
    </w:p>
    <w:p w14:paraId="2FBC5541" w14:textId="77777777" w:rsidR="00AC51B8" w:rsidRDefault="00AC51B8" w:rsidP="00AC51B8">
      <w:pPr>
        <w:pStyle w:val="Textpoznpodarou"/>
        <w:numPr>
          <w:ilvl w:val="0"/>
          <w:numId w:val="2"/>
        </w:numPr>
        <w:spacing w:after="20"/>
        <w:rPr>
          <w:sz w:val="12"/>
          <w:szCs w:val="12"/>
          <w:lang w:val="cs-CZ"/>
        </w:rPr>
      </w:pPr>
      <w:r>
        <w:rPr>
          <w:sz w:val="12"/>
          <w:szCs w:val="12"/>
          <w:lang w:val="cs-CZ"/>
        </w:rPr>
        <w:t>přemísťuje-li se zaměstnavatel nebo jeho část;</w:t>
      </w:r>
    </w:p>
    <w:p w14:paraId="671F67F7" w14:textId="77777777" w:rsidR="00AC51B8" w:rsidRDefault="00AC51B8" w:rsidP="00AC51B8">
      <w:pPr>
        <w:pStyle w:val="Textpoznpodarou"/>
        <w:numPr>
          <w:ilvl w:val="0"/>
          <w:numId w:val="2"/>
        </w:numPr>
        <w:spacing w:after="20"/>
        <w:rPr>
          <w:sz w:val="12"/>
          <w:szCs w:val="12"/>
          <w:lang w:val="cs-CZ"/>
        </w:rPr>
      </w:pPr>
      <w:r>
        <w:rPr>
          <w:sz w:val="12"/>
          <w:szCs w:val="12"/>
          <w:lang w:val="cs-CZ"/>
        </w:rPr>
        <w:t>stane-li se zaměstnanec nadbytečným vzhledem k rozhodnutí zaměstnavatele nebo příslušného orgánu o změně jeho úkolů, technického vybavení, o snížení stavu zaměstnanců za účelem zvýšení efektivnosti práce nebo o jiných organizačních změnách;</w:t>
      </w:r>
    </w:p>
    <w:p w14:paraId="3AE46844" w14:textId="77777777" w:rsidR="00AC51B8" w:rsidRDefault="00AC51B8" w:rsidP="00AC51B8">
      <w:pPr>
        <w:pStyle w:val="Textpoznpodarou"/>
        <w:numPr>
          <w:ilvl w:val="0"/>
          <w:numId w:val="2"/>
        </w:numPr>
        <w:spacing w:after="20"/>
        <w:rPr>
          <w:sz w:val="12"/>
          <w:szCs w:val="12"/>
          <w:lang w:val="cs-CZ"/>
        </w:rPr>
      </w:pPr>
      <w:r>
        <w:rPr>
          <w:sz w:val="12"/>
          <w:szCs w:val="12"/>
          <w:lang w:val="cs-CZ"/>
        </w:rPr>
        <w:t>nesmí-li zaměstnanec podle lékařského posudku vydaného zařízením pracovně-lékařské péče nebo rozhodnutí příslušného správního úřadu, který lékařský posudek přezkoumává, dále konat dosavadní práci pro pracovní úraz, onemocnění nemocí z povolání nebo pro ohrožení touto nemocí, anebo dosáhl-li na pracovišti určeném rozhodnutím příslušného orgánu ochrany veřejného zdraví nejvyšší přípustné expozice;</w:t>
      </w:r>
    </w:p>
    <w:p w14:paraId="6780C401" w14:textId="77777777" w:rsidR="00AC51B8" w:rsidRDefault="00AC51B8" w:rsidP="00AC51B8">
      <w:pPr>
        <w:pStyle w:val="Textpoznpodarou"/>
        <w:spacing w:after="20"/>
        <w:ind w:left="720"/>
        <w:rPr>
          <w:sz w:val="12"/>
          <w:szCs w:val="12"/>
          <w:lang w:val="cs-CZ"/>
        </w:rPr>
      </w:pPr>
    </w:p>
    <w:p w14:paraId="51EC4942" w14:textId="77777777" w:rsidR="00AC51B8" w:rsidRDefault="00AC51B8" w:rsidP="00AC51B8">
      <w:pPr>
        <w:pStyle w:val="Textpoznpodarou"/>
        <w:spacing w:after="20"/>
        <w:rPr>
          <w:sz w:val="12"/>
          <w:szCs w:val="12"/>
          <w:lang w:val="cs-CZ"/>
        </w:rPr>
      </w:pPr>
      <w:r>
        <w:rPr>
          <w:rStyle w:val="Znakapoznpodarou"/>
          <w:sz w:val="12"/>
          <w:szCs w:val="12"/>
          <w:lang w:val="cs-CZ"/>
        </w:rPr>
        <w:t>2</w:t>
      </w:r>
      <w:r>
        <w:rPr>
          <w:sz w:val="12"/>
          <w:szCs w:val="12"/>
          <w:lang w:val="cs-CZ"/>
        </w:rPr>
        <w:t>§ 56</w:t>
      </w:r>
    </w:p>
    <w:p w14:paraId="70C33C38" w14:textId="77777777" w:rsidR="00AC51B8" w:rsidRDefault="00AC51B8" w:rsidP="00AC51B8">
      <w:pPr>
        <w:pStyle w:val="Textpoznpodarou"/>
        <w:spacing w:after="20"/>
        <w:rPr>
          <w:sz w:val="12"/>
          <w:szCs w:val="12"/>
          <w:lang w:val="cs-CZ"/>
        </w:rPr>
      </w:pPr>
      <w:r>
        <w:rPr>
          <w:sz w:val="12"/>
          <w:szCs w:val="12"/>
          <w:lang w:val="cs-CZ"/>
        </w:rPr>
        <w:t>(1) Zaměstnanec může pracovní poměr okamžitě zrušit, jestliže</w:t>
      </w:r>
    </w:p>
    <w:p w14:paraId="0CEA28FB" w14:textId="77777777" w:rsidR="00AC51B8" w:rsidRDefault="00AC51B8" w:rsidP="00AC51B8">
      <w:pPr>
        <w:pStyle w:val="Textpoznpodarou"/>
        <w:numPr>
          <w:ilvl w:val="0"/>
          <w:numId w:val="3"/>
        </w:numPr>
        <w:spacing w:after="20"/>
        <w:rPr>
          <w:sz w:val="12"/>
          <w:szCs w:val="12"/>
          <w:lang w:val="cs-CZ"/>
        </w:rPr>
      </w:pPr>
      <w:r>
        <w:rPr>
          <w:sz w:val="12"/>
          <w:szCs w:val="12"/>
          <w:lang w:val="cs-CZ"/>
        </w:rPr>
        <w:t>zaměstnavatel mu nevyplatil mzdu nebo plat nebo náhradu mzdy nebo platu anebo jakoukoliv jejich část do 15 dnů po uplynutí termínu splatnosti.</w:t>
      </w:r>
    </w:p>
    <w:p w14:paraId="0E32E9BF" w14:textId="77777777" w:rsidR="00AC51B8" w:rsidRPr="00730946" w:rsidRDefault="00AC51B8" w:rsidP="00573369">
      <w:pPr>
        <w:pStyle w:val="Textpoznpodarou"/>
        <w:spacing w:after="20"/>
        <w:ind w:left="720"/>
        <w:rPr>
          <w:lang w:val="cs-CZ"/>
        </w:rPr>
      </w:pPr>
    </w:p>
  </w:footnote>
  <w:footnote w:id="2">
    <w:p w14:paraId="523DFF94" w14:textId="77777777" w:rsidR="00AC51B8" w:rsidRPr="00730946" w:rsidRDefault="00AC51B8" w:rsidP="00AC51B8">
      <w:pPr>
        <w:pStyle w:val="Textpoznpodarou"/>
        <w:spacing w:after="20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FFDF27" w14:textId="77777777" w:rsidR="007100B4" w:rsidRDefault="002C5B9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E0FD6D2" wp14:editId="10B0E7AC">
          <wp:simplePos x="0" y="0"/>
          <wp:positionH relativeFrom="column">
            <wp:posOffset>4158615</wp:posOffset>
          </wp:positionH>
          <wp:positionV relativeFrom="paragraph">
            <wp:posOffset>104775</wp:posOffset>
          </wp:positionV>
          <wp:extent cx="1799590" cy="582295"/>
          <wp:effectExtent l="0" t="0" r="0" b="0"/>
          <wp:wrapNone/>
          <wp:docPr id="1" name="Picture 9" descr="Grafton_logo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rafton_logo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0E27"/>
    <w:multiLevelType w:val="hybridMultilevel"/>
    <w:tmpl w:val="59D82D26"/>
    <w:lvl w:ilvl="0" w:tplc="7C7E51A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1103F9"/>
    <w:multiLevelType w:val="multilevel"/>
    <w:tmpl w:val="484602DA"/>
    <w:lvl w:ilvl="0">
      <w:start w:val="1"/>
      <w:numFmt w:val="decimal"/>
      <w:pStyle w:val="Nzevlnk"/>
      <w:lvlText w:val="%1"/>
      <w:lvlJc w:val="left"/>
      <w:pPr>
        <w:tabs>
          <w:tab w:val="num" w:pos="360"/>
        </w:tabs>
        <w:ind w:left="284" w:hanging="284"/>
      </w:pPr>
      <w:rPr>
        <w:rFonts w:cs="Times New Roman"/>
      </w:rPr>
    </w:lvl>
    <w:lvl w:ilvl="1">
      <w:start w:val="1"/>
      <w:numFmt w:val="decimal"/>
      <w:pStyle w:val="Textlnk"/>
      <w:lvlText w:val="%1/%2"/>
      <w:lvlJc w:val="left"/>
      <w:pPr>
        <w:tabs>
          <w:tab w:val="num" w:pos="720"/>
        </w:tabs>
        <w:ind w:left="284" w:hanging="284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319C75C8"/>
    <w:multiLevelType w:val="hybridMultilevel"/>
    <w:tmpl w:val="F364D59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A827F8B"/>
    <w:multiLevelType w:val="hybridMultilevel"/>
    <w:tmpl w:val="9AC87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B8"/>
    <w:rsid w:val="000F2DB6"/>
    <w:rsid w:val="00101921"/>
    <w:rsid w:val="00123C0B"/>
    <w:rsid w:val="001252D0"/>
    <w:rsid w:val="001804D8"/>
    <w:rsid w:val="00191C53"/>
    <w:rsid w:val="00196AD6"/>
    <w:rsid w:val="00234D28"/>
    <w:rsid w:val="0026250D"/>
    <w:rsid w:val="002C16C8"/>
    <w:rsid w:val="002C5B9E"/>
    <w:rsid w:val="002E1351"/>
    <w:rsid w:val="003220B8"/>
    <w:rsid w:val="003E29E6"/>
    <w:rsid w:val="0049685A"/>
    <w:rsid w:val="004B1D1C"/>
    <w:rsid w:val="00556802"/>
    <w:rsid w:val="00573369"/>
    <w:rsid w:val="006415A4"/>
    <w:rsid w:val="006828C3"/>
    <w:rsid w:val="00731BE2"/>
    <w:rsid w:val="00790E16"/>
    <w:rsid w:val="00795FC8"/>
    <w:rsid w:val="007F1207"/>
    <w:rsid w:val="0082537B"/>
    <w:rsid w:val="00832412"/>
    <w:rsid w:val="008649B2"/>
    <w:rsid w:val="008A23C1"/>
    <w:rsid w:val="008A4076"/>
    <w:rsid w:val="0098359C"/>
    <w:rsid w:val="00994BB8"/>
    <w:rsid w:val="00A01F32"/>
    <w:rsid w:val="00A16EBE"/>
    <w:rsid w:val="00A4645A"/>
    <w:rsid w:val="00AB6DE8"/>
    <w:rsid w:val="00AC51B8"/>
    <w:rsid w:val="00BF79A5"/>
    <w:rsid w:val="00DF3CCB"/>
    <w:rsid w:val="00E11FDF"/>
    <w:rsid w:val="00EB55FE"/>
    <w:rsid w:val="00F3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21D3"/>
  <w15:chartTrackingRefBased/>
  <w15:docId w15:val="{AC1F8622-2A20-4236-BA54-249FA5EC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51B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5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51B8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AC5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51B8"/>
    <w:rPr>
      <w:rFonts w:ascii="Calibri" w:eastAsia="Times New Roman" w:hAnsi="Calibri" w:cs="Times New Roman"/>
    </w:rPr>
  </w:style>
  <w:style w:type="paragraph" w:customStyle="1" w:styleId="Nzevlnk">
    <w:name w:val="Název článků"/>
    <w:basedOn w:val="Normln"/>
    <w:uiPriority w:val="99"/>
    <w:rsid w:val="00AC51B8"/>
    <w:pPr>
      <w:numPr>
        <w:numId w:val="1"/>
      </w:numPr>
      <w:spacing w:after="12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Textlnk">
    <w:name w:val="Text článků"/>
    <w:basedOn w:val="Normln"/>
    <w:uiPriority w:val="99"/>
    <w:rsid w:val="00AC51B8"/>
    <w:pPr>
      <w:numPr>
        <w:ilvl w:val="1"/>
        <w:numId w:val="1"/>
      </w:numPr>
      <w:spacing w:after="120" w:line="240" w:lineRule="auto"/>
      <w:jc w:val="both"/>
    </w:pPr>
    <w:rPr>
      <w:rFonts w:ascii="Arial" w:hAnsi="Arial" w:cs="Arial"/>
      <w:sz w:val="18"/>
      <w:szCs w:val="18"/>
    </w:rPr>
  </w:style>
  <w:style w:type="character" w:customStyle="1" w:styleId="NzevChar">
    <w:name w:val="Název Char"/>
    <w:link w:val="Nzev"/>
    <w:uiPriority w:val="10"/>
    <w:locked/>
    <w:rsid w:val="00AC51B8"/>
    <w:rPr>
      <w:rFonts w:ascii="Cambria" w:hAnsi="Cambria"/>
      <w:b/>
      <w:kern w:val="28"/>
      <w:sz w:val="32"/>
      <w:lang w:val="x-none"/>
    </w:rPr>
  </w:style>
  <w:style w:type="paragraph" w:styleId="Nzev">
    <w:name w:val="Title"/>
    <w:basedOn w:val="Normln"/>
    <w:next w:val="Normln"/>
    <w:link w:val="NzevChar"/>
    <w:uiPriority w:val="10"/>
    <w:qFormat/>
    <w:rsid w:val="00AC51B8"/>
    <w:pPr>
      <w:spacing w:before="240" w:after="60" w:line="240" w:lineRule="atLeast"/>
      <w:jc w:val="center"/>
      <w:outlineLvl w:val="0"/>
    </w:pPr>
    <w:rPr>
      <w:rFonts w:ascii="Cambria" w:eastAsiaTheme="minorHAnsi" w:hAnsi="Cambria" w:cstheme="minorBidi"/>
      <w:b/>
      <w:kern w:val="28"/>
      <w:sz w:val="32"/>
      <w:lang w:val="x-none"/>
    </w:rPr>
  </w:style>
  <w:style w:type="character" w:customStyle="1" w:styleId="NzevChar1">
    <w:name w:val="Název Char1"/>
    <w:basedOn w:val="Standardnpsmoodstavce"/>
    <w:uiPriority w:val="10"/>
    <w:rsid w:val="00AC5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poznpodarou">
    <w:name w:val="footnote text"/>
    <w:basedOn w:val="Normln"/>
    <w:link w:val="TextpoznpodarouChar"/>
    <w:uiPriority w:val="99"/>
    <w:semiHidden/>
    <w:rsid w:val="00AC51B8"/>
    <w:pPr>
      <w:spacing w:after="120" w:line="240" w:lineRule="auto"/>
      <w:jc w:val="both"/>
    </w:pPr>
    <w:rPr>
      <w:rFonts w:ascii="Arial" w:hAnsi="Arial" w:cs="Arial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C51B8"/>
    <w:rPr>
      <w:rFonts w:ascii="Arial" w:eastAsia="Times New Roman" w:hAnsi="Arial" w:cs="Arial"/>
      <w:sz w:val="20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rsid w:val="00AC51B8"/>
    <w:rPr>
      <w:rFonts w:cs="Times New Roman"/>
      <w:vertAlign w:val="superscript"/>
    </w:rPr>
  </w:style>
  <w:style w:type="paragraph" w:styleId="Normlnweb">
    <w:name w:val="Normal (Web)"/>
    <w:basedOn w:val="Normln"/>
    <w:uiPriority w:val="99"/>
    <w:unhideWhenUsed/>
    <w:rsid w:val="00AC51B8"/>
    <w:pPr>
      <w:spacing w:after="222" w:line="332" w:lineRule="atLeast"/>
    </w:pPr>
    <w:rPr>
      <w:rFonts w:ascii="Times New Roman" w:hAnsi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95F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5F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5FC8"/>
    <w:rPr>
      <w:rFonts w:ascii="Calibri" w:eastAsia="Times New Roman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5F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5FC8"/>
    <w:rPr>
      <w:rFonts w:ascii="Calibri" w:eastAsia="Times New Roman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795FC8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5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5FC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grafto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1462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 Vladimír (Magistrát města Brna)</dc:creator>
  <cp:keywords/>
  <dc:description/>
  <cp:lastModifiedBy>Kozel Martin (Magistrát města Brna)</cp:lastModifiedBy>
  <cp:revision>2</cp:revision>
  <cp:lastPrinted>2018-04-19T10:54:00Z</cp:lastPrinted>
  <dcterms:created xsi:type="dcterms:W3CDTF">2018-04-26T09:35:00Z</dcterms:created>
  <dcterms:modified xsi:type="dcterms:W3CDTF">2018-04-26T09:35:00Z</dcterms:modified>
</cp:coreProperties>
</file>