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Pr="00C85E8B" w:rsidRDefault="00B20196" w:rsidP="00A91B25">
      <w:pPr>
        <w:jc w:val="both"/>
      </w:pPr>
      <w:r w:rsidRPr="00C85E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 w:rsidRPr="00C85E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0" t="0" r="0" b="38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C85E8B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484F0E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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3D3838"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Pr="00C85E8B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C85E8B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484F0E" w:rsidRPr="00C85E8B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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3D3838" w:rsidRPr="00C85E8B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Pr="00C85E8B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5E8B"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C85E8B" w:rsidRDefault="008F37D2" w:rsidP="00A91B25">
      <w:pPr>
        <w:jc w:val="both"/>
      </w:pPr>
    </w:p>
    <w:p w:rsidR="008F37D2" w:rsidRPr="00C85E8B" w:rsidRDefault="008F37D2" w:rsidP="00A91B25">
      <w:pPr>
        <w:jc w:val="both"/>
      </w:pPr>
    </w:p>
    <w:p w:rsidR="008F37D2" w:rsidRPr="00C85E8B" w:rsidRDefault="00A91B25" w:rsidP="00A91B25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 xml:space="preserve">SMLOUVA </w:t>
      </w:r>
      <w:r w:rsidR="00865604">
        <w:rPr>
          <w:rFonts w:ascii="Arial" w:hAnsi="Arial" w:cs="Arial"/>
          <w:b/>
        </w:rPr>
        <w:t>O DÍLO</w:t>
      </w:r>
    </w:p>
    <w:p w:rsidR="005D0634" w:rsidRPr="00C85E8B" w:rsidRDefault="005D0634" w:rsidP="005D0634">
      <w:pPr>
        <w:jc w:val="center"/>
        <w:rPr>
          <w:rFonts w:ascii="Arial" w:hAnsi="Arial" w:cs="Arial"/>
          <w:b/>
        </w:rPr>
      </w:pPr>
    </w:p>
    <w:p w:rsidR="00484F0E" w:rsidRPr="00C85E8B" w:rsidRDefault="00484F0E" w:rsidP="005D0634">
      <w:pPr>
        <w:jc w:val="center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číslo OSM/</w:t>
      </w:r>
      <w:r w:rsidR="003D3838" w:rsidRPr="00C85E8B">
        <w:rPr>
          <w:rFonts w:ascii="Arial" w:hAnsi="Arial" w:cs="Arial"/>
          <w:b/>
        </w:rPr>
        <w:t>OSVZ</w:t>
      </w:r>
      <w:r w:rsidRPr="00C85E8B">
        <w:rPr>
          <w:rFonts w:ascii="Arial" w:hAnsi="Arial" w:cs="Arial"/>
          <w:b/>
        </w:rPr>
        <w:t>/</w:t>
      </w:r>
      <w:r w:rsidR="00307289">
        <w:rPr>
          <w:rFonts w:ascii="Arial" w:hAnsi="Arial" w:cs="Arial"/>
          <w:b/>
        </w:rPr>
        <w:t>1</w:t>
      </w:r>
      <w:r w:rsidR="00865604">
        <w:rPr>
          <w:rFonts w:ascii="Arial" w:hAnsi="Arial" w:cs="Arial"/>
          <w:b/>
        </w:rPr>
        <w:t>78</w:t>
      </w:r>
      <w:r w:rsidRPr="00C85E8B">
        <w:rPr>
          <w:rFonts w:ascii="Arial" w:hAnsi="Arial" w:cs="Arial"/>
          <w:b/>
        </w:rPr>
        <w:t>/</w:t>
      </w:r>
      <w:r w:rsidR="003D3838" w:rsidRPr="00C85E8B">
        <w:rPr>
          <w:rFonts w:ascii="Arial" w:hAnsi="Arial" w:cs="Arial"/>
          <w:b/>
        </w:rPr>
        <w:t>2018</w:t>
      </w:r>
    </w:p>
    <w:p w:rsidR="00FD0F49" w:rsidRPr="00C85E8B" w:rsidRDefault="00FD0F49" w:rsidP="00A91B25">
      <w:pPr>
        <w:jc w:val="center"/>
        <w:rPr>
          <w:rFonts w:ascii="Arial" w:hAnsi="Arial" w:cs="Arial"/>
          <w:b/>
        </w:rPr>
      </w:pPr>
    </w:p>
    <w:p w:rsidR="008F37D2" w:rsidRPr="00C85E8B" w:rsidRDefault="008F37D2" w:rsidP="00A91B25">
      <w:pPr>
        <w:jc w:val="both"/>
        <w:rPr>
          <w:rFonts w:ascii="Arial" w:hAnsi="Arial" w:cs="Arial"/>
          <w:b/>
        </w:rPr>
      </w:pP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:rsidR="00865604" w:rsidRPr="00C85E8B" w:rsidRDefault="008F37D2" w:rsidP="00865604">
      <w:pPr>
        <w:tabs>
          <w:tab w:val="left" w:pos="4962"/>
        </w:tabs>
        <w:ind w:left="2832" w:hanging="2832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Statutární město Jablonec nad Nisou</w:t>
      </w:r>
      <w:r w:rsidR="00484F0E" w:rsidRPr="00C85E8B">
        <w:rPr>
          <w:rFonts w:ascii="Arial" w:hAnsi="Arial" w:cs="Arial"/>
        </w:rPr>
        <w:tab/>
        <w:t>Název firmy:</w:t>
      </w:r>
      <w:r w:rsidR="003D3838" w:rsidRPr="00C85E8B">
        <w:rPr>
          <w:rFonts w:ascii="Arial" w:hAnsi="Arial" w:cs="Arial"/>
        </w:rPr>
        <w:t xml:space="preserve"> </w:t>
      </w:r>
      <w:r w:rsidR="00865604">
        <w:rPr>
          <w:rFonts w:ascii="Arial" w:hAnsi="Arial" w:cs="Arial"/>
        </w:rPr>
        <w:t>Technické služby Jablonec n. N., s.r.o.</w:t>
      </w:r>
    </w:p>
    <w:p w:rsidR="008F37D2" w:rsidRPr="00C85E8B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Zastoupené: Ing. Jaromírou Čechovou</w:t>
      </w:r>
      <w:r w:rsidR="008F37D2"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>adresa:</w:t>
      </w:r>
      <w:r w:rsidR="003D3838" w:rsidRPr="00C85E8B">
        <w:rPr>
          <w:rFonts w:ascii="Arial" w:hAnsi="Arial" w:cs="Arial"/>
        </w:rPr>
        <w:t xml:space="preserve"> </w:t>
      </w:r>
      <w:r w:rsidR="00865604">
        <w:rPr>
          <w:rFonts w:ascii="Arial" w:hAnsi="Arial" w:cs="Arial"/>
        </w:rPr>
        <w:t>Souběžná 7, Jablonec nad Nisou</w:t>
      </w:r>
      <w:r w:rsidR="003D3838" w:rsidRPr="00C85E8B">
        <w:rPr>
          <w:rFonts w:ascii="Arial" w:hAnsi="Arial" w:cs="Arial"/>
        </w:rPr>
        <w:t xml:space="preserve"> </w:t>
      </w:r>
    </w:p>
    <w:p w:rsidR="008F37D2" w:rsidRPr="00C85E8B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adresa: </w:t>
      </w:r>
      <w:r w:rsidR="008F37D2" w:rsidRPr="00C85E8B">
        <w:rPr>
          <w:rFonts w:ascii="Arial" w:hAnsi="Arial" w:cs="Arial"/>
        </w:rPr>
        <w:t>Mírové náměstí 19</w:t>
      </w:r>
      <w:r w:rsidRPr="00C85E8B">
        <w:rPr>
          <w:rFonts w:ascii="Arial" w:hAnsi="Arial" w:cs="Arial"/>
        </w:rPr>
        <w:t>, Jablonec nad Nisou</w:t>
      </w:r>
      <w:r w:rsidR="008F37D2"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>PSČ</w:t>
      </w:r>
      <w:r w:rsidR="003D3838" w:rsidRPr="00C85E8B">
        <w:rPr>
          <w:rFonts w:ascii="Arial" w:hAnsi="Arial" w:cs="Arial"/>
        </w:rPr>
        <w:t xml:space="preserve"> </w:t>
      </w:r>
      <w:r w:rsidR="00865604">
        <w:rPr>
          <w:rFonts w:ascii="Arial" w:hAnsi="Arial" w:cs="Arial"/>
        </w:rPr>
        <w:t>466 01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PSČ 46</w:t>
      </w:r>
      <w:r w:rsidR="005F09F6" w:rsidRPr="00C85E8B">
        <w:rPr>
          <w:rFonts w:ascii="Arial" w:hAnsi="Arial" w:cs="Arial"/>
        </w:rPr>
        <w:t>6 01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IČ:</w:t>
      </w:r>
      <w:r w:rsidR="003D3838" w:rsidRPr="00C85E8B">
        <w:rPr>
          <w:rFonts w:ascii="Arial" w:hAnsi="Arial" w:cs="Arial"/>
        </w:rPr>
        <w:t xml:space="preserve"> </w:t>
      </w:r>
      <w:r w:rsidR="00865604">
        <w:rPr>
          <w:rFonts w:ascii="Arial" w:hAnsi="Arial" w:cs="Arial"/>
        </w:rPr>
        <w:t>25475509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IČ: 00 262 340</w:t>
      </w:r>
      <w:r w:rsidRPr="00C85E8B">
        <w:rPr>
          <w:rFonts w:ascii="Arial" w:hAnsi="Arial" w:cs="Arial"/>
        </w:rPr>
        <w:tab/>
      </w:r>
      <w:r w:rsidR="00484F0E" w:rsidRPr="00C85E8B">
        <w:rPr>
          <w:rFonts w:ascii="Arial" w:hAnsi="Arial" w:cs="Arial"/>
        </w:rPr>
        <w:t>DIČ:</w:t>
      </w:r>
      <w:r w:rsidR="003D3838" w:rsidRPr="00C85E8B">
        <w:rPr>
          <w:rFonts w:ascii="Arial" w:hAnsi="Arial" w:cs="Arial"/>
        </w:rPr>
        <w:t xml:space="preserve"> CZ</w:t>
      </w:r>
      <w:r w:rsidR="00865604">
        <w:rPr>
          <w:rFonts w:ascii="Arial" w:hAnsi="Arial" w:cs="Arial"/>
        </w:rPr>
        <w:t>25475509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DIČ: CZ00262340</w:t>
      </w:r>
      <w:r w:rsidRPr="00C85E8B">
        <w:rPr>
          <w:rFonts w:ascii="Arial" w:hAnsi="Arial" w:cs="Arial"/>
        </w:rPr>
        <w:tab/>
      </w:r>
      <w:r w:rsidR="00865604">
        <w:rPr>
          <w:rFonts w:ascii="Arial" w:hAnsi="Arial" w:cs="Arial"/>
        </w:rPr>
        <w:t>kontaktní osoba: Zbyněk Hujer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číslo účtu: 121451/0100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bankovní ústav: KB Jablonec nad Nisou </w:t>
      </w:r>
      <w:r w:rsidRPr="00C85E8B">
        <w:rPr>
          <w:rFonts w:ascii="Arial" w:hAnsi="Arial" w:cs="Arial"/>
        </w:rPr>
        <w:tab/>
      </w:r>
      <w:r w:rsidR="003D3838"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kontaktní osoba: </w:t>
      </w:r>
      <w:r w:rsidR="00865604">
        <w:rPr>
          <w:rFonts w:ascii="Arial" w:hAnsi="Arial" w:cs="Arial"/>
        </w:rPr>
        <w:t>Mgr. Barbora Šnytrová</w:t>
      </w:r>
      <w:r w:rsidRPr="00C85E8B">
        <w:rPr>
          <w:rFonts w:ascii="Arial" w:hAnsi="Arial" w:cs="Arial"/>
        </w:rPr>
        <w:t xml:space="preserve"> </w:t>
      </w: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bookmarkStart w:id="0" w:name="_GoBack"/>
      <w:bookmarkEnd w:id="0"/>
      <w:r w:rsidRPr="00C85E8B">
        <w:rPr>
          <w:rFonts w:ascii="Arial" w:hAnsi="Arial" w:cs="Arial"/>
        </w:rPr>
        <w:tab/>
      </w:r>
    </w:p>
    <w:p w:rsidR="008F37D2" w:rsidRPr="00C85E8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:rsidR="008F37D2" w:rsidRPr="00397832" w:rsidRDefault="00A91B25" w:rsidP="00A91B25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I.</w:t>
      </w:r>
    </w:p>
    <w:p w:rsidR="00A91B25" w:rsidRPr="00C85E8B" w:rsidRDefault="00A91B25" w:rsidP="00A91B25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>Předmět smlouvy</w:t>
      </w:r>
      <w:r w:rsidR="008F37D2" w:rsidRPr="00C85E8B">
        <w:rPr>
          <w:rFonts w:ascii="Arial" w:hAnsi="Arial" w:cs="Arial"/>
        </w:rPr>
        <w:t xml:space="preserve"> </w:t>
      </w: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3D3838" w:rsidRPr="00C85E8B" w:rsidRDefault="005E4287" w:rsidP="00865604">
      <w:pPr>
        <w:pStyle w:val="standard"/>
        <w:suppressLineNumbers/>
        <w:spacing w:before="0"/>
        <w:rPr>
          <w:rFonts w:ascii="Arial" w:hAnsi="Arial" w:cs="Arial"/>
          <w:sz w:val="20"/>
        </w:rPr>
      </w:pPr>
      <w:r w:rsidRPr="00C85E8B">
        <w:rPr>
          <w:rFonts w:ascii="Arial" w:hAnsi="Arial" w:cs="Arial"/>
          <w:sz w:val="20"/>
        </w:rPr>
        <w:t xml:space="preserve">Předmětem smlouvy je </w:t>
      </w:r>
      <w:r w:rsidR="00865604">
        <w:rPr>
          <w:rFonts w:ascii="Arial" w:hAnsi="Arial" w:cs="Arial"/>
          <w:sz w:val="20"/>
        </w:rPr>
        <w:t>oprava kontejnerového stání v ulici Vítězslava Nezvala před objektem č. 7a, Jablonec</w:t>
      </w:r>
      <w:r w:rsidR="00397832">
        <w:rPr>
          <w:rFonts w:ascii="Arial" w:hAnsi="Arial" w:cs="Arial"/>
          <w:sz w:val="20"/>
        </w:rPr>
        <w:t xml:space="preserve"> nad Nisou. Součástí prací bude</w:t>
      </w:r>
      <w:r w:rsidR="00865604">
        <w:rPr>
          <w:rFonts w:ascii="Arial" w:hAnsi="Arial" w:cs="Arial"/>
          <w:sz w:val="20"/>
        </w:rPr>
        <w:t xml:space="preserve"> oprava obvodových stěn, doplnění chybějícího zdiva, </w:t>
      </w:r>
      <w:r w:rsidR="0040153B">
        <w:rPr>
          <w:rFonts w:ascii="Arial" w:hAnsi="Arial" w:cs="Arial"/>
          <w:sz w:val="20"/>
        </w:rPr>
        <w:t>oprava zpevněné plochy pod kontejnery (odbourání poškozeného betonu, doplnění zámkové dlažby, oprava asfaltového chodníku), oprava střešní konstrukce (</w:t>
      </w:r>
      <w:r w:rsidR="00397832">
        <w:rPr>
          <w:rFonts w:ascii="Arial" w:hAnsi="Arial" w:cs="Arial"/>
          <w:sz w:val="20"/>
        </w:rPr>
        <w:t>doplnění kovových profilů a opláštění v úpravě žárový zinek, střešní krytina z vlnitého plechu</w:t>
      </w:r>
      <w:r w:rsidR="002F15FD">
        <w:rPr>
          <w:rFonts w:ascii="Arial" w:hAnsi="Arial" w:cs="Arial"/>
          <w:sz w:val="20"/>
        </w:rPr>
        <w:t>) dle cenové nabídky, která je přílohou této smlouvy.</w:t>
      </w:r>
    </w:p>
    <w:p w:rsidR="00A91B25" w:rsidRPr="00C85E8B" w:rsidRDefault="00A91B25" w:rsidP="00A91B25">
      <w:pPr>
        <w:jc w:val="both"/>
        <w:rPr>
          <w:rFonts w:ascii="Arial" w:hAnsi="Arial" w:cs="Arial"/>
        </w:rPr>
      </w:pPr>
    </w:p>
    <w:p w:rsidR="00A91B25" w:rsidRPr="00397832" w:rsidRDefault="00A91B25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II.</w:t>
      </w:r>
    </w:p>
    <w:p w:rsidR="00A91B25" w:rsidRPr="00397832" w:rsidRDefault="00A91B25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Termín plnění/dodání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Termín provedení prací </w:t>
      </w:r>
      <w:r w:rsidRPr="00C85E8B">
        <w:rPr>
          <w:rFonts w:ascii="Arial" w:hAnsi="Arial" w:cs="Arial"/>
          <w:b/>
        </w:rPr>
        <w:t xml:space="preserve">do </w:t>
      </w:r>
      <w:r w:rsidR="00F12D87">
        <w:rPr>
          <w:rFonts w:ascii="Arial" w:hAnsi="Arial" w:cs="Arial"/>
          <w:b/>
        </w:rPr>
        <w:t>31</w:t>
      </w:r>
      <w:r w:rsidRPr="00C85E8B">
        <w:rPr>
          <w:rFonts w:ascii="Arial" w:hAnsi="Arial" w:cs="Arial"/>
          <w:b/>
        </w:rPr>
        <w:t xml:space="preserve">. </w:t>
      </w:r>
      <w:r w:rsidR="00F12D87">
        <w:rPr>
          <w:rFonts w:ascii="Arial" w:hAnsi="Arial" w:cs="Arial"/>
          <w:b/>
        </w:rPr>
        <w:t>5</w:t>
      </w:r>
      <w:r w:rsidRPr="00C85E8B">
        <w:rPr>
          <w:rFonts w:ascii="Arial" w:hAnsi="Arial" w:cs="Arial"/>
          <w:b/>
        </w:rPr>
        <w:t>. 2018</w:t>
      </w:r>
      <w:r w:rsidRPr="00C85E8B">
        <w:rPr>
          <w:rFonts w:ascii="Arial" w:hAnsi="Arial" w:cs="Arial"/>
        </w:rPr>
        <w:t xml:space="preserve">. </w:t>
      </w:r>
    </w:p>
    <w:p w:rsidR="00484F0E" w:rsidRPr="00C85E8B" w:rsidRDefault="00484F0E" w:rsidP="006A3FC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III.</w:t>
      </w: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 xml:space="preserve">Cena </w:t>
      </w:r>
      <w:r w:rsidR="006376A9" w:rsidRPr="00397832">
        <w:rPr>
          <w:rFonts w:ascii="Arial" w:hAnsi="Arial" w:cs="Arial"/>
          <w:b/>
        </w:rPr>
        <w:t>a platební podmínky</w:t>
      </w:r>
    </w:p>
    <w:p w:rsidR="00FD0F49" w:rsidRPr="00C85E8B" w:rsidRDefault="00FD0F49" w:rsidP="00FD0F49">
      <w:pPr>
        <w:jc w:val="center"/>
        <w:rPr>
          <w:rFonts w:ascii="Arial" w:hAnsi="Arial" w:cs="Arial"/>
        </w:rPr>
      </w:pPr>
    </w:p>
    <w:p w:rsidR="00FD0F49" w:rsidRPr="00C85E8B" w:rsidRDefault="006A3FC2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  <w:sz w:val="18"/>
          <w:szCs w:val="18"/>
        </w:rPr>
        <w:t>Cena za provedené práce je po vzájemné dohodě stanovena do maximální výše</w:t>
      </w:r>
      <w:r w:rsidRPr="00C85E8B">
        <w:rPr>
          <w:rFonts w:ascii="Arial" w:hAnsi="Arial" w:cs="Arial"/>
          <w:b/>
          <w:sz w:val="18"/>
          <w:szCs w:val="18"/>
        </w:rPr>
        <w:t xml:space="preserve"> </w:t>
      </w:r>
      <w:r w:rsidR="00397832">
        <w:rPr>
          <w:rFonts w:ascii="Arial" w:hAnsi="Arial" w:cs="Arial"/>
          <w:b/>
          <w:sz w:val="18"/>
          <w:szCs w:val="18"/>
        </w:rPr>
        <w:t>73 860,-</w:t>
      </w:r>
      <w:r w:rsidRPr="00C85E8B">
        <w:rPr>
          <w:rFonts w:ascii="Arial" w:hAnsi="Arial" w:cs="Arial"/>
          <w:b/>
          <w:sz w:val="18"/>
          <w:szCs w:val="18"/>
        </w:rPr>
        <w:t xml:space="preserve"> Kč bez DPH (</w:t>
      </w:r>
      <w:r w:rsidR="00397832">
        <w:rPr>
          <w:rFonts w:ascii="Arial" w:hAnsi="Arial" w:cs="Arial"/>
          <w:b/>
          <w:sz w:val="18"/>
          <w:szCs w:val="18"/>
        </w:rPr>
        <w:t>89 371</w:t>
      </w:r>
      <w:r w:rsidRPr="00C85E8B">
        <w:rPr>
          <w:rFonts w:ascii="Arial" w:hAnsi="Arial" w:cs="Arial"/>
          <w:b/>
          <w:sz w:val="18"/>
          <w:szCs w:val="18"/>
        </w:rPr>
        <w:t>,- Kč včetně DPH).</w:t>
      </w:r>
    </w:p>
    <w:p w:rsidR="008F37D2" w:rsidRPr="00C85E8B" w:rsidRDefault="00FD0F49" w:rsidP="006A3FC2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V textu smlouvy</w:t>
      </w:r>
      <w:r w:rsidR="008F37D2" w:rsidRPr="00C85E8B">
        <w:rPr>
          <w:rFonts w:ascii="Arial" w:hAnsi="Arial" w:cs="Arial"/>
        </w:rPr>
        <w:t xml:space="preserve"> MMJN Jablonec n.N. se vždy uvádějí tato smluvní ujednání: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14-ti denní splatnosti, (tj. minimální splatnost faktury), musí být faktura doručena na podatelnu MMJN Jablonec n.N. nejpoz</w:t>
      </w:r>
      <w:r w:rsidR="00F12D87">
        <w:rPr>
          <w:rFonts w:ascii="Arial" w:hAnsi="Arial" w:cs="Arial"/>
        </w:rPr>
        <w:t>ději do 3 dnů od data vystavení</w:t>
      </w:r>
      <w:r w:rsidRPr="00C85E8B">
        <w:rPr>
          <w:rFonts w:ascii="Arial" w:hAnsi="Arial" w:cs="Arial"/>
        </w:rPr>
        <w:t xml:space="preserve">. </w:t>
      </w:r>
    </w:p>
    <w:p w:rsidR="008F37D2" w:rsidRPr="00C85E8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Při delší splatnosti musí být faktura doručena nejpozději do 14-ti dnů před lhůtou splatnosti.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číslo objednávky a jméno kontaktní osoby objednatele.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Na faktuře je nutné uvést DIČ objednatele.</w:t>
      </w:r>
    </w:p>
    <w:p w:rsidR="00484F0E" w:rsidRPr="00C85E8B" w:rsidRDefault="00484F0E" w:rsidP="00484F0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K faktuře bude přiložena kopie objednávky.</w:t>
      </w:r>
    </w:p>
    <w:p w:rsidR="006376A9" w:rsidRPr="00C85E8B" w:rsidRDefault="006376A9" w:rsidP="006376A9">
      <w:pPr>
        <w:jc w:val="both"/>
        <w:rPr>
          <w:rFonts w:ascii="Arial" w:hAnsi="Arial" w:cs="Arial"/>
        </w:rPr>
      </w:pPr>
    </w:p>
    <w:p w:rsidR="006376A9" w:rsidRPr="00397832" w:rsidRDefault="006376A9" w:rsidP="006376A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IV.</w:t>
      </w:r>
    </w:p>
    <w:p w:rsidR="006376A9" w:rsidRPr="00397832" w:rsidRDefault="006376A9" w:rsidP="006376A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Záruční doba</w:t>
      </w:r>
    </w:p>
    <w:p w:rsidR="00FD0F49" w:rsidRPr="00C85E8B" w:rsidRDefault="00FD0F49" w:rsidP="00FD0F49">
      <w:pPr>
        <w:jc w:val="both"/>
        <w:rPr>
          <w:rFonts w:ascii="Arial" w:hAnsi="Arial" w:cs="Arial"/>
        </w:rPr>
      </w:pPr>
    </w:p>
    <w:p w:rsidR="00484F0E" w:rsidRPr="00C85E8B" w:rsidRDefault="00484F0E" w:rsidP="00C85E8B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Dle platných právních předpisů, zejména zák. č. 89/2012 Sb., občanský zákoník</w:t>
      </w:r>
      <w:r w:rsidR="00C85E8B" w:rsidRPr="00C85E8B">
        <w:rPr>
          <w:rFonts w:ascii="Arial" w:hAnsi="Arial" w:cs="Arial"/>
        </w:rPr>
        <w:t>.</w:t>
      </w:r>
    </w:p>
    <w:p w:rsidR="006376A9" w:rsidRPr="00C85E8B" w:rsidRDefault="006376A9" w:rsidP="00FD0F49">
      <w:pPr>
        <w:jc w:val="both"/>
        <w:rPr>
          <w:rFonts w:ascii="Arial" w:hAnsi="Arial" w:cs="Arial"/>
        </w:rPr>
      </w:pP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IV.</w:t>
      </w:r>
    </w:p>
    <w:p w:rsidR="00FD0F49" w:rsidRPr="00397832" w:rsidRDefault="00FD0F49" w:rsidP="00FD0F49">
      <w:pPr>
        <w:jc w:val="center"/>
        <w:rPr>
          <w:rFonts w:ascii="Arial" w:hAnsi="Arial" w:cs="Arial"/>
          <w:b/>
        </w:rPr>
      </w:pPr>
      <w:r w:rsidRPr="00397832">
        <w:rPr>
          <w:rFonts w:ascii="Arial" w:hAnsi="Arial" w:cs="Arial"/>
          <w:b/>
        </w:rPr>
        <w:t>Závěrečná ustanovení</w:t>
      </w:r>
    </w:p>
    <w:p w:rsidR="00791BB3" w:rsidRPr="00C85E8B" w:rsidRDefault="00791BB3" w:rsidP="00FD0F49">
      <w:pPr>
        <w:jc w:val="center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1) Vztahy dle této smlouvy se řídí zák. č. 89/2012 Sb., občanský zákoník.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C85E8B">
      <w:pPr>
        <w:ind w:left="284" w:hanging="284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C85E8B" w:rsidRDefault="00791BB3" w:rsidP="00791BB3">
      <w:pPr>
        <w:jc w:val="both"/>
        <w:rPr>
          <w:rFonts w:ascii="Arial" w:hAnsi="Arial" w:cs="Arial"/>
        </w:rPr>
      </w:pPr>
    </w:p>
    <w:p w:rsidR="00791BB3" w:rsidRPr="00C85E8B" w:rsidRDefault="00791BB3" w:rsidP="00791BB3">
      <w:pPr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</w:t>
      </w:r>
    </w:p>
    <w:p w:rsidR="008F37D2" w:rsidRPr="00C85E8B" w:rsidRDefault="008F37D2" w:rsidP="00A91B25">
      <w:pPr>
        <w:jc w:val="both"/>
        <w:rPr>
          <w:rFonts w:ascii="Arial" w:hAnsi="Arial" w:cs="Arial"/>
        </w:rPr>
      </w:pPr>
    </w:p>
    <w:p w:rsidR="00A91B25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397832">
        <w:rPr>
          <w:rFonts w:ascii="Arial" w:hAnsi="Arial" w:cs="Arial"/>
          <w:iCs/>
        </w:rPr>
        <w:t>12</w:t>
      </w:r>
      <w:r w:rsidR="00C85E8B" w:rsidRPr="00C85E8B">
        <w:rPr>
          <w:rFonts w:ascii="Arial" w:hAnsi="Arial" w:cs="Arial"/>
          <w:iCs/>
        </w:rPr>
        <w:t>.</w:t>
      </w:r>
      <w:r w:rsidR="00397832">
        <w:rPr>
          <w:rFonts w:ascii="Arial" w:hAnsi="Arial" w:cs="Arial"/>
          <w:iCs/>
        </w:rPr>
        <w:t>4</w:t>
      </w:r>
      <w:r w:rsidR="00C85E8B" w:rsidRPr="00C85E8B">
        <w:rPr>
          <w:rFonts w:ascii="Arial" w:hAnsi="Arial" w:cs="Arial"/>
          <w:iCs/>
        </w:rPr>
        <w:t xml:space="preserve">.2018                        </w:t>
      </w:r>
      <w:r w:rsidR="00791BB3" w:rsidRPr="00C85E8B">
        <w:rPr>
          <w:rFonts w:ascii="Arial" w:hAnsi="Arial" w:cs="Arial"/>
          <w:iCs/>
        </w:rPr>
        <w:t xml:space="preserve">   V</w:t>
      </w:r>
      <w:r w:rsidR="00C85E8B" w:rsidRPr="00C85E8B">
        <w:rPr>
          <w:rFonts w:ascii="Arial" w:hAnsi="Arial" w:cs="Arial"/>
          <w:iCs/>
        </w:rPr>
        <w:t xml:space="preserve"> Jablonci nad Nisou  </w:t>
      </w:r>
      <w:r w:rsidR="00C85E8B">
        <w:rPr>
          <w:rFonts w:ascii="Arial" w:hAnsi="Arial" w:cs="Arial"/>
          <w:iCs/>
        </w:rPr>
        <w:t>dne:</w:t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:rsidR="008F37D2" w:rsidRPr="00C85E8B" w:rsidRDefault="008F37D2" w:rsidP="00A91B25">
      <w:pPr>
        <w:jc w:val="both"/>
        <w:rPr>
          <w:rFonts w:ascii="Arial" w:hAnsi="Arial" w:cs="Arial"/>
          <w:iCs/>
        </w:rPr>
      </w:pPr>
    </w:p>
    <w:p w:rsidR="00A91B25" w:rsidRPr="00C85E8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</w:r>
    </w:p>
    <w:p w:rsidR="00A91B25" w:rsidRPr="00C85E8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C85E8B" w:rsidRDefault="00A91B25" w:rsidP="00791BB3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</w:t>
      </w:r>
      <w:r w:rsidR="00791BB3" w:rsidRPr="00C85E8B">
        <w:rPr>
          <w:rFonts w:ascii="Arial" w:hAnsi="Arial" w:cs="Arial"/>
          <w:iCs/>
        </w:rPr>
        <w:t xml:space="preserve">                         </w:t>
      </w:r>
      <w:r w:rsidRPr="00C85E8B">
        <w:rPr>
          <w:rFonts w:ascii="Arial" w:hAnsi="Arial" w:cs="Arial"/>
          <w:iCs/>
        </w:rPr>
        <w:t xml:space="preserve"> ………………………………</w:t>
      </w:r>
    </w:p>
    <w:p w:rsidR="002B7F67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   </w:t>
      </w:r>
      <w:r w:rsidR="00484F0E" w:rsidRPr="00C85E8B">
        <w:rPr>
          <w:rFonts w:ascii="Arial" w:hAnsi="Arial" w:cs="Arial"/>
        </w:rPr>
        <w:t>Ing. Jaromíra Čechová</w:t>
      </w:r>
      <w:r w:rsidRPr="00C85E8B">
        <w:rPr>
          <w:rFonts w:ascii="Arial" w:hAnsi="Arial" w:cs="Arial"/>
        </w:rPr>
        <w:t xml:space="preserve">    </w:t>
      </w:r>
      <w:r w:rsidR="00791BB3" w:rsidRPr="00C85E8B">
        <w:rPr>
          <w:rFonts w:ascii="Arial" w:hAnsi="Arial" w:cs="Arial"/>
        </w:rPr>
        <w:t xml:space="preserve">                                                                  </w:t>
      </w:r>
      <w:r w:rsidR="00C85E8B" w:rsidRPr="00C85E8B">
        <w:rPr>
          <w:rFonts w:ascii="Arial" w:hAnsi="Arial" w:cs="Arial"/>
        </w:rPr>
        <w:t xml:space="preserve">   </w:t>
      </w:r>
      <w:r w:rsidR="00397832">
        <w:rPr>
          <w:rFonts w:ascii="Arial" w:hAnsi="Arial" w:cs="Arial"/>
        </w:rPr>
        <w:t xml:space="preserve"> Mgr. Milan Nožička</w:t>
      </w:r>
    </w:p>
    <w:p w:rsidR="009E33E8" w:rsidRPr="00C85E8B" w:rsidRDefault="009E33E8" w:rsidP="00791BB3">
      <w:pPr>
        <w:rPr>
          <w:rFonts w:ascii="Arial" w:hAnsi="Arial" w:cs="Arial"/>
        </w:rPr>
      </w:pPr>
      <w:r w:rsidRPr="00C85E8B">
        <w:rPr>
          <w:rFonts w:ascii="Arial" w:hAnsi="Arial" w:cs="Arial"/>
        </w:rPr>
        <w:t>vedoucí odboru správy majetku</w:t>
      </w:r>
      <w:r w:rsidR="00397832" w:rsidRPr="00397832">
        <w:rPr>
          <w:rFonts w:ascii="Arial" w:hAnsi="Arial" w:cs="Arial"/>
        </w:rPr>
        <w:t xml:space="preserve"> </w:t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</w:r>
      <w:r w:rsidR="00397832">
        <w:rPr>
          <w:rFonts w:ascii="Arial" w:hAnsi="Arial" w:cs="Arial"/>
        </w:rPr>
        <w:tab/>
        <w:t xml:space="preserve">    </w:t>
      </w:r>
      <w:r w:rsidR="00397832" w:rsidRPr="00C85E8B">
        <w:rPr>
          <w:rFonts w:ascii="Arial" w:hAnsi="Arial" w:cs="Arial"/>
        </w:rPr>
        <w:t>za dodavatele</w:t>
      </w: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791BB3">
      <w:pPr>
        <w:rPr>
          <w:rFonts w:ascii="Arial" w:hAnsi="Arial" w:cs="Arial"/>
        </w:rPr>
      </w:pPr>
    </w:p>
    <w:p w:rsidR="009E33E8" w:rsidRPr="00C85E8B" w:rsidRDefault="009E33E8" w:rsidP="009E33E8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:rsidR="009E33E8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Ing. Štěpánka Gaislerová</w:t>
      </w:r>
    </w:p>
    <w:p w:rsidR="00384491" w:rsidRPr="00C85E8B" w:rsidRDefault="00384491" w:rsidP="009E33E8">
      <w:pPr>
        <w:rPr>
          <w:rFonts w:ascii="Arial" w:hAnsi="Arial" w:cs="Arial"/>
        </w:rPr>
      </w:pPr>
      <w:r w:rsidRPr="00C85E8B">
        <w:rPr>
          <w:rFonts w:ascii="Arial" w:hAnsi="Arial" w:cs="Arial"/>
        </w:rPr>
        <w:t>pověřená vedením oddělení správy veřejné zeleně</w:t>
      </w:r>
    </w:p>
    <w:p w:rsidR="009E33E8" w:rsidRPr="00C85E8B" w:rsidRDefault="009E33E8" w:rsidP="00791BB3">
      <w:pPr>
        <w:rPr>
          <w:rFonts w:ascii="Arial" w:hAnsi="Arial" w:cs="Arial"/>
        </w:rPr>
      </w:pPr>
    </w:p>
    <w:sectPr w:rsidR="009E33E8" w:rsidRPr="00C85E8B" w:rsidSect="00865604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A6" w:rsidRDefault="00D062A6" w:rsidP="002B7F67">
      <w:r>
        <w:separator/>
      </w:r>
    </w:p>
  </w:endnote>
  <w:endnote w:type="continuationSeparator" w:id="0">
    <w:p w:rsidR="00D062A6" w:rsidRDefault="00D062A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A6" w:rsidRDefault="00D062A6" w:rsidP="002B7F67">
      <w:r>
        <w:separator/>
      </w:r>
    </w:p>
  </w:footnote>
  <w:footnote w:type="continuationSeparator" w:id="0">
    <w:p w:rsidR="00D062A6" w:rsidRDefault="00D062A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638D3"/>
    <w:rsid w:val="00171077"/>
    <w:rsid w:val="001B70D5"/>
    <w:rsid w:val="001F2168"/>
    <w:rsid w:val="001F7A05"/>
    <w:rsid w:val="002424AA"/>
    <w:rsid w:val="002A17CF"/>
    <w:rsid w:val="002B7F67"/>
    <w:rsid w:val="002F15FD"/>
    <w:rsid w:val="00306439"/>
    <w:rsid w:val="00307289"/>
    <w:rsid w:val="00384491"/>
    <w:rsid w:val="00386ED0"/>
    <w:rsid w:val="00397832"/>
    <w:rsid w:val="003D3838"/>
    <w:rsid w:val="0040153B"/>
    <w:rsid w:val="004279F6"/>
    <w:rsid w:val="00456985"/>
    <w:rsid w:val="00462CA4"/>
    <w:rsid w:val="00471D03"/>
    <w:rsid w:val="00484F0E"/>
    <w:rsid w:val="004C5751"/>
    <w:rsid w:val="004E536B"/>
    <w:rsid w:val="004F4116"/>
    <w:rsid w:val="005843ED"/>
    <w:rsid w:val="00596E81"/>
    <w:rsid w:val="005D0634"/>
    <w:rsid w:val="005E4287"/>
    <w:rsid w:val="005F09F6"/>
    <w:rsid w:val="0061552E"/>
    <w:rsid w:val="00622599"/>
    <w:rsid w:val="006376A9"/>
    <w:rsid w:val="0065194E"/>
    <w:rsid w:val="006A1163"/>
    <w:rsid w:val="006A3FC2"/>
    <w:rsid w:val="00702131"/>
    <w:rsid w:val="007353D1"/>
    <w:rsid w:val="00750E76"/>
    <w:rsid w:val="00762A95"/>
    <w:rsid w:val="00791BB3"/>
    <w:rsid w:val="00800DD2"/>
    <w:rsid w:val="00831EDC"/>
    <w:rsid w:val="0084758C"/>
    <w:rsid w:val="00865604"/>
    <w:rsid w:val="00875F1A"/>
    <w:rsid w:val="008B6CB3"/>
    <w:rsid w:val="008F37D2"/>
    <w:rsid w:val="009310AC"/>
    <w:rsid w:val="00947A5F"/>
    <w:rsid w:val="009E33E8"/>
    <w:rsid w:val="009F69ED"/>
    <w:rsid w:val="00A852B8"/>
    <w:rsid w:val="00A91B25"/>
    <w:rsid w:val="00B20196"/>
    <w:rsid w:val="00B437CF"/>
    <w:rsid w:val="00B43B90"/>
    <w:rsid w:val="00C03C2A"/>
    <w:rsid w:val="00C2469A"/>
    <w:rsid w:val="00C76225"/>
    <w:rsid w:val="00C85E8B"/>
    <w:rsid w:val="00CB02ED"/>
    <w:rsid w:val="00CF4102"/>
    <w:rsid w:val="00D062A6"/>
    <w:rsid w:val="00D3417C"/>
    <w:rsid w:val="00DD2FEE"/>
    <w:rsid w:val="00DF635F"/>
    <w:rsid w:val="00E8088F"/>
    <w:rsid w:val="00EA0F2E"/>
    <w:rsid w:val="00ED1AC1"/>
    <w:rsid w:val="00F12D87"/>
    <w:rsid w:val="00F4029D"/>
    <w:rsid w:val="00F534B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32B2-6DAB-4CDF-87B7-B42BBE0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customStyle="1" w:styleId="standard">
    <w:name w:val="standard"/>
    <w:basedOn w:val="Normln"/>
    <w:rsid w:val="003D3838"/>
    <w:pPr>
      <w:suppressAutoHyphens/>
      <w:spacing w:before="60" w:line="288" w:lineRule="auto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DCC5-F8CD-474C-84DA-8252869FCD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AA54D-6BB6-41A1-B3B4-D7D5E0D9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2963</CharactersWithSpaces>
  <SharedDoc>false</SharedDoc>
  <HLinks>
    <vt:vector size="6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mailto:snytrova@mestojablonec.cz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3</cp:revision>
  <cp:lastPrinted>2018-03-21T14:15:00Z</cp:lastPrinted>
  <dcterms:created xsi:type="dcterms:W3CDTF">2018-04-25T13:13:00Z</dcterms:created>
  <dcterms:modified xsi:type="dcterms:W3CDTF">2018-04-25T13:14:00Z</dcterms:modified>
</cp:coreProperties>
</file>