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2A6" w:rsidRDefault="008079FC">
      <w:pPr>
        <w:widowControl w:val="0"/>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2"/>
          <w:szCs w:val="32"/>
        </w:rPr>
        <w:t>SMLOUVA O PROVEDENÍ UMĚLECKÉHO VÝKONU</w:t>
      </w:r>
    </w:p>
    <w:p w:rsidR="003852A6" w:rsidRDefault="003852A6">
      <w:pPr>
        <w:widowControl w:val="0"/>
        <w:spacing w:line="288" w:lineRule="auto"/>
        <w:jc w:val="center"/>
        <w:rPr>
          <w:rFonts w:ascii="Times New Roman" w:eastAsia="Times New Roman" w:hAnsi="Times New Roman" w:cs="Times New Roman"/>
          <w:sz w:val="24"/>
          <w:szCs w:val="24"/>
        </w:rPr>
      </w:pPr>
    </w:p>
    <w:p w:rsidR="003852A6" w:rsidRDefault="008079FC">
      <w:pPr>
        <w:widowControl w:val="0"/>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uzavřená podle zákona č. 121/2000 Sb., o právu autorském, o právech souvisejících s právem autorským a o změně některých zákonů (autorský zákon), v platném znění, a podle zákona č. 89/2012 Sb., občanský zákoník, v platném znění (dále jen „</w:t>
      </w:r>
      <w:r>
        <w:rPr>
          <w:rFonts w:ascii="Times New Roman" w:eastAsia="Times New Roman" w:hAnsi="Times New Roman" w:cs="Times New Roman"/>
          <w:b/>
          <w:sz w:val="24"/>
          <w:szCs w:val="24"/>
        </w:rPr>
        <w:t>Občanský zákoník</w:t>
      </w:r>
      <w:r>
        <w:rPr>
          <w:rFonts w:ascii="Times New Roman" w:eastAsia="Times New Roman" w:hAnsi="Times New Roman" w:cs="Times New Roman"/>
          <w:sz w:val="24"/>
          <w:szCs w:val="24"/>
        </w:rPr>
        <w:t>“), mezi stranami:</w:t>
      </w:r>
    </w:p>
    <w:p w:rsidR="003852A6" w:rsidRDefault="003852A6">
      <w:pPr>
        <w:widowControl w:val="0"/>
        <w:spacing w:line="288" w:lineRule="auto"/>
        <w:rPr>
          <w:rFonts w:ascii="Times New Roman" w:eastAsia="Times New Roman" w:hAnsi="Times New Roman" w:cs="Times New Roman"/>
          <w:sz w:val="24"/>
          <w:szCs w:val="24"/>
        </w:rPr>
      </w:pPr>
    </w:p>
    <w:p w:rsidR="003852A6" w:rsidRDefault="008079FC">
      <w:pPr>
        <w:widowControl w:val="0"/>
        <w:tabs>
          <w:tab w:val="left" w:pos="5387"/>
        </w:tabs>
        <w:spacing w:line="288" w:lineRule="auto"/>
        <w:ind w:left="1985"/>
        <w:rPr>
          <w:rFonts w:ascii="Times New Roman" w:eastAsia="Times New Roman" w:hAnsi="Times New Roman" w:cs="Times New Roman"/>
          <w:sz w:val="24"/>
          <w:szCs w:val="24"/>
        </w:rPr>
      </w:pPr>
      <w:r>
        <w:rPr>
          <w:rFonts w:ascii="Times New Roman" w:eastAsia="Times New Roman" w:hAnsi="Times New Roman" w:cs="Times New Roman"/>
          <w:b/>
          <w:sz w:val="24"/>
          <w:szCs w:val="24"/>
        </w:rPr>
        <w:t>Janáčkova filharmonie Ostrava, příspěvková organizace</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se sídlem: ul. 28. října 2556/124, Ostrava – Moravská Ostrava, PSČ 702 00</w:t>
      </w:r>
    </w:p>
    <w:p w:rsidR="003852A6" w:rsidRDefault="008079FC">
      <w:pPr>
        <w:widowControl w:val="0"/>
        <w:tabs>
          <w:tab w:val="left" w:pos="5387"/>
        </w:tabs>
        <w:spacing w:line="288" w:lineRule="auto"/>
        <w:ind w:left="1985"/>
        <w:rPr>
          <w:rFonts w:ascii="Times New Roman" w:eastAsia="Times New Roman" w:hAnsi="Times New Roman" w:cs="Times New Roman"/>
          <w:sz w:val="24"/>
          <w:szCs w:val="24"/>
        </w:rPr>
      </w:pPr>
      <w:r>
        <w:rPr>
          <w:rFonts w:ascii="Times New Roman" w:eastAsia="Times New Roman" w:hAnsi="Times New Roman" w:cs="Times New Roman"/>
          <w:sz w:val="24"/>
          <w:szCs w:val="24"/>
        </w:rPr>
        <w:t>IČ: 00373222, DIČ: CZ00373222</w:t>
      </w:r>
    </w:p>
    <w:p w:rsidR="003852A6" w:rsidRDefault="008079FC">
      <w:pPr>
        <w:widowControl w:val="0"/>
        <w:tabs>
          <w:tab w:val="left" w:pos="5387"/>
        </w:tabs>
        <w:spacing w:after="200" w:line="276" w:lineRule="auto"/>
        <w:ind w:left="1985"/>
        <w:rPr>
          <w:rFonts w:ascii="Times New Roman" w:eastAsia="Times New Roman" w:hAnsi="Times New Roman" w:cs="Times New Roman"/>
          <w:sz w:val="24"/>
          <w:szCs w:val="24"/>
        </w:rPr>
      </w:pPr>
      <w:r>
        <w:rPr>
          <w:rFonts w:ascii="Times New Roman" w:eastAsia="Times New Roman" w:hAnsi="Times New Roman" w:cs="Times New Roman"/>
          <w:sz w:val="24"/>
          <w:szCs w:val="24"/>
        </w:rPr>
        <w:t>jednající Mgr. Janem Žemlou, ředite</w:t>
      </w:r>
      <w:r w:rsidR="00B93225">
        <w:rPr>
          <w:rFonts w:ascii="Times New Roman" w:eastAsia="Times New Roman" w:hAnsi="Times New Roman" w:cs="Times New Roman"/>
          <w:sz w:val="24"/>
          <w:szCs w:val="24"/>
        </w:rPr>
        <w:t>lem</w:t>
      </w:r>
      <w:r w:rsidR="00B93225">
        <w:rPr>
          <w:rFonts w:ascii="Times New Roman" w:eastAsia="Times New Roman" w:hAnsi="Times New Roman" w:cs="Times New Roman"/>
          <w:sz w:val="24"/>
          <w:szCs w:val="24"/>
        </w:rPr>
        <w:br/>
        <w:t>kontakt: Ondřej Daněk, xxxxxx@xxx</w:t>
      </w:r>
      <w:r>
        <w:rPr>
          <w:rFonts w:ascii="Times New Roman" w:eastAsia="Times New Roman" w:hAnsi="Times New Roman" w:cs="Times New Roman"/>
          <w:sz w:val="24"/>
          <w:szCs w:val="24"/>
        </w:rPr>
        <w:t xml:space="preserve">.cz, </w:t>
      </w:r>
      <w:r w:rsidR="00B93225">
        <w:rPr>
          <w:rFonts w:ascii="Times New Roman" w:eastAsia="Times New Roman" w:hAnsi="Times New Roman" w:cs="Times New Roman"/>
          <w:sz w:val="24"/>
          <w:szCs w:val="24"/>
        </w:rPr>
        <w:t>xxx xxx xxx</w:t>
      </w:r>
      <w:r>
        <w:rPr>
          <w:rFonts w:ascii="Times New Roman" w:eastAsia="Times New Roman" w:hAnsi="Times New Roman" w:cs="Times New Roman"/>
          <w:sz w:val="24"/>
          <w:szCs w:val="24"/>
        </w:rPr>
        <w:br/>
        <w:t>(dále jen „</w:t>
      </w:r>
      <w:r>
        <w:rPr>
          <w:rFonts w:ascii="Times New Roman" w:eastAsia="Times New Roman" w:hAnsi="Times New Roman" w:cs="Times New Roman"/>
          <w:b/>
          <w:sz w:val="24"/>
          <w:szCs w:val="24"/>
        </w:rPr>
        <w:t>Pořadatel</w:t>
      </w:r>
      <w:r>
        <w:rPr>
          <w:rFonts w:ascii="Times New Roman" w:eastAsia="Times New Roman" w:hAnsi="Times New Roman" w:cs="Times New Roman"/>
          <w:sz w:val="24"/>
          <w:szCs w:val="24"/>
        </w:rPr>
        <w:t>“)</w:t>
      </w:r>
    </w:p>
    <w:p w:rsidR="003852A6" w:rsidRDefault="008079FC">
      <w:pPr>
        <w:widowControl w:val="0"/>
        <w:spacing w:after="200" w:line="276" w:lineRule="auto"/>
        <w:ind w:left="1985"/>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rsidR="00CB7F58" w:rsidRDefault="00CB7F58" w:rsidP="009C708E">
      <w:pPr>
        <w:widowControl w:val="0"/>
        <w:spacing w:after="200" w:line="276" w:lineRule="auto"/>
        <w:ind w:left="1985"/>
        <w:rPr>
          <w:rFonts w:ascii="Times New Roman" w:eastAsia="Times New Roman" w:hAnsi="Times New Roman" w:cs="Times New Roman"/>
          <w:sz w:val="24"/>
          <w:szCs w:val="24"/>
        </w:rPr>
      </w:pPr>
      <w:r w:rsidRPr="00CB7F58">
        <w:rPr>
          <w:rFonts w:ascii="Times New Roman" w:eastAsia="Times New Roman" w:hAnsi="Times New Roman" w:cs="Times New Roman"/>
          <w:sz w:val="24"/>
          <w:szCs w:val="24"/>
        </w:rPr>
        <w:t>Český f</w:t>
      </w:r>
      <w:r w:rsidR="009C708E">
        <w:rPr>
          <w:rFonts w:ascii="Times New Roman" w:eastAsia="Times New Roman" w:hAnsi="Times New Roman" w:cs="Times New Roman"/>
          <w:sz w:val="24"/>
          <w:szCs w:val="24"/>
        </w:rPr>
        <w:t xml:space="preserve">ilharmonický sbor Brno, o.p.s. </w:t>
      </w:r>
      <w:r w:rsidR="009C708E">
        <w:rPr>
          <w:rFonts w:ascii="Times New Roman" w:eastAsia="Times New Roman" w:hAnsi="Times New Roman" w:cs="Times New Roman"/>
          <w:sz w:val="24"/>
          <w:szCs w:val="24"/>
        </w:rPr>
        <w:br/>
      </w:r>
      <w:r w:rsidRPr="00CB7F58">
        <w:rPr>
          <w:rFonts w:ascii="Times New Roman" w:eastAsia="Times New Roman" w:hAnsi="Times New Roman" w:cs="Times New Roman"/>
          <w:sz w:val="24"/>
          <w:szCs w:val="24"/>
        </w:rPr>
        <w:t>Výstaviš</w:t>
      </w:r>
      <w:r w:rsidR="001378F2">
        <w:rPr>
          <w:rFonts w:ascii="Times New Roman" w:eastAsia="Times New Roman" w:hAnsi="Times New Roman" w:cs="Times New Roman"/>
          <w:sz w:val="24"/>
          <w:szCs w:val="24"/>
        </w:rPr>
        <w:t xml:space="preserve">tě 1 (pavilon Brno), PO BOX 15 </w:t>
      </w:r>
      <w:r w:rsidR="001378F2">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647 00  Brno IČO: </w:t>
      </w:r>
      <w:bookmarkStart w:id="0" w:name="_GoBack"/>
      <w:r>
        <w:rPr>
          <w:rFonts w:ascii="Times New Roman" w:eastAsia="Times New Roman" w:hAnsi="Times New Roman" w:cs="Times New Roman"/>
          <w:sz w:val="24"/>
          <w:szCs w:val="24"/>
        </w:rPr>
        <w:t>253 189 26</w:t>
      </w:r>
      <w:bookmarkEnd w:id="0"/>
      <w:r>
        <w:rPr>
          <w:rFonts w:ascii="Times New Roman" w:eastAsia="Times New Roman" w:hAnsi="Times New Roman" w:cs="Times New Roman"/>
          <w:sz w:val="24"/>
          <w:szCs w:val="24"/>
        </w:rPr>
        <w:br/>
        <w:t xml:space="preserve">e-mail: </w:t>
      </w:r>
      <w:hyperlink r:id="rId7" w:history="1">
        <w:r w:rsidR="00B93225">
          <w:rPr>
            <w:rStyle w:val="Hypertextovodkaz"/>
            <w:rFonts w:ascii="Times New Roman" w:eastAsia="Times New Roman" w:hAnsi="Times New Roman" w:cs="Times New Roman"/>
            <w:sz w:val="24"/>
            <w:szCs w:val="24"/>
          </w:rPr>
          <w:t>xxxxxxxxxxxxx</w:t>
        </w:r>
      </w:hyperlink>
      <w:r>
        <w:rPr>
          <w:rFonts w:ascii="Times New Roman" w:eastAsia="Times New Roman" w:hAnsi="Times New Roman" w:cs="Times New Roman"/>
          <w:sz w:val="24"/>
          <w:szCs w:val="24"/>
        </w:rPr>
        <w:br/>
        <w:t xml:space="preserve">hudební ředitel a sbormistr – </w:t>
      </w:r>
      <w:r w:rsidR="001378F2">
        <w:rPr>
          <w:rFonts w:ascii="Times New Roman" w:eastAsia="Times New Roman" w:hAnsi="Times New Roman" w:cs="Times New Roman"/>
          <w:sz w:val="24"/>
          <w:szCs w:val="24"/>
        </w:rPr>
        <w:t>Petr Fiala</w:t>
      </w:r>
      <w:r w:rsidR="001378F2">
        <w:rPr>
          <w:rFonts w:ascii="Times New Roman" w:eastAsia="Times New Roman" w:hAnsi="Times New Roman" w:cs="Times New Roman"/>
          <w:sz w:val="24"/>
          <w:szCs w:val="24"/>
        </w:rPr>
        <w:br/>
        <w:t xml:space="preserve">e-mail: </w:t>
      </w:r>
      <w:r w:rsidR="00B93225">
        <w:rPr>
          <w:rFonts w:ascii="Times New Roman" w:eastAsia="Times New Roman" w:hAnsi="Times New Roman" w:cs="Times New Roman"/>
          <w:sz w:val="24"/>
          <w:szCs w:val="24"/>
        </w:rPr>
        <w:t>xxxxxxxxxxxxxx</w:t>
      </w:r>
      <w:r w:rsidR="001378F2">
        <w:rPr>
          <w:rFonts w:ascii="Times New Roman" w:eastAsia="Times New Roman" w:hAnsi="Times New Roman" w:cs="Times New Roman"/>
          <w:sz w:val="24"/>
          <w:szCs w:val="24"/>
        </w:rPr>
        <w:t xml:space="preserve"> </w:t>
      </w:r>
      <w:r w:rsidR="001378F2">
        <w:rPr>
          <w:rFonts w:ascii="Times New Roman" w:eastAsia="Times New Roman" w:hAnsi="Times New Roman" w:cs="Times New Roman"/>
          <w:sz w:val="24"/>
          <w:szCs w:val="24"/>
        </w:rPr>
        <w:br/>
      </w:r>
      <w:r w:rsidRPr="00CB7F58">
        <w:rPr>
          <w:rFonts w:ascii="Times New Roman" w:eastAsia="Times New Roman" w:hAnsi="Times New Roman" w:cs="Times New Roman"/>
          <w:sz w:val="24"/>
          <w:szCs w:val="24"/>
        </w:rPr>
        <w:t xml:space="preserve">telefon: </w:t>
      </w:r>
      <w:r w:rsidR="00B93225">
        <w:rPr>
          <w:rFonts w:ascii="Times New Roman" w:eastAsia="Times New Roman" w:hAnsi="Times New Roman" w:cs="Times New Roman"/>
          <w:sz w:val="24"/>
          <w:szCs w:val="24"/>
        </w:rPr>
        <w:t>xxxxxxxxxxxxx</w:t>
      </w:r>
    </w:p>
    <w:p w:rsidR="003852A6" w:rsidRDefault="00CB7F58">
      <w:pPr>
        <w:widowControl w:val="0"/>
        <w:spacing w:after="200" w:line="276" w:lineRule="auto"/>
        <w:ind w:left="19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079FC">
        <w:rPr>
          <w:rFonts w:ascii="Times New Roman" w:eastAsia="Times New Roman" w:hAnsi="Times New Roman" w:cs="Times New Roman"/>
          <w:sz w:val="24"/>
          <w:szCs w:val="24"/>
        </w:rPr>
        <w:t>(dále jen „</w:t>
      </w:r>
      <w:r w:rsidR="008079FC">
        <w:rPr>
          <w:rFonts w:ascii="Times New Roman" w:eastAsia="Times New Roman" w:hAnsi="Times New Roman" w:cs="Times New Roman"/>
          <w:b/>
          <w:sz w:val="24"/>
          <w:szCs w:val="24"/>
        </w:rPr>
        <w:t>Účinkující</w:t>
      </w:r>
      <w:r w:rsidR="008079FC">
        <w:rPr>
          <w:rFonts w:ascii="Times New Roman" w:eastAsia="Times New Roman" w:hAnsi="Times New Roman" w:cs="Times New Roman"/>
          <w:sz w:val="24"/>
          <w:szCs w:val="24"/>
        </w:rPr>
        <w:t>“)</w:t>
      </w:r>
    </w:p>
    <w:p w:rsidR="003852A6" w:rsidRDefault="003852A6">
      <w:pPr>
        <w:widowControl w:val="0"/>
        <w:spacing w:line="288" w:lineRule="auto"/>
        <w:rPr>
          <w:rFonts w:ascii="Times New Roman" w:eastAsia="Times New Roman" w:hAnsi="Times New Roman" w:cs="Times New Roman"/>
          <w:sz w:val="24"/>
          <w:szCs w:val="24"/>
        </w:rPr>
      </w:pPr>
    </w:p>
    <w:p w:rsidR="003852A6" w:rsidRDefault="008079FC">
      <w:pPr>
        <w:widowControl w:val="0"/>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(Pořadatel a Účinkující dále společně také jako „</w:t>
      </w:r>
      <w:r>
        <w:rPr>
          <w:rFonts w:ascii="Times New Roman" w:eastAsia="Times New Roman" w:hAnsi="Times New Roman" w:cs="Times New Roman"/>
          <w:b/>
          <w:sz w:val="24"/>
          <w:szCs w:val="24"/>
        </w:rPr>
        <w:t>Smluvní strany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tato Smlouva o provedení uměleckého výkonu dále také jako „</w:t>
      </w:r>
      <w:r>
        <w:rPr>
          <w:rFonts w:ascii="Times New Roman" w:eastAsia="Times New Roman" w:hAnsi="Times New Roman" w:cs="Times New Roman"/>
          <w:b/>
          <w:sz w:val="24"/>
          <w:szCs w:val="24"/>
        </w:rPr>
        <w:t>Smlouva</w:t>
      </w:r>
      <w:r>
        <w:rPr>
          <w:rFonts w:ascii="Times New Roman" w:eastAsia="Times New Roman" w:hAnsi="Times New Roman" w:cs="Times New Roman"/>
          <w:sz w:val="24"/>
          <w:szCs w:val="24"/>
        </w:rPr>
        <w:t>“)</w:t>
      </w:r>
    </w:p>
    <w:p w:rsidR="003852A6" w:rsidRDefault="003852A6">
      <w:pPr>
        <w:widowControl w:val="0"/>
        <w:spacing w:line="288" w:lineRule="auto"/>
        <w:jc w:val="center"/>
        <w:rPr>
          <w:rFonts w:ascii="Times New Roman" w:eastAsia="Times New Roman" w:hAnsi="Times New Roman" w:cs="Times New Roman"/>
          <w:sz w:val="24"/>
          <w:szCs w:val="24"/>
        </w:rPr>
      </w:pPr>
    </w:p>
    <w:p w:rsidR="003852A6" w:rsidRDefault="008079FC">
      <w:pPr>
        <w:widowControl w:val="0"/>
        <w:spacing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 </w:t>
      </w:r>
      <w:r>
        <w:rPr>
          <w:rFonts w:ascii="Times New Roman" w:eastAsia="Times New Roman" w:hAnsi="Times New Roman" w:cs="Times New Roman"/>
          <w:b/>
          <w:sz w:val="24"/>
          <w:szCs w:val="24"/>
        </w:rPr>
        <w:tab/>
        <w:t>Předmět smlouvy</w:t>
      </w:r>
    </w:p>
    <w:p w:rsidR="003852A6" w:rsidRDefault="003852A6">
      <w:pPr>
        <w:widowControl w:val="0"/>
        <w:spacing w:line="288" w:lineRule="auto"/>
        <w:ind w:left="568" w:hanging="568"/>
        <w:rPr>
          <w:rFonts w:ascii="Times New Roman" w:eastAsia="Times New Roman" w:hAnsi="Times New Roman" w:cs="Times New Roman"/>
          <w:sz w:val="24"/>
          <w:szCs w:val="24"/>
        </w:rPr>
      </w:pPr>
    </w:p>
    <w:p w:rsidR="003852A6" w:rsidRDefault="008079FC">
      <w:pPr>
        <w:widowControl w:val="0"/>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Předmětem této Smlouvy je provedení Uměleckého výkonu (jak je tento definován níže) Účinkujícího na produkci pořádané Pořadatelem, případně třetí osobou vázanou smluvním vztahem s Pořadatelem, za podmínek specifikovaných níže v čl. II. této Smlouvy (dále jen </w:t>
      </w:r>
      <w:r>
        <w:rPr>
          <w:rFonts w:ascii="Times New Roman" w:eastAsia="Times New Roman" w:hAnsi="Times New Roman" w:cs="Times New Roman"/>
          <w:sz w:val="24"/>
          <w:szCs w:val="24"/>
        </w:rPr>
        <w:lastRenderedPageBreak/>
        <w:t>„</w:t>
      </w:r>
      <w:r>
        <w:rPr>
          <w:rFonts w:ascii="Times New Roman" w:eastAsia="Times New Roman" w:hAnsi="Times New Roman" w:cs="Times New Roman"/>
          <w:b/>
          <w:sz w:val="24"/>
          <w:szCs w:val="24"/>
        </w:rPr>
        <w:t>Produkce</w:t>
      </w:r>
      <w:r>
        <w:rPr>
          <w:rFonts w:ascii="Times New Roman" w:eastAsia="Times New Roman" w:hAnsi="Times New Roman" w:cs="Times New Roman"/>
          <w:sz w:val="24"/>
          <w:szCs w:val="24"/>
        </w:rPr>
        <w:t xml:space="preserve">“). </w:t>
      </w:r>
    </w:p>
    <w:p w:rsidR="003852A6" w:rsidRDefault="003852A6">
      <w:pPr>
        <w:widowControl w:val="0"/>
        <w:spacing w:line="288" w:lineRule="auto"/>
        <w:ind w:left="568" w:hanging="568"/>
        <w:jc w:val="both"/>
        <w:rPr>
          <w:rFonts w:ascii="Times New Roman" w:eastAsia="Times New Roman" w:hAnsi="Times New Roman" w:cs="Times New Roman"/>
          <w:sz w:val="24"/>
          <w:szCs w:val="24"/>
        </w:rPr>
      </w:pPr>
    </w:p>
    <w:p w:rsidR="003852A6" w:rsidRDefault="003852A6">
      <w:pPr>
        <w:widowControl w:val="0"/>
        <w:spacing w:line="288" w:lineRule="auto"/>
        <w:ind w:left="568" w:hanging="568"/>
        <w:jc w:val="both"/>
        <w:rPr>
          <w:rFonts w:ascii="Times New Roman" w:eastAsia="Times New Roman" w:hAnsi="Times New Roman" w:cs="Times New Roman"/>
          <w:sz w:val="24"/>
          <w:szCs w:val="24"/>
        </w:rPr>
      </w:pPr>
    </w:p>
    <w:p w:rsidR="003852A6" w:rsidRDefault="008079FC">
      <w:pPr>
        <w:widowControl w:val="0"/>
        <w:spacing w:line="288" w:lineRule="auto"/>
        <w:ind w:left="568" w:hanging="56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w:t>
      </w:r>
      <w:r>
        <w:rPr>
          <w:rFonts w:ascii="Times New Roman" w:eastAsia="Times New Roman" w:hAnsi="Times New Roman" w:cs="Times New Roman"/>
          <w:b/>
          <w:sz w:val="24"/>
          <w:szCs w:val="24"/>
        </w:rPr>
        <w:tab/>
        <w:t>Obecná ustanovení</w:t>
      </w:r>
    </w:p>
    <w:p w:rsidR="003852A6" w:rsidRDefault="003852A6">
      <w:pPr>
        <w:widowControl w:val="0"/>
        <w:spacing w:line="288" w:lineRule="auto"/>
        <w:ind w:left="568" w:hanging="568"/>
        <w:rPr>
          <w:rFonts w:ascii="Times New Roman" w:eastAsia="Times New Roman" w:hAnsi="Times New Roman" w:cs="Times New Roman"/>
          <w:sz w:val="24"/>
          <w:szCs w:val="24"/>
        </w:rPr>
      </w:pPr>
    </w:p>
    <w:p w:rsidR="003852A6" w:rsidRDefault="008079FC">
      <w:pPr>
        <w:widowControl w:val="0"/>
        <w:numPr>
          <w:ilvl w:val="0"/>
          <w:numId w:val="2"/>
        </w:numPr>
        <w:spacing w:line="288" w:lineRule="auto"/>
        <w:ind w:left="568" w:hanging="568"/>
        <w:rPr>
          <w:sz w:val="24"/>
          <w:szCs w:val="24"/>
        </w:rPr>
      </w:pPr>
      <w:r>
        <w:rPr>
          <w:rFonts w:ascii="Times New Roman" w:eastAsia="Times New Roman" w:hAnsi="Times New Roman" w:cs="Times New Roman"/>
          <w:sz w:val="24"/>
          <w:szCs w:val="24"/>
        </w:rPr>
        <w:t xml:space="preserve">Pořadatel angažuje Účinkujícího na Produkci (zmíněné výše v čl. I. této Smlouvy) konané </w:t>
      </w:r>
      <w:r w:rsidRPr="00CB7F58">
        <w:rPr>
          <w:rFonts w:ascii="Times New Roman" w:eastAsia="Times New Roman" w:hAnsi="Times New Roman" w:cs="Times New Roman"/>
          <w:sz w:val="24"/>
          <w:szCs w:val="24"/>
        </w:rPr>
        <w:t xml:space="preserve">dne </w:t>
      </w:r>
      <w:r w:rsidR="00CB7F58" w:rsidRPr="00CB7F58">
        <w:rPr>
          <w:rFonts w:ascii="Times New Roman" w:eastAsia="Times New Roman" w:hAnsi="Times New Roman" w:cs="Times New Roman"/>
          <w:sz w:val="24"/>
          <w:szCs w:val="24"/>
        </w:rPr>
        <w:t xml:space="preserve">26.4. </w:t>
      </w:r>
      <w:r w:rsidRPr="00CB7F58">
        <w:rPr>
          <w:rFonts w:ascii="Times New Roman" w:eastAsia="Times New Roman" w:hAnsi="Times New Roman" w:cs="Times New Roman"/>
          <w:sz w:val="24"/>
          <w:szCs w:val="24"/>
        </w:rPr>
        <w:t>v</w:t>
      </w:r>
      <w:r w:rsidR="00CB7F58" w:rsidRPr="00CB7F58">
        <w:rPr>
          <w:rFonts w:ascii="Times New Roman" w:eastAsia="Times New Roman" w:hAnsi="Times New Roman" w:cs="Times New Roman"/>
          <w:sz w:val="24"/>
          <w:szCs w:val="24"/>
        </w:rPr>
        <w:t> 19:00</w:t>
      </w:r>
      <w:r w:rsidRPr="00CB7F58">
        <w:rPr>
          <w:rFonts w:ascii="Times New Roman" w:eastAsia="Times New Roman" w:hAnsi="Times New Roman" w:cs="Times New Roman"/>
          <w:sz w:val="24"/>
          <w:szCs w:val="24"/>
        </w:rPr>
        <w:t xml:space="preserve"> v</w:t>
      </w:r>
      <w:r w:rsidR="00CB7F58">
        <w:rPr>
          <w:rFonts w:ascii="Times New Roman" w:eastAsia="Times New Roman" w:hAnsi="Times New Roman" w:cs="Times New Roman"/>
          <w:sz w:val="24"/>
          <w:szCs w:val="24"/>
        </w:rPr>
        <w:t> DKMO Ostrava</w:t>
      </w:r>
      <w:r>
        <w:rPr>
          <w:rFonts w:ascii="Times New Roman" w:eastAsia="Times New Roman" w:hAnsi="Times New Roman" w:cs="Times New Roman"/>
          <w:sz w:val="24"/>
          <w:szCs w:val="24"/>
        </w:rPr>
        <w:t xml:space="preserve"> podle následujícího harmonogramu a programu: </w:t>
      </w:r>
    </w:p>
    <w:p w:rsidR="003852A6" w:rsidRPr="00CB7F58" w:rsidRDefault="00CB7F58">
      <w:pPr>
        <w:widowControl w:val="0"/>
        <w:numPr>
          <w:ilvl w:val="0"/>
          <w:numId w:val="4"/>
        </w:numPr>
        <w:spacing w:line="288" w:lineRule="auto"/>
        <w:ind w:left="1136" w:hanging="568"/>
        <w:rPr>
          <w:sz w:val="24"/>
          <w:szCs w:val="24"/>
        </w:rPr>
      </w:pPr>
      <w:r>
        <w:rPr>
          <w:rFonts w:ascii="Times New Roman" w:eastAsia="Times New Roman" w:hAnsi="Times New Roman" w:cs="Times New Roman"/>
          <w:sz w:val="24"/>
          <w:szCs w:val="24"/>
        </w:rPr>
        <w:t>H</w:t>
      </w:r>
      <w:r w:rsidR="008079FC">
        <w:rPr>
          <w:rFonts w:ascii="Times New Roman" w:eastAsia="Times New Roman" w:hAnsi="Times New Roman" w:cs="Times New Roman"/>
          <w:sz w:val="24"/>
          <w:szCs w:val="24"/>
        </w:rPr>
        <w:t xml:space="preserve">armonogram: </w:t>
      </w:r>
    </w:p>
    <w:p w:rsidR="00CB7F58" w:rsidRDefault="00CB7F58" w:rsidP="00CB7F58">
      <w:pPr>
        <w:widowControl w:val="0"/>
        <w:spacing w:line="288" w:lineRule="auto"/>
        <w:ind w:left="1136"/>
        <w:rPr>
          <w:sz w:val="24"/>
          <w:szCs w:val="24"/>
        </w:rPr>
      </w:pPr>
      <w:r>
        <w:rPr>
          <w:rFonts w:ascii="Times New Roman" w:eastAsia="Times New Roman" w:hAnsi="Times New Roman" w:cs="Times New Roman"/>
          <w:sz w:val="24"/>
          <w:szCs w:val="24"/>
        </w:rPr>
        <w:t>Generální zkouška 26.4. od 15:30 do 18:00</w:t>
      </w:r>
      <w:r>
        <w:rPr>
          <w:rFonts w:ascii="Times New Roman" w:eastAsia="Times New Roman" w:hAnsi="Times New Roman" w:cs="Times New Roman"/>
          <w:sz w:val="24"/>
          <w:szCs w:val="24"/>
        </w:rPr>
        <w:br/>
        <w:t>koncert 19:00</w:t>
      </w:r>
    </w:p>
    <w:p w:rsidR="003852A6" w:rsidRPr="00CB7F58" w:rsidRDefault="008079FC">
      <w:pPr>
        <w:widowControl w:val="0"/>
        <w:numPr>
          <w:ilvl w:val="0"/>
          <w:numId w:val="4"/>
        </w:numPr>
        <w:spacing w:line="288" w:lineRule="auto"/>
        <w:ind w:left="1136" w:hanging="568"/>
        <w:rPr>
          <w:sz w:val="24"/>
          <w:szCs w:val="24"/>
        </w:rPr>
      </w:pPr>
      <w:r>
        <w:rPr>
          <w:rFonts w:ascii="Times New Roman" w:eastAsia="Times New Roman" w:hAnsi="Times New Roman" w:cs="Times New Roman"/>
          <w:sz w:val="24"/>
          <w:szCs w:val="24"/>
        </w:rPr>
        <w:t xml:space="preserve">program: </w:t>
      </w:r>
    </w:p>
    <w:p w:rsidR="00CB7F58" w:rsidRDefault="00CB7F58" w:rsidP="00CB7F58">
      <w:pPr>
        <w:widowControl w:val="0"/>
        <w:spacing w:line="288" w:lineRule="auto"/>
        <w:ind w:left="1136"/>
        <w:rPr>
          <w:sz w:val="24"/>
          <w:szCs w:val="24"/>
        </w:rPr>
      </w:pPr>
      <w:r w:rsidRPr="00CB7F58">
        <w:rPr>
          <w:sz w:val="24"/>
          <w:szCs w:val="24"/>
        </w:rPr>
        <w:t>Popis:</w:t>
      </w:r>
      <w:r>
        <w:rPr>
          <w:sz w:val="24"/>
          <w:szCs w:val="24"/>
        </w:rPr>
        <w:t xml:space="preserve"> </w:t>
      </w:r>
      <w:r w:rsidRPr="00CB7F58">
        <w:rPr>
          <w:sz w:val="24"/>
          <w:szCs w:val="24"/>
        </w:rPr>
        <w:t>Joseph Haydn: Stvoření, oratorium pro sóla, smíšený sbor a orchestr /110'</w:t>
      </w:r>
    </w:p>
    <w:p w:rsidR="003852A6" w:rsidRPr="00CB7F58" w:rsidRDefault="008079FC">
      <w:pPr>
        <w:widowControl w:val="0"/>
        <w:numPr>
          <w:ilvl w:val="0"/>
          <w:numId w:val="4"/>
        </w:numPr>
        <w:spacing w:line="288" w:lineRule="auto"/>
        <w:ind w:left="1136" w:hanging="568"/>
        <w:rPr>
          <w:sz w:val="24"/>
          <w:szCs w:val="24"/>
        </w:rPr>
      </w:pPr>
      <w:r>
        <w:rPr>
          <w:rFonts w:ascii="Times New Roman" w:eastAsia="Times New Roman" w:hAnsi="Times New Roman" w:cs="Times New Roman"/>
          <w:sz w:val="24"/>
          <w:szCs w:val="24"/>
        </w:rPr>
        <w:t xml:space="preserve">účinkující: </w:t>
      </w:r>
    </w:p>
    <w:p w:rsidR="00CB7F58" w:rsidRPr="00CB7F58" w:rsidRDefault="00CB7F58" w:rsidP="00CB7F58">
      <w:pPr>
        <w:widowControl w:val="0"/>
        <w:spacing w:line="288" w:lineRule="auto"/>
        <w:ind w:left="1136"/>
        <w:rPr>
          <w:sz w:val="24"/>
          <w:szCs w:val="24"/>
        </w:rPr>
      </w:pPr>
      <w:r>
        <w:rPr>
          <w:rFonts w:ascii="Times New Roman" w:eastAsia="Times New Roman" w:hAnsi="Times New Roman" w:cs="Times New Roman"/>
          <w:sz w:val="24"/>
          <w:szCs w:val="24"/>
        </w:rPr>
        <w:t>JFO</w:t>
      </w:r>
      <w:r>
        <w:rPr>
          <w:rFonts w:ascii="Times New Roman" w:eastAsia="Times New Roman" w:hAnsi="Times New Roman" w:cs="Times New Roman"/>
          <w:sz w:val="24"/>
          <w:szCs w:val="24"/>
        </w:rPr>
        <w:br/>
      </w:r>
      <w:r w:rsidRPr="00CB7F58">
        <w:rPr>
          <w:sz w:val="24"/>
          <w:szCs w:val="24"/>
        </w:rPr>
        <w:t>Nicola Proksch – soprán</w:t>
      </w:r>
    </w:p>
    <w:p w:rsidR="00CB7F58" w:rsidRPr="00CB7F58" w:rsidRDefault="00CB7F58" w:rsidP="00CB7F58">
      <w:pPr>
        <w:widowControl w:val="0"/>
        <w:spacing w:line="288" w:lineRule="auto"/>
        <w:ind w:left="1136"/>
        <w:rPr>
          <w:sz w:val="24"/>
          <w:szCs w:val="24"/>
        </w:rPr>
      </w:pPr>
      <w:r w:rsidRPr="00CB7F58">
        <w:rPr>
          <w:sz w:val="24"/>
          <w:szCs w:val="24"/>
        </w:rPr>
        <w:t>Jaroslav Březina – tenor</w:t>
      </w:r>
    </w:p>
    <w:p w:rsidR="00CB7F58" w:rsidRPr="00CB7F58" w:rsidRDefault="00CB7F58" w:rsidP="00CB7F58">
      <w:pPr>
        <w:widowControl w:val="0"/>
        <w:spacing w:line="288" w:lineRule="auto"/>
        <w:ind w:left="1136"/>
        <w:rPr>
          <w:sz w:val="24"/>
          <w:szCs w:val="24"/>
        </w:rPr>
      </w:pPr>
      <w:r w:rsidRPr="00CB7F58">
        <w:rPr>
          <w:sz w:val="24"/>
          <w:szCs w:val="24"/>
        </w:rPr>
        <w:t>Bernhard Hansky – bas</w:t>
      </w:r>
    </w:p>
    <w:p w:rsidR="00CB7F58" w:rsidRPr="00CB7F58" w:rsidRDefault="00CB7F58" w:rsidP="00CB7F58">
      <w:pPr>
        <w:widowControl w:val="0"/>
        <w:spacing w:line="288" w:lineRule="auto"/>
        <w:ind w:left="1136"/>
        <w:rPr>
          <w:sz w:val="24"/>
          <w:szCs w:val="24"/>
        </w:rPr>
      </w:pPr>
      <w:r w:rsidRPr="00CB7F58">
        <w:rPr>
          <w:sz w:val="24"/>
          <w:szCs w:val="24"/>
        </w:rPr>
        <w:t>Český filharmonický sbor Brno</w:t>
      </w:r>
    </w:p>
    <w:p w:rsidR="00CB7F58" w:rsidRPr="00CB7F58" w:rsidRDefault="00CB7F58" w:rsidP="00CB7F58">
      <w:pPr>
        <w:widowControl w:val="0"/>
        <w:spacing w:line="288" w:lineRule="auto"/>
        <w:ind w:left="1136"/>
        <w:rPr>
          <w:sz w:val="24"/>
          <w:szCs w:val="24"/>
        </w:rPr>
      </w:pPr>
      <w:r w:rsidRPr="00CB7F58">
        <w:rPr>
          <w:sz w:val="24"/>
          <w:szCs w:val="24"/>
        </w:rPr>
        <w:t>Petr Fiala – sbormistr</w:t>
      </w:r>
    </w:p>
    <w:p w:rsidR="00CB7F58" w:rsidRDefault="00CB7F58" w:rsidP="00CB7F58">
      <w:pPr>
        <w:widowControl w:val="0"/>
        <w:spacing w:line="288" w:lineRule="auto"/>
        <w:ind w:left="1136"/>
        <w:rPr>
          <w:sz w:val="24"/>
          <w:szCs w:val="24"/>
        </w:rPr>
      </w:pPr>
      <w:r w:rsidRPr="00CB7F58">
        <w:rPr>
          <w:sz w:val="24"/>
          <w:szCs w:val="24"/>
        </w:rPr>
        <w:t>Václav Luks – dirigent</w:t>
      </w:r>
    </w:p>
    <w:p w:rsidR="003852A6" w:rsidRDefault="008079FC">
      <w:pPr>
        <w:widowControl w:val="0"/>
        <w:spacing w:line="288" w:lineRule="auto"/>
        <w:ind w:left="568"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852A6" w:rsidRDefault="008079FC">
      <w:pPr>
        <w:widowControl w:val="0"/>
        <w:spacing w:line="288" w:lineRule="auto"/>
        <w:ind w:left="568"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Umělecký výkon Účinkujícího spočívá v</w:t>
      </w:r>
    </w:p>
    <w:p w:rsidR="003852A6" w:rsidRDefault="008079FC" w:rsidP="00CB7F58">
      <w:pPr>
        <w:widowControl w:val="0"/>
        <w:spacing w:line="288" w:lineRule="auto"/>
        <w:ind w:left="568"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852A6" w:rsidRDefault="008079FC">
      <w:pPr>
        <w:widowControl w:val="0"/>
        <w:spacing w:line="288" w:lineRule="auto"/>
        <w:ind w:left="568"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sólovém či kolektivním přednesu skladby určené v programu </w:t>
      </w:r>
    </w:p>
    <w:p w:rsidR="003852A6" w:rsidRDefault="008079FC">
      <w:pPr>
        <w:widowControl w:val="0"/>
        <w:spacing w:line="288" w:lineRule="auto"/>
        <w:ind w:left="568" w:hanging="568"/>
        <w:rPr>
          <w:rFonts w:ascii="Times New Roman" w:eastAsia="Times New Roman" w:hAnsi="Times New Roman" w:cs="Times New Roman"/>
          <w:sz w:val="24"/>
          <w:szCs w:val="24"/>
        </w:rPr>
      </w:pPr>
      <w:r>
        <w:rPr>
          <w:rFonts w:ascii="Times New Roman" w:eastAsia="Times New Roman" w:hAnsi="Times New Roman" w:cs="Times New Roman"/>
          <w:sz w:val="24"/>
          <w:szCs w:val="24"/>
        </w:rPr>
        <w:tab/>
        <w:t>(dále jen „</w:t>
      </w:r>
      <w:r>
        <w:rPr>
          <w:rFonts w:ascii="Times New Roman" w:eastAsia="Times New Roman" w:hAnsi="Times New Roman" w:cs="Times New Roman"/>
          <w:b/>
          <w:sz w:val="24"/>
          <w:szCs w:val="24"/>
        </w:rPr>
        <w:t>Umělecký výkon</w:t>
      </w:r>
      <w:r>
        <w:rPr>
          <w:rFonts w:ascii="Times New Roman" w:eastAsia="Times New Roman" w:hAnsi="Times New Roman" w:cs="Times New Roman"/>
          <w:sz w:val="24"/>
          <w:szCs w:val="24"/>
        </w:rPr>
        <w:t>“).</w:t>
      </w:r>
    </w:p>
    <w:p w:rsidR="003852A6" w:rsidRDefault="003852A6">
      <w:pPr>
        <w:widowControl w:val="0"/>
        <w:spacing w:line="288" w:lineRule="auto"/>
        <w:ind w:left="568" w:hanging="568"/>
        <w:rPr>
          <w:rFonts w:ascii="Times New Roman" w:eastAsia="Times New Roman" w:hAnsi="Times New Roman" w:cs="Times New Roman"/>
          <w:sz w:val="24"/>
          <w:szCs w:val="24"/>
        </w:rPr>
      </w:pPr>
    </w:p>
    <w:p w:rsidR="003852A6" w:rsidRDefault="003852A6">
      <w:pPr>
        <w:widowControl w:val="0"/>
        <w:spacing w:line="288" w:lineRule="auto"/>
        <w:ind w:left="568" w:hanging="568"/>
        <w:rPr>
          <w:rFonts w:ascii="Times New Roman" w:eastAsia="Times New Roman" w:hAnsi="Times New Roman" w:cs="Times New Roman"/>
          <w:sz w:val="24"/>
          <w:szCs w:val="24"/>
        </w:rPr>
      </w:pPr>
    </w:p>
    <w:p w:rsidR="003852A6" w:rsidRDefault="008079FC">
      <w:pPr>
        <w:widowControl w:val="0"/>
        <w:spacing w:line="288" w:lineRule="auto"/>
        <w:ind w:left="568" w:hanging="56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III.</w:t>
      </w:r>
      <w:r>
        <w:rPr>
          <w:rFonts w:ascii="Times New Roman" w:eastAsia="Times New Roman" w:hAnsi="Times New Roman" w:cs="Times New Roman"/>
          <w:b/>
          <w:sz w:val="24"/>
          <w:szCs w:val="24"/>
        </w:rPr>
        <w:tab/>
        <w:t>Práva a povinnosti Smluvních stran</w:t>
      </w:r>
    </w:p>
    <w:p w:rsidR="003852A6" w:rsidRDefault="003852A6">
      <w:pPr>
        <w:widowControl w:val="0"/>
        <w:spacing w:line="288" w:lineRule="auto"/>
        <w:ind w:left="568" w:hanging="568"/>
        <w:jc w:val="both"/>
        <w:rPr>
          <w:rFonts w:ascii="Times New Roman" w:eastAsia="Times New Roman" w:hAnsi="Times New Roman" w:cs="Times New Roman"/>
          <w:sz w:val="24"/>
          <w:szCs w:val="24"/>
        </w:rPr>
      </w:pPr>
    </w:p>
    <w:p w:rsidR="003852A6" w:rsidRDefault="008079FC">
      <w:pPr>
        <w:widowControl w:val="0"/>
        <w:spacing w:line="288" w:lineRule="auto"/>
        <w:ind w:left="568" w:hanging="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 xml:space="preserve">Účinkující je povinen podat Umělecký výkon včas (včetně nástupu na zkoušky dle schématu) a na adekvátní úrovni. </w:t>
      </w:r>
    </w:p>
    <w:p w:rsidR="003852A6" w:rsidRDefault="003852A6">
      <w:pPr>
        <w:widowControl w:val="0"/>
        <w:spacing w:line="288" w:lineRule="auto"/>
        <w:ind w:left="568" w:hanging="568"/>
        <w:jc w:val="both"/>
        <w:rPr>
          <w:rFonts w:ascii="Times New Roman" w:eastAsia="Times New Roman" w:hAnsi="Times New Roman" w:cs="Times New Roman"/>
          <w:sz w:val="24"/>
          <w:szCs w:val="24"/>
        </w:rPr>
      </w:pPr>
    </w:p>
    <w:p w:rsidR="003852A6" w:rsidRDefault="008079FC">
      <w:pPr>
        <w:widowControl w:val="0"/>
        <w:spacing w:line="288" w:lineRule="auto"/>
        <w:ind w:left="568" w:hanging="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t xml:space="preserve">Pořadatel si vyhrazuje právo k posouzení adekvátnosti umělecké úrovně. </w:t>
      </w:r>
    </w:p>
    <w:p w:rsidR="003852A6" w:rsidRDefault="003852A6">
      <w:pPr>
        <w:widowControl w:val="0"/>
        <w:spacing w:line="288" w:lineRule="auto"/>
        <w:ind w:left="568" w:hanging="568"/>
        <w:jc w:val="both"/>
        <w:rPr>
          <w:rFonts w:ascii="Times New Roman" w:eastAsia="Times New Roman" w:hAnsi="Times New Roman" w:cs="Times New Roman"/>
          <w:sz w:val="24"/>
          <w:szCs w:val="24"/>
        </w:rPr>
      </w:pPr>
    </w:p>
    <w:p w:rsidR="003852A6" w:rsidRDefault="008079FC">
      <w:pPr>
        <w:widowControl w:val="0"/>
        <w:spacing w:line="288" w:lineRule="auto"/>
        <w:ind w:left="568" w:hanging="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 xml:space="preserve">Pořadatel je povinen k Uměleckému výkonu zajistit adekvátní podmínky, a to zejména: </w:t>
      </w:r>
    </w:p>
    <w:p w:rsidR="003852A6" w:rsidRPr="00AF1CE5" w:rsidRDefault="008079FC">
      <w:pPr>
        <w:widowControl w:val="0"/>
        <w:spacing w:line="288" w:lineRule="auto"/>
        <w:ind w:left="1136" w:hanging="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dostatečnou propagaci, a prostor pro obecenstvo včetně zázemí v případě, že se jedná</w:t>
      </w:r>
      <w:r>
        <w:rPr>
          <w:rFonts w:ascii="Times New Roman" w:eastAsia="Times New Roman" w:hAnsi="Times New Roman" w:cs="Times New Roman"/>
          <w:sz w:val="24"/>
          <w:szCs w:val="24"/>
        </w:rPr>
        <w:br/>
      </w:r>
      <w:r w:rsidRPr="00AF1CE5">
        <w:rPr>
          <w:rFonts w:ascii="Times New Roman" w:eastAsia="Times New Roman" w:hAnsi="Times New Roman" w:cs="Times New Roman"/>
          <w:sz w:val="24"/>
          <w:szCs w:val="24"/>
        </w:rPr>
        <w:t xml:space="preserve">o veřejnou akci; </w:t>
      </w:r>
    </w:p>
    <w:p w:rsidR="0054150F" w:rsidRPr="00AF1CE5" w:rsidRDefault="008079FC" w:rsidP="0054150F">
      <w:pPr>
        <w:widowControl w:val="0"/>
        <w:spacing w:line="288" w:lineRule="auto"/>
        <w:ind w:left="1136" w:hanging="568"/>
        <w:jc w:val="both"/>
        <w:rPr>
          <w:rFonts w:ascii="Times New Roman" w:eastAsia="Times New Roman" w:hAnsi="Times New Roman" w:cs="Times New Roman"/>
          <w:sz w:val="24"/>
          <w:szCs w:val="24"/>
        </w:rPr>
      </w:pPr>
      <w:r w:rsidRPr="00AF1CE5">
        <w:rPr>
          <w:rFonts w:ascii="Times New Roman" w:eastAsia="Times New Roman" w:hAnsi="Times New Roman" w:cs="Times New Roman"/>
          <w:sz w:val="24"/>
          <w:szCs w:val="24"/>
        </w:rPr>
        <w:t>b.</w:t>
      </w:r>
      <w:r w:rsidRPr="00AF1CE5">
        <w:rPr>
          <w:rFonts w:ascii="Times New Roman" w:eastAsia="Times New Roman" w:hAnsi="Times New Roman" w:cs="Times New Roman"/>
          <w:sz w:val="24"/>
          <w:szCs w:val="24"/>
        </w:rPr>
        <w:tab/>
        <w:t>pódium nebo obdo</w:t>
      </w:r>
      <w:r w:rsidR="004A777B" w:rsidRPr="00AF1CE5">
        <w:rPr>
          <w:rFonts w:ascii="Times New Roman" w:eastAsia="Times New Roman" w:hAnsi="Times New Roman" w:cs="Times New Roman"/>
          <w:sz w:val="24"/>
          <w:szCs w:val="24"/>
        </w:rPr>
        <w:t xml:space="preserve">bný koncertní/nahrávací prostor – pro účinkujícího </w:t>
      </w:r>
      <w:r w:rsidR="00975FC2" w:rsidRPr="00AF1CE5">
        <w:rPr>
          <w:rFonts w:ascii="Times New Roman" w:eastAsia="Times New Roman" w:hAnsi="Times New Roman" w:cs="Times New Roman"/>
          <w:sz w:val="24"/>
          <w:szCs w:val="24"/>
        </w:rPr>
        <w:t>60</w:t>
      </w:r>
      <w:r w:rsidR="004A777B" w:rsidRPr="00AF1CE5">
        <w:rPr>
          <w:rFonts w:ascii="Times New Roman" w:eastAsia="Times New Roman" w:hAnsi="Times New Roman" w:cs="Times New Roman"/>
          <w:sz w:val="24"/>
          <w:szCs w:val="24"/>
        </w:rPr>
        <w:t xml:space="preserve"> židlí seřazených do čtyř řad stupňovitě nad sebou.</w:t>
      </w:r>
    </w:p>
    <w:p w:rsidR="0054150F" w:rsidRDefault="008079FC" w:rsidP="0054150F">
      <w:pPr>
        <w:widowControl w:val="0"/>
        <w:spacing w:line="288" w:lineRule="auto"/>
        <w:ind w:left="1136" w:hanging="568"/>
        <w:jc w:val="both"/>
        <w:rPr>
          <w:rFonts w:ascii="Times New Roman" w:eastAsia="Times New Roman" w:hAnsi="Times New Roman" w:cs="Times New Roman"/>
          <w:sz w:val="24"/>
          <w:szCs w:val="24"/>
        </w:rPr>
      </w:pPr>
      <w:r w:rsidRPr="00AF1CE5">
        <w:rPr>
          <w:rFonts w:ascii="Times New Roman" w:eastAsia="Times New Roman" w:hAnsi="Times New Roman" w:cs="Times New Roman"/>
          <w:sz w:val="24"/>
          <w:szCs w:val="24"/>
        </w:rPr>
        <w:t>c.</w:t>
      </w:r>
      <w:r w:rsidRPr="00AF1CE5">
        <w:rPr>
          <w:rFonts w:ascii="Times New Roman" w:eastAsia="Times New Roman" w:hAnsi="Times New Roman" w:cs="Times New Roman"/>
          <w:sz w:val="24"/>
          <w:szCs w:val="24"/>
        </w:rPr>
        <w:tab/>
      </w:r>
      <w:r w:rsidR="0054150F" w:rsidRPr="00AF1CE5">
        <w:rPr>
          <w:rFonts w:ascii="Times New Roman" w:eastAsia="Times New Roman" w:hAnsi="Times New Roman" w:cs="Times New Roman"/>
          <w:sz w:val="24"/>
          <w:szCs w:val="24"/>
        </w:rPr>
        <w:t xml:space="preserve">dvě </w:t>
      </w:r>
      <w:r w:rsidR="000059E8" w:rsidRPr="00AF1CE5">
        <w:rPr>
          <w:rFonts w:ascii="Times New Roman" w:eastAsia="Times New Roman" w:hAnsi="Times New Roman" w:cs="Times New Roman"/>
          <w:sz w:val="24"/>
          <w:szCs w:val="24"/>
        </w:rPr>
        <w:t xml:space="preserve">uzamykatelné (popř. hlídané) </w:t>
      </w:r>
      <w:r w:rsidR="0054150F" w:rsidRPr="00AF1CE5">
        <w:rPr>
          <w:rFonts w:ascii="Times New Roman" w:eastAsia="Times New Roman" w:hAnsi="Times New Roman" w:cs="Times New Roman"/>
          <w:sz w:val="24"/>
          <w:szCs w:val="24"/>
        </w:rPr>
        <w:t xml:space="preserve">šatny s dostatečně velkým prostorem </w:t>
      </w:r>
      <w:r w:rsidR="000059E8" w:rsidRPr="00AF1CE5">
        <w:rPr>
          <w:rFonts w:ascii="Times New Roman" w:eastAsia="Times New Roman" w:hAnsi="Times New Roman" w:cs="Times New Roman"/>
          <w:sz w:val="24"/>
          <w:szCs w:val="24"/>
        </w:rPr>
        <w:t xml:space="preserve">(2x 30 osob) </w:t>
      </w:r>
      <w:r w:rsidR="004A777B" w:rsidRPr="00AF1CE5">
        <w:rPr>
          <w:rFonts w:ascii="Times New Roman" w:eastAsia="Times New Roman" w:hAnsi="Times New Roman" w:cs="Times New Roman"/>
          <w:sz w:val="24"/>
          <w:szCs w:val="24"/>
        </w:rPr>
        <w:t xml:space="preserve">a 1 </w:t>
      </w:r>
      <w:r w:rsidR="0054150F" w:rsidRPr="00AF1CE5">
        <w:rPr>
          <w:rFonts w:ascii="Times New Roman" w:eastAsia="Times New Roman" w:hAnsi="Times New Roman" w:cs="Times New Roman"/>
          <w:sz w:val="24"/>
          <w:szCs w:val="24"/>
        </w:rPr>
        <w:t xml:space="preserve">klavírem  a </w:t>
      </w:r>
      <w:r w:rsidR="000059E8" w:rsidRPr="00AF1CE5">
        <w:rPr>
          <w:rFonts w:ascii="Times New Roman" w:eastAsia="Times New Roman" w:hAnsi="Times New Roman" w:cs="Times New Roman"/>
          <w:sz w:val="24"/>
          <w:szCs w:val="24"/>
        </w:rPr>
        <w:t xml:space="preserve">1 </w:t>
      </w:r>
      <w:r w:rsidR="0054150F" w:rsidRPr="00AF1CE5">
        <w:rPr>
          <w:rFonts w:ascii="Times New Roman" w:eastAsia="Times New Roman" w:hAnsi="Times New Roman" w:cs="Times New Roman"/>
          <w:sz w:val="24"/>
          <w:szCs w:val="24"/>
        </w:rPr>
        <w:t>šatnu pro sbormistra.</w:t>
      </w:r>
      <w:r w:rsidR="0054150F">
        <w:rPr>
          <w:rFonts w:ascii="Times New Roman" w:eastAsia="Times New Roman" w:hAnsi="Times New Roman" w:cs="Times New Roman"/>
          <w:sz w:val="24"/>
          <w:szCs w:val="24"/>
        </w:rPr>
        <w:t xml:space="preserve"> </w:t>
      </w:r>
    </w:p>
    <w:p w:rsidR="003852A6" w:rsidRDefault="003852A6">
      <w:pPr>
        <w:widowControl w:val="0"/>
        <w:spacing w:line="288" w:lineRule="auto"/>
        <w:ind w:left="1136" w:hanging="568"/>
        <w:jc w:val="both"/>
        <w:rPr>
          <w:rFonts w:ascii="Times New Roman" w:eastAsia="Times New Roman" w:hAnsi="Times New Roman" w:cs="Times New Roman"/>
          <w:sz w:val="24"/>
          <w:szCs w:val="24"/>
        </w:rPr>
      </w:pPr>
    </w:p>
    <w:p w:rsidR="003852A6" w:rsidRDefault="008079FC">
      <w:pPr>
        <w:widowControl w:val="0"/>
        <w:spacing w:line="288" w:lineRule="auto"/>
        <w:ind w:left="568" w:hanging="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 xml:space="preserve">Dopravu Účinkujícího na místo Produkce si zajišťuje a hradí Účinkující sám. </w:t>
      </w:r>
    </w:p>
    <w:p w:rsidR="003852A6" w:rsidRDefault="003852A6">
      <w:pPr>
        <w:widowControl w:val="0"/>
        <w:spacing w:line="288" w:lineRule="auto"/>
        <w:ind w:left="568" w:hanging="568"/>
        <w:jc w:val="both"/>
        <w:rPr>
          <w:rFonts w:ascii="Times New Roman" w:eastAsia="Times New Roman" w:hAnsi="Times New Roman" w:cs="Times New Roman"/>
          <w:sz w:val="24"/>
          <w:szCs w:val="24"/>
        </w:rPr>
      </w:pPr>
    </w:p>
    <w:p w:rsidR="003852A6" w:rsidRDefault="003852A6">
      <w:pPr>
        <w:widowControl w:val="0"/>
        <w:spacing w:line="288" w:lineRule="auto"/>
        <w:ind w:left="568" w:hanging="568"/>
        <w:jc w:val="both"/>
        <w:rPr>
          <w:rFonts w:ascii="Times New Roman" w:eastAsia="Times New Roman" w:hAnsi="Times New Roman" w:cs="Times New Roman"/>
          <w:sz w:val="24"/>
          <w:szCs w:val="24"/>
        </w:rPr>
      </w:pPr>
    </w:p>
    <w:p w:rsidR="003852A6" w:rsidRDefault="008079FC">
      <w:pPr>
        <w:keepNext/>
        <w:widowControl w:val="0"/>
        <w:spacing w:line="288" w:lineRule="auto"/>
        <w:ind w:left="568" w:hanging="56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IV.</w:t>
      </w:r>
      <w:r>
        <w:rPr>
          <w:rFonts w:ascii="Times New Roman" w:eastAsia="Times New Roman" w:hAnsi="Times New Roman" w:cs="Times New Roman"/>
          <w:b/>
          <w:sz w:val="24"/>
          <w:szCs w:val="24"/>
        </w:rPr>
        <w:tab/>
        <w:t>Autorská práva</w:t>
      </w:r>
    </w:p>
    <w:p w:rsidR="003852A6" w:rsidRDefault="003852A6">
      <w:pPr>
        <w:keepNext/>
        <w:widowControl w:val="0"/>
        <w:spacing w:line="288" w:lineRule="auto"/>
        <w:ind w:left="568" w:hanging="568"/>
        <w:jc w:val="both"/>
        <w:rPr>
          <w:rFonts w:ascii="Times New Roman" w:eastAsia="Times New Roman" w:hAnsi="Times New Roman" w:cs="Times New Roman"/>
          <w:sz w:val="24"/>
          <w:szCs w:val="24"/>
        </w:rPr>
      </w:pPr>
    </w:p>
    <w:p w:rsidR="003852A6" w:rsidRDefault="008079FC">
      <w:pPr>
        <w:widowControl w:val="0"/>
        <w:spacing w:line="288" w:lineRule="auto"/>
        <w:ind w:left="568" w:hanging="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Veškeré autorské, licenční a místní poplatky spojené s provedením Uměleckého výkonu hradí Pořadatel.</w:t>
      </w:r>
    </w:p>
    <w:p w:rsidR="003852A6" w:rsidRDefault="003852A6">
      <w:pPr>
        <w:widowControl w:val="0"/>
        <w:spacing w:line="288" w:lineRule="auto"/>
        <w:ind w:left="568" w:hanging="568"/>
        <w:jc w:val="both"/>
        <w:rPr>
          <w:rFonts w:ascii="Times New Roman" w:eastAsia="Times New Roman" w:hAnsi="Times New Roman" w:cs="Times New Roman"/>
          <w:sz w:val="24"/>
          <w:szCs w:val="24"/>
        </w:rPr>
      </w:pPr>
    </w:p>
    <w:p w:rsidR="003852A6" w:rsidRDefault="008079FC">
      <w:pPr>
        <w:widowControl w:val="0"/>
        <w:spacing w:line="288" w:lineRule="auto"/>
        <w:ind w:left="568" w:hanging="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t xml:space="preserve">Produkce může být Pořadatelem nahrávána (audio) pro archivní účely. Pakliže má být nahrávka využita pro jiné než archivní účely, bude o tomto sepsána zvláštní dohoda poskytující licenci. Reportážní a propagační záznamy s celkovou délkou nedosahující 180s mohou být pořízeny i audiovizuálně jak Pořadatelem, tak třetími stranami, pakliže není dohodnuto jinak. </w:t>
      </w:r>
    </w:p>
    <w:p w:rsidR="003852A6" w:rsidRDefault="003852A6">
      <w:pPr>
        <w:widowControl w:val="0"/>
        <w:spacing w:line="288" w:lineRule="auto"/>
        <w:ind w:left="568" w:hanging="568"/>
        <w:rPr>
          <w:rFonts w:ascii="Times New Roman" w:eastAsia="Times New Roman" w:hAnsi="Times New Roman" w:cs="Times New Roman"/>
          <w:sz w:val="24"/>
          <w:szCs w:val="24"/>
        </w:rPr>
      </w:pPr>
    </w:p>
    <w:p w:rsidR="003852A6" w:rsidRDefault="003852A6">
      <w:pPr>
        <w:widowControl w:val="0"/>
        <w:spacing w:line="288" w:lineRule="auto"/>
        <w:rPr>
          <w:rFonts w:ascii="Times New Roman" w:eastAsia="Times New Roman" w:hAnsi="Times New Roman" w:cs="Times New Roman"/>
          <w:sz w:val="24"/>
          <w:szCs w:val="24"/>
        </w:rPr>
      </w:pPr>
    </w:p>
    <w:p w:rsidR="003852A6" w:rsidRDefault="008079FC">
      <w:pPr>
        <w:widowControl w:val="0"/>
        <w:spacing w:line="288" w:lineRule="auto"/>
        <w:ind w:left="568" w:hanging="56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w:t>
      </w:r>
      <w:r>
        <w:rPr>
          <w:rFonts w:ascii="Times New Roman" w:eastAsia="Times New Roman" w:hAnsi="Times New Roman" w:cs="Times New Roman"/>
          <w:b/>
          <w:sz w:val="24"/>
          <w:szCs w:val="24"/>
        </w:rPr>
        <w:tab/>
        <w:t>Odměna</w:t>
      </w:r>
    </w:p>
    <w:p w:rsidR="003852A6" w:rsidRDefault="003852A6">
      <w:pPr>
        <w:widowControl w:val="0"/>
        <w:spacing w:line="288" w:lineRule="auto"/>
        <w:ind w:left="568" w:hanging="568"/>
        <w:rPr>
          <w:rFonts w:ascii="Times New Roman" w:eastAsia="Times New Roman" w:hAnsi="Times New Roman" w:cs="Times New Roman"/>
          <w:sz w:val="24"/>
          <w:szCs w:val="24"/>
        </w:rPr>
      </w:pPr>
    </w:p>
    <w:p w:rsidR="003852A6" w:rsidRDefault="008079FC">
      <w:pPr>
        <w:widowControl w:val="0"/>
        <w:numPr>
          <w:ilvl w:val="0"/>
          <w:numId w:val="1"/>
        </w:numPr>
        <w:spacing w:line="288" w:lineRule="auto"/>
        <w:ind w:left="568" w:hanging="568"/>
        <w:jc w:val="both"/>
        <w:rPr>
          <w:sz w:val="24"/>
          <w:szCs w:val="24"/>
        </w:rPr>
      </w:pPr>
      <w:r>
        <w:rPr>
          <w:rFonts w:ascii="Times New Roman" w:eastAsia="Times New Roman" w:hAnsi="Times New Roman" w:cs="Times New Roman"/>
          <w:sz w:val="24"/>
          <w:szCs w:val="24"/>
        </w:rPr>
        <w:t xml:space="preserve">Za provedení uměleckého výkonu náleží Účinkujícímu honorář ve výši </w:t>
      </w:r>
      <w:r w:rsidR="00790017">
        <w:rPr>
          <w:rFonts w:ascii="Times New Roman" w:eastAsia="Times New Roman" w:hAnsi="Times New Roman" w:cs="Times New Roman"/>
          <w:sz w:val="24"/>
          <w:szCs w:val="24"/>
        </w:rPr>
        <w:t>109</w:t>
      </w:r>
      <w:r w:rsidR="00CB7F58">
        <w:rPr>
          <w:rFonts w:ascii="Times New Roman" w:eastAsia="Times New Roman" w:hAnsi="Times New Roman" w:cs="Times New Roman"/>
          <w:sz w:val="24"/>
          <w:szCs w:val="24"/>
        </w:rPr>
        <w:t xml:space="preserve"> 000 Kč </w:t>
      </w:r>
      <w:r>
        <w:rPr>
          <w:rFonts w:ascii="Times New Roman" w:eastAsia="Times New Roman" w:hAnsi="Times New Roman" w:cs="Times New Roman"/>
          <w:sz w:val="24"/>
          <w:szCs w:val="24"/>
        </w:rPr>
        <w:t xml:space="preserve">hrubého. </w:t>
      </w:r>
    </w:p>
    <w:p w:rsidR="003852A6" w:rsidRDefault="003852A6">
      <w:pPr>
        <w:widowControl w:val="0"/>
        <w:spacing w:line="288" w:lineRule="auto"/>
        <w:ind w:left="568"/>
        <w:jc w:val="both"/>
        <w:rPr>
          <w:rFonts w:ascii="Times New Roman" w:eastAsia="Times New Roman" w:hAnsi="Times New Roman" w:cs="Times New Roman"/>
          <w:sz w:val="24"/>
          <w:szCs w:val="24"/>
        </w:rPr>
      </w:pPr>
    </w:p>
    <w:p w:rsidR="003852A6" w:rsidRDefault="008079FC">
      <w:pPr>
        <w:widowControl w:val="0"/>
        <w:numPr>
          <w:ilvl w:val="0"/>
          <w:numId w:val="1"/>
        </w:numPr>
        <w:spacing w:line="288" w:lineRule="auto"/>
        <w:ind w:left="568" w:hanging="568"/>
        <w:jc w:val="both"/>
        <w:rPr>
          <w:sz w:val="24"/>
          <w:szCs w:val="24"/>
        </w:rPr>
      </w:pPr>
      <w:r>
        <w:rPr>
          <w:rFonts w:ascii="Times New Roman" w:eastAsia="Times New Roman" w:hAnsi="Times New Roman" w:cs="Times New Roman"/>
          <w:sz w:val="24"/>
          <w:szCs w:val="24"/>
        </w:rPr>
        <w:t xml:space="preserve">Pořadatel se zavazuje zaplatit Účinkujícímu odměnu, která sestává z honoráře (dle Odstavce č. 1 tohoto Článku) a případně příspěvku na dopravu (pokud náleží, dle Odstavce č. 4 Článku č. III.). Celková odměna činí </w:t>
      </w:r>
      <w:r w:rsidR="001378F2">
        <w:rPr>
          <w:rFonts w:ascii="Times New Roman" w:eastAsia="Times New Roman" w:hAnsi="Times New Roman" w:cs="Times New Roman"/>
          <w:sz w:val="24"/>
          <w:szCs w:val="24"/>
        </w:rPr>
        <w:t>109</w:t>
      </w:r>
      <w:r w:rsidR="00CB7F58">
        <w:rPr>
          <w:rFonts w:ascii="Times New Roman" w:eastAsia="Times New Roman" w:hAnsi="Times New Roman" w:cs="Times New Roman"/>
          <w:sz w:val="24"/>
          <w:szCs w:val="24"/>
        </w:rPr>
        <w:t xml:space="preserve"> 000</w:t>
      </w:r>
      <w:r>
        <w:rPr>
          <w:rFonts w:ascii="Times New Roman" w:eastAsia="Times New Roman" w:hAnsi="Times New Roman" w:cs="Times New Roman"/>
          <w:sz w:val="24"/>
          <w:szCs w:val="24"/>
        </w:rPr>
        <w:t xml:space="preserve"> </w:t>
      </w:r>
      <w:r w:rsidR="00CB7F58">
        <w:rPr>
          <w:rFonts w:ascii="Times New Roman" w:eastAsia="Times New Roman" w:hAnsi="Times New Roman" w:cs="Times New Roman"/>
          <w:sz w:val="24"/>
          <w:szCs w:val="24"/>
        </w:rPr>
        <w:t>Kč</w:t>
      </w:r>
      <w:r>
        <w:rPr>
          <w:rFonts w:ascii="Times New Roman" w:eastAsia="Times New Roman" w:hAnsi="Times New Roman" w:cs="Times New Roman"/>
          <w:sz w:val="24"/>
          <w:szCs w:val="24"/>
        </w:rPr>
        <w:t xml:space="preserve"> (slovy </w:t>
      </w:r>
      <w:r w:rsidR="001378F2">
        <w:rPr>
          <w:rFonts w:ascii="Times New Roman" w:eastAsia="Times New Roman" w:hAnsi="Times New Roman" w:cs="Times New Roman"/>
          <w:sz w:val="24"/>
          <w:szCs w:val="24"/>
        </w:rPr>
        <w:t>stodevěttisíc</w:t>
      </w:r>
      <w:r w:rsidR="00CB7F58">
        <w:rPr>
          <w:rFonts w:ascii="Times New Roman" w:eastAsia="Times New Roman" w:hAnsi="Times New Roman" w:cs="Times New Roman"/>
          <w:sz w:val="24"/>
          <w:szCs w:val="24"/>
        </w:rPr>
        <w:t xml:space="preserve"> Korun českých</w:t>
      </w:r>
      <w:r>
        <w:rPr>
          <w:rFonts w:ascii="Times New Roman" w:eastAsia="Times New Roman" w:hAnsi="Times New Roman" w:cs="Times New Roman"/>
          <w:sz w:val="24"/>
          <w:szCs w:val="24"/>
        </w:rPr>
        <w:t>) hrubého. Odměna pokrývá veškeré náklady spojené s provedením Uměleckého výkonu uvedené výše v této Smlouvě vyjma nákladů, které dle této Smlouvy nese Pořadatel.</w:t>
      </w:r>
    </w:p>
    <w:p w:rsidR="003852A6" w:rsidRDefault="003852A6">
      <w:pPr>
        <w:widowControl w:val="0"/>
        <w:spacing w:line="288" w:lineRule="auto"/>
        <w:ind w:left="568" w:hanging="568"/>
        <w:jc w:val="both"/>
        <w:rPr>
          <w:rFonts w:ascii="Times New Roman" w:eastAsia="Times New Roman" w:hAnsi="Times New Roman" w:cs="Times New Roman"/>
          <w:sz w:val="24"/>
          <w:szCs w:val="24"/>
        </w:rPr>
      </w:pPr>
    </w:p>
    <w:p w:rsidR="003852A6" w:rsidRDefault="008079FC">
      <w:pPr>
        <w:widowControl w:val="0"/>
        <w:spacing w:line="288" w:lineRule="auto"/>
        <w:ind w:left="568" w:hanging="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ab/>
        <w:t xml:space="preserve">Odměna je splatná na základě faktury vystavené Účinkujícím po provedení uměleckého výkonu se splatností minimálně 10 dní od ukončení Produkce. Faktura bude zaslána na adresu sídla Pořadatele nebo elektronicky na emailovou adresu uvedenou v záhlaví. </w:t>
      </w:r>
    </w:p>
    <w:p w:rsidR="003852A6" w:rsidRDefault="003852A6">
      <w:pPr>
        <w:widowControl w:val="0"/>
        <w:spacing w:line="288" w:lineRule="auto"/>
        <w:ind w:left="568" w:hanging="568"/>
        <w:jc w:val="both"/>
        <w:rPr>
          <w:rFonts w:ascii="Times New Roman" w:eastAsia="Times New Roman" w:hAnsi="Times New Roman" w:cs="Times New Roman"/>
          <w:sz w:val="24"/>
          <w:szCs w:val="24"/>
        </w:rPr>
      </w:pPr>
    </w:p>
    <w:p w:rsidR="003852A6" w:rsidRDefault="008079FC">
      <w:pPr>
        <w:widowControl w:val="0"/>
        <w:spacing w:line="288" w:lineRule="auto"/>
        <w:ind w:left="568" w:hanging="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ab/>
        <w:t>V případě, že Účinkující nemá trvalé bydliště na území České republiky, resp. pakliže není daňovým rezidentem v České republice, je Pořadatel povinen odměnu dle odst. 1. tohoto článku zdanit, a to dle aktuálně platných předpisů (zejména zákon č. 586/1992 Sb., „Zákon o dani z příjmů“).</w:t>
      </w:r>
    </w:p>
    <w:p w:rsidR="003852A6" w:rsidRDefault="003852A6">
      <w:pPr>
        <w:widowControl w:val="0"/>
        <w:spacing w:line="288" w:lineRule="auto"/>
        <w:ind w:left="568" w:hanging="568"/>
        <w:jc w:val="both"/>
        <w:rPr>
          <w:rFonts w:ascii="Times New Roman" w:eastAsia="Times New Roman" w:hAnsi="Times New Roman" w:cs="Times New Roman"/>
          <w:sz w:val="24"/>
          <w:szCs w:val="24"/>
        </w:rPr>
      </w:pPr>
    </w:p>
    <w:p w:rsidR="003852A6" w:rsidRDefault="008079FC">
      <w:pPr>
        <w:widowControl w:val="0"/>
        <w:spacing w:line="288" w:lineRule="auto"/>
        <w:ind w:left="568" w:hanging="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ab/>
        <w:t xml:space="preserve">V případě, že je Účinkující plátcem DPH, Odměnou dle odst. 1 tohoto článku se rozumí celková částka včetně daně z přidané hodnoty. </w:t>
      </w:r>
    </w:p>
    <w:p w:rsidR="003852A6" w:rsidRDefault="003852A6">
      <w:pPr>
        <w:widowControl w:val="0"/>
        <w:spacing w:line="288" w:lineRule="auto"/>
        <w:ind w:left="568" w:hanging="568"/>
        <w:jc w:val="both"/>
        <w:rPr>
          <w:rFonts w:ascii="Times New Roman" w:eastAsia="Times New Roman" w:hAnsi="Times New Roman" w:cs="Times New Roman"/>
          <w:sz w:val="24"/>
          <w:szCs w:val="24"/>
        </w:rPr>
      </w:pPr>
    </w:p>
    <w:p w:rsidR="003852A6" w:rsidRDefault="008079FC">
      <w:pPr>
        <w:widowControl w:val="0"/>
        <w:spacing w:line="288" w:lineRule="auto"/>
        <w:ind w:left="568" w:hanging="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 xml:space="preserve">Veškeré transakční poplatky spojené s úhradou Odměny hradí Pořadatel. </w:t>
      </w:r>
    </w:p>
    <w:p w:rsidR="003852A6" w:rsidRDefault="003852A6">
      <w:pPr>
        <w:widowControl w:val="0"/>
        <w:spacing w:line="288" w:lineRule="auto"/>
        <w:ind w:left="568" w:hanging="568"/>
        <w:rPr>
          <w:rFonts w:ascii="Times New Roman" w:eastAsia="Times New Roman" w:hAnsi="Times New Roman" w:cs="Times New Roman"/>
          <w:sz w:val="24"/>
          <w:szCs w:val="24"/>
        </w:rPr>
      </w:pPr>
    </w:p>
    <w:p w:rsidR="003852A6" w:rsidRDefault="003852A6">
      <w:pPr>
        <w:widowControl w:val="0"/>
        <w:spacing w:line="288" w:lineRule="auto"/>
        <w:ind w:left="568" w:hanging="568"/>
        <w:rPr>
          <w:rFonts w:ascii="Times New Roman" w:eastAsia="Times New Roman" w:hAnsi="Times New Roman" w:cs="Times New Roman"/>
          <w:sz w:val="24"/>
          <w:szCs w:val="24"/>
        </w:rPr>
      </w:pPr>
    </w:p>
    <w:p w:rsidR="003852A6" w:rsidRDefault="008079FC">
      <w:pPr>
        <w:widowControl w:val="0"/>
        <w:spacing w:line="288" w:lineRule="auto"/>
        <w:ind w:left="568" w:hanging="56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VI.</w:t>
      </w:r>
      <w:r>
        <w:rPr>
          <w:rFonts w:ascii="Times New Roman" w:eastAsia="Times New Roman" w:hAnsi="Times New Roman" w:cs="Times New Roman"/>
          <w:b/>
          <w:sz w:val="24"/>
          <w:szCs w:val="24"/>
        </w:rPr>
        <w:tab/>
        <w:t xml:space="preserve">Smluvní pokuty </w:t>
      </w:r>
    </w:p>
    <w:p w:rsidR="003852A6" w:rsidRDefault="003852A6">
      <w:pPr>
        <w:widowControl w:val="0"/>
        <w:spacing w:line="288" w:lineRule="auto"/>
        <w:ind w:left="568" w:hanging="568"/>
        <w:jc w:val="both"/>
        <w:rPr>
          <w:rFonts w:ascii="Times New Roman" w:eastAsia="Times New Roman" w:hAnsi="Times New Roman" w:cs="Times New Roman"/>
          <w:sz w:val="24"/>
          <w:szCs w:val="24"/>
        </w:rPr>
      </w:pPr>
    </w:p>
    <w:p w:rsidR="003852A6" w:rsidRDefault="008079FC">
      <w:pPr>
        <w:widowControl w:val="0"/>
        <w:spacing w:line="288" w:lineRule="auto"/>
        <w:ind w:left="568" w:hanging="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 xml:space="preserve">Pakliže Účinkující nesplní závazky vyplývající z této Smlouvy z důvodů jiných, než je selhání Pořadatele, a z důvodů jiných, než které jsou mimo jeho kontrolu (politická regulace, válka, přírodní katastrofa nebo obdobný zásah vyšší moci), a jejich nesplnění povede ke znemožnění provedení Uměleckého výkonu, je Účinkující povinen uhradit Pořadateli smluvní pokutu ve výši 100 % opodstatněných a doložených výdajů, které Pořadateli vznikly vzhledem ke zrušení provedení Uměleckého výkonu; a přichází tím o nárok na Odměnu dle čl. V této Smlouvy. </w:t>
      </w:r>
    </w:p>
    <w:p w:rsidR="003852A6" w:rsidRDefault="003852A6">
      <w:pPr>
        <w:widowControl w:val="0"/>
        <w:spacing w:line="288" w:lineRule="auto"/>
        <w:ind w:left="568" w:hanging="568"/>
        <w:rPr>
          <w:rFonts w:ascii="Times New Roman" w:eastAsia="Times New Roman" w:hAnsi="Times New Roman" w:cs="Times New Roman"/>
          <w:sz w:val="24"/>
          <w:szCs w:val="24"/>
        </w:rPr>
      </w:pPr>
    </w:p>
    <w:p w:rsidR="003852A6" w:rsidRDefault="008079FC">
      <w:pPr>
        <w:widowControl w:val="0"/>
        <w:numPr>
          <w:ilvl w:val="0"/>
          <w:numId w:val="1"/>
        </w:numPr>
        <w:spacing w:line="288" w:lineRule="auto"/>
        <w:ind w:left="568" w:hanging="568"/>
        <w:jc w:val="both"/>
        <w:rPr>
          <w:sz w:val="24"/>
          <w:szCs w:val="24"/>
        </w:rPr>
      </w:pPr>
      <w:r>
        <w:rPr>
          <w:rFonts w:ascii="Times New Roman" w:eastAsia="Times New Roman" w:hAnsi="Times New Roman" w:cs="Times New Roman"/>
          <w:sz w:val="24"/>
          <w:szCs w:val="24"/>
        </w:rPr>
        <w:t xml:space="preserve">Pakliže Pořadatel nesplní závazky vyplývající z této Smlouvy z důvodů jiných, než je selhání Účinkujícího, a z důvodů jiných, než které jsou mimo jeho kontrolu (politická regulace, válka, přírodní katastrofa nebo obdobný zásah vyšší moci), a jejich nesplnění povede ke znemožnění provedení Uměleckého výkonu, je Pořadatel povinen uhradit Účinkujícímu 25 % odměny dle čl. V. této Smlouvy. Případné další výdaje nejsou Pořadatelem hrazeny.  </w:t>
      </w:r>
    </w:p>
    <w:p w:rsidR="003852A6" w:rsidRDefault="003852A6">
      <w:pPr>
        <w:widowControl w:val="0"/>
        <w:spacing w:line="288" w:lineRule="auto"/>
        <w:ind w:left="568"/>
        <w:jc w:val="both"/>
        <w:rPr>
          <w:rFonts w:ascii="Times New Roman" w:eastAsia="Times New Roman" w:hAnsi="Times New Roman" w:cs="Times New Roman"/>
          <w:sz w:val="24"/>
          <w:szCs w:val="24"/>
        </w:rPr>
      </w:pPr>
    </w:p>
    <w:p w:rsidR="003852A6" w:rsidRDefault="003852A6">
      <w:pPr>
        <w:widowControl w:val="0"/>
        <w:spacing w:line="288" w:lineRule="auto"/>
        <w:ind w:left="568" w:hanging="568"/>
        <w:rPr>
          <w:rFonts w:ascii="Times New Roman" w:eastAsia="Times New Roman" w:hAnsi="Times New Roman" w:cs="Times New Roman"/>
          <w:sz w:val="24"/>
          <w:szCs w:val="24"/>
        </w:rPr>
      </w:pPr>
    </w:p>
    <w:p w:rsidR="003852A6" w:rsidRDefault="008079FC">
      <w:pPr>
        <w:widowControl w:val="0"/>
        <w:spacing w:line="288" w:lineRule="auto"/>
        <w:ind w:left="568" w:hanging="56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VII.</w:t>
      </w:r>
      <w:r>
        <w:rPr>
          <w:rFonts w:ascii="Times New Roman" w:eastAsia="Times New Roman" w:hAnsi="Times New Roman" w:cs="Times New Roman"/>
          <w:b/>
          <w:sz w:val="24"/>
          <w:szCs w:val="24"/>
        </w:rPr>
        <w:tab/>
        <w:t>Odstoupení od smlouvy</w:t>
      </w:r>
    </w:p>
    <w:p w:rsidR="003852A6" w:rsidRDefault="003852A6">
      <w:pPr>
        <w:widowControl w:val="0"/>
        <w:spacing w:line="288" w:lineRule="auto"/>
        <w:ind w:left="568" w:hanging="568"/>
        <w:rPr>
          <w:rFonts w:ascii="Times New Roman" w:eastAsia="Times New Roman" w:hAnsi="Times New Roman" w:cs="Times New Roman"/>
          <w:sz w:val="24"/>
          <w:szCs w:val="24"/>
        </w:rPr>
      </w:pPr>
    </w:p>
    <w:p w:rsidR="003852A6" w:rsidRDefault="008079FC">
      <w:pPr>
        <w:widowControl w:val="0"/>
        <w:numPr>
          <w:ilvl w:val="0"/>
          <w:numId w:val="3"/>
        </w:numPr>
        <w:spacing w:line="288" w:lineRule="auto"/>
        <w:ind w:left="568" w:hanging="568"/>
        <w:jc w:val="both"/>
        <w:rPr>
          <w:sz w:val="24"/>
          <w:szCs w:val="24"/>
        </w:rPr>
      </w:pPr>
      <w:r>
        <w:rPr>
          <w:rFonts w:ascii="Times New Roman" w:eastAsia="Times New Roman" w:hAnsi="Times New Roman" w:cs="Times New Roman"/>
          <w:sz w:val="24"/>
          <w:szCs w:val="24"/>
        </w:rPr>
        <w:t>Změna podmínek, postavení, oprávnění aj. na straně kterékoli Smluvní strany nevede bez dalšího k zániku práv a povinností z této Smlouvy. Zásadní změny podmínek Smlouvy budou předmětem vzájemné a řádně zdokumentované dohody obou stran.</w:t>
      </w:r>
    </w:p>
    <w:p w:rsidR="003852A6" w:rsidRDefault="003852A6">
      <w:pPr>
        <w:widowControl w:val="0"/>
        <w:spacing w:line="288" w:lineRule="auto"/>
        <w:ind w:left="568" w:hanging="568"/>
        <w:jc w:val="both"/>
        <w:rPr>
          <w:rFonts w:ascii="Times New Roman" w:eastAsia="Times New Roman" w:hAnsi="Times New Roman" w:cs="Times New Roman"/>
          <w:sz w:val="24"/>
          <w:szCs w:val="24"/>
        </w:rPr>
      </w:pPr>
    </w:p>
    <w:p w:rsidR="003852A6" w:rsidRDefault="008079FC">
      <w:pPr>
        <w:widowControl w:val="0"/>
        <w:spacing w:line="288" w:lineRule="auto"/>
        <w:ind w:left="568" w:hanging="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 xml:space="preserve">Pořadatel má právo od smlouvy odstoupit, pakliže shledá úroveň uměleckého výkonu neadekvátní dle odst. III čl. 1. této Smlouvy, a to bez nároku Účinkujícího na odměnu dle čl. V. této Smlouvy. </w:t>
      </w:r>
    </w:p>
    <w:p w:rsidR="003852A6" w:rsidRDefault="003852A6">
      <w:pPr>
        <w:widowControl w:val="0"/>
        <w:spacing w:line="288" w:lineRule="auto"/>
        <w:ind w:left="568" w:hanging="568"/>
        <w:rPr>
          <w:rFonts w:ascii="Times New Roman" w:eastAsia="Times New Roman" w:hAnsi="Times New Roman" w:cs="Times New Roman"/>
          <w:sz w:val="24"/>
          <w:szCs w:val="24"/>
        </w:rPr>
      </w:pPr>
    </w:p>
    <w:p w:rsidR="003852A6" w:rsidRDefault="003852A6">
      <w:pPr>
        <w:widowControl w:val="0"/>
        <w:spacing w:line="288" w:lineRule="auto"/>
        <w:ind w:left="568" w:hanging="568"/>
        <w:rPr>
          <w:rFonts w:ascii="Times New Roman" w:eastAsia="Times New Roman" w:hAnsi="Times New Roman" w:cs="Times New Roman"/>
          <w:sz w:val="24"/>
          <w:szCs w:val="24"/>
        </w:rPr>
      </w:pPr>
    </w:p>
    <w:p w:rsidR="003852A6" w:rsidRDefault="008079FC">
      <w:pPr>
        <w:widowControl w:val="0"/>
        <w:spacing w:line="288" w:lineRule="auto"/>
        <w:ind w:left="568" w:hanging="56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VIII.</w:t>
      </w:r>
      <w:r>
        <w:rPr>
          <w:rFonts w:ascii="Times New Roman" w:eastAsia="Times New Roman" w:hAnsi="Times New Roman" w:cs="Times New Roman"/>
          <w:b/>
          <w:sz w:val="24"/>
          <w:szCs w:val="24"/>
        </w:rPr>
        <w:tab/>
        <w:t>Závěrečná ustanovení</w:t>
      </w:r>
    </w:p>
    <w:p w:rsidR="003852A6" w:rsidRDefault="003852A6">
      <w:pPr>
        <w:widowControl w:val="0"/>
        <w:spacing w:line="288" w:lineRule="auto"/>
        <w:ind w:left="568" w:hanging="568"/>
        <w:rPr>
          <w:rFonts w:ascii="Times New Roman" w:eastAsia="Times New Roman" w:hAnsi="Times New Roman" w:cs="Times New Roman"/>
          <w:sz w:val="24"/>
          <w:szCs w:val="24"/>
        </w:rPr>
      </w:pPr>
    </w:p>
    <w:p w:rsidR="003852A6" w:rsidRDefault="008079FC">
      <w:pPr>
        <w:widowControl w:val="0"/>
        <w:numPr>
          <w:ilvl w:val="0"/>
          <w:numId w:val="5"/>
        </w:numPr>
        <w:spacing w:line="288" w:lineRule="auto"/>
        <w:ind w:left="568" w:hanging="568"/>
        <w:jc w:val="both"/>
        <w:rPr>
          <w:sz w:val="24"/>
          <w:szCs w:val="24"/>
        </w:rPr>
      </w:pPr>
      <w:r>
        <w:rPr>
          <w:rFonts w:ascii="Times New Roman" w:eastAsia="Times New Roman" w:hAnsi="Times New Roman" w:cs="Times New Roman"/>
          <w:sz w:val="24"/>
          <w:szCs w:val="24"/>
        </w:rPr>
        <w:t>Smluvní strany potvrzují, že tato Smlouva obsahuje celou dohodu mezi oběma Smluvními stranami ve věci provedení daného Uměleckého výkonu a nahrazuje jakékoliv předešlé domluvy.</w:t>
      </w:r>
    </w:p>
    <w:p w:rsidR="003852A6" w:rsidRDefault="003852A6">
      <w:pPr>
        <w:widowControl w:val="0"/>
        <w:spacing w:line="288" w:lineRule="auto"/>
        <w:ind w:left="568" w:hanging="568"/>
        <w:jc w:val="both"/>
        <w:rPr>
          <w:rFonts w:ascii="Times New Roman" w:eastAsia="Times New Roman" w:hAnsi="Times New Roman" w:cs="Times New Roman"/>
          <w:sz w:val="24"/>
          <w:szCs w:val="24"/>
        </w:rPr>
      </w:pPr>
    </w:p>
    <w:p w:rsidR="003852A6" w:rsidRDefault="008079FC">
      <w:pPr>
        <w:widowControl w:val="0"/>
        <w:spacing w:line="288" w:lineRule="auto"/>
        <w:ind w:left="568" w:hanging="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Všechny záležitosti neošetřené v této Smlouvě jsou předmětem vzájemné dohody mezi oběma Smluvními stranami, příp. se řídí Občanským zákoníkem. Veškeré změny a nové skutečnosti budou řádně začleněny k této Smlouvě formou obligatorně písemných číslovaných dodatků.</w:t>
      </w:r>
    </w:p>
    <w:p w:rsidR="003852A6" w:rsidRDefault="003852A6">
      <w:pPr>
        <w:widowControl w:val="0"/>
        <w:spacing w:line="288" w:lineRule="auto"/>
        <w:ind w:left="568" w:hanging="568"/>
        <w:jc w:val="both"/>
        <w:rPr>
          <w:rFonts w:ascii="Times New Roman" w:eastAsia="Times New Roman" w:hAnsi="Times New Roman" w:cs="Times New Roman"/>
          <w:sz w:val="24"/>
          <w:szCs w:val="24"/>
        </w:rPr>
      </w:pPr>
    </w:p>
    <w:p w:rsidR="003852A6" w:rsidRDefault="008079FC">
      <w:pPr>
        <w:widowControl w:val="0"/>
        <w:spacing w:line="288" w:lineRule="auto"/>
        <w:ind w:left="568" w:hanging="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Pořadatel tímto ručí Účinkujícímu, že má plné právo vstoupit do závazků vyplývajících z této Smlouvy a že nevstoupí do žádného závazku, který by mohl ohrozit jejich náležité uskutečnění.</w:t>
      </w:r>
    </w:p>
    <w:p w:rsidR="003852A6" w:rsidRDefault="008079FC">
      <w:pPr>
        <w:widowControl w:val="0"/>
        <w:spacing w:line="288" w:lineRule="auto"/>
        <w:ind w:left="568" w:hanging="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Účinkující tímto ručí Pořadateli, že má plné právo vstoupit do závazků vyplývajících z této Smlouvy a že nevstoupí do žádného závazku, který by mohl ohrozit jejich náležité uskutečnění.</w:t>
      </w:r>
    </w:p>
    <w:p w:rsidR="003852A6" w:rsidRDefault="003852A6">
      <w:pPr>
        <w:widowControl w:val="0"/>
        <w:spacing w:line="288" w:lineRule="auto"/>
        <w:ind w:left="568" w:hanging="568"/>
        <w:jc w:val="both"/>
        <w:rPr>
          <w:rFonts w:ascii="Times New Roman" w:eastAsia="Times New Roman" w:hAnsi="Times New Roman" w:cs="Times New Roman"/>
          <w:sz w:val="24"/>
          <w:szCs w:val="24"/>
        </w:rPr>
      </w:pPr>
    </w:p>
    <w:p w:rsidR="003852A6" w:rsidRDefault="008079FC">
      <w:pPr>
        <w:widowControl w:val="0"/>
        <w:spacing w:line="288" w:lineRule="auto"/>
        <w:ind w:left="568" w:hanging="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V případě, že by se kterékoli ustanovení této Smlouvy stalo neplatným nebo neúčinným, nebude tím dotčena platnost nebo účinnost této Smlouvy jako celku. V takovém případě se Smluvní strany zavazují nahradit neplatné nebo neúčinné ustanovení této Smlouvy ustanovením platným a účinným, kterým bude přípustným způsobem dosaženo cíle sledovaného neplatným nebo neúčinným ustanovením.</w:t>
      </w:r>
    </w:p>
    <w:p w:rsidR="003852A6" w:rsidRDefault="003852A6">
      <w:pPr>
        <w:widowControl w:val="0"/>
        <w:spacing w:line="288" w:lineRule="auto"/>
        <w:ind w:left="568" w:hanging="568"/>
        <w:jc w:val="both"/>
        <w:rPr>
          <w:rFonts w:ascii="Times New Roman" w:eastAsia="Times New Roman" w:hAnsi="Times New Roman" w:cs="Times New Roman"/>
          <w:sz w:val="24"/>
          <w:szCs w:val="24"/>
        </w:rPr>
      </w:pPr>
    </w:p>
    <w:p w:rsidR="003852A6" w:rsidRDefault="008079FC">
      <w:pPr>
        <w:widowControl w:val="0"/>
        <w:spacing w:line="288" w:lineRule="auto"/>
        <w:ind w:left="568" w:hanging="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Tato smlouva se řídí právním řádem České republiky. Příslušné pro řešení jakýchkoli sporů, které nebudou vyřešeny Smluvními stranami smírně, jsou soudy České republiky, a to soudy místně příslušné na straně Účinkujícího.</w:t>
      </w:r>
    </w:p>
    <w:p w:rsidR="003852A6" w:rsidRDefault="003852A6">
      <w:pPr>
        <w:widowControl w:val="0"/>
        <w:spacing w:line="288" w:lineRule="auto"/>
        <w:ind w:left="568" w:hanging="568"/>
        <w:rPr>
          <w:rFonts w:ascii="Times New Roman" w:eastAsia="Times New Roman" w:hAnsi="Times New Roman" w:cs="Times New Roman"/>
          <w:sz w:val="24"/>
          <w:szCs w:val="24"/>
        </w:rPr>
      </w:pPr>
    </w:p>
    <w:p w:rsidR="003852A6" w:rsidRDefault="008079FC">
      <w:pPr>
        <w:widowControl w:val="0"/>
        <w:spacing w:line="288" w:lineRule="auto"/>
        <w:ind w:left="568" w:hanging="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sz w:val="24"/>
          <w:szCs w:val="24"/>
        </w:rPr>
        <w:tab/>
        <w:t>Tato Smlouva je vyhotovena ve dvou vyhotoveních, přičemž každá ze Smluvních stran dostane jedno vyhotovení.</w:t>
      </w:r>
    </w:p>
    <w:p w:rsidR="003852A6" w:rsidRDefault="003852A6">
      <w:pPr>
        <w:widowControl w:val="0"/>
        <w:spacing w:line="288" w:lineRule="auto"/>
        <w:ind w:left="568" w:hanging="568"/>
        <w:rPr>
          <w:rFonts w:ascii="Times New Roman" w:eastAsia="Times New Roman" w:hAnsi="Times New Roman" w:cs="Times New Roman"/>
          <w:sz w:val="24"/>
          <w:szCs w:val="24"/>
        </w:rPr>
      </w:pPr>
    </w:p>
    <w:p w:rsidR="003852A6" w:rsidRDefault="008079FC">
      <w:pPr>
        <w:widowControl w:val="0"/>
        <w:spacing w:line="288" w:lineRule="auto"/>
        <w:ind w:left="568" w:hanging="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ab/>
        <w:t>Smluvní strany níže svým podpisem stvrzují, že si Smlouvu před jejím podpisem přečetly, s jejím obsahem souhlasí, a tato je sepsána podle jejich pravé a skutečné vůle, srozumitelně a určitě, nikoli v tísni za nápadně nevýhodných podmínek. Tato Smlouva je účinná dnem podpisu poslední ze Smluvních stran.</w:t>
      </w:r>
    </w:p>
    <w:p w:rsidR="003852A6" w:rsidRDefault="003852A6">
      <w:pPr>
        <w:widowControl w:val="0"/>
        <w:spacing w:line="288" w:lineRule="auto"/>
        <w:ind w:left="568" w:hanging="568"/>
        <w:jc w:val="both"/>
        <w:rPr>
          <w:rFonts w:ascii="Times New Roman" w:eastAsia="Times New Roman" w:hAnsi="Times New Roman" w:cs="Times New Roman"/>
          <w:sz w:val="24"/>
          <w:szCs w:val="24"/>
        </w:rPr>
      </w:pPr>
    </w:p>
    <w:tbl>
      <w:tblPr>
        <w:tblStyle w:val="a"/>
        <w:tblW w:w="9300" w:type="dxa"/>
        <w:tblInd w:w="-108" w:type="dxa"/>
        <w:tblLayout w:type="fixed"/>
        <w:tblLook w:val="0000" w:firstRow="0" w:lastRow="0" w:firstColumn="0" w:lastColumn="0" w:noHBand="0" w:noVBand="0"/>
      </w:tblPr>
      <w:tblGrid>
        <w:gridCol w:w="4650"/>
        <w:gridCol w:w="4650"/>
      </w:tblGrid>
      <w:tr w:rsidR="003852A6">
        <w:trPr>
          <w:trHeight w:val="200"/>
        </w:trPr>
        <w:tc>
          <w:tcPr>
            <w:tcW w:w="4650" w:type="dxa"/>
            <w:tcBorders>
              <w:top w:val="nil"/>
              <w:left w:val="nil"/>
              <w:bottom w:val="nil"/>
              <w:right w:val="nil"/>
            </w:tcBorders>
          </w:tcPr>
          <w:p w:rsidR="003852A6" w:rsidRDefault="008079FC">
            <w:pPr>
              <w:widowControl w:val="0"/>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 ___________ dne ____________</w:t>
            </w:r>
          </w:p>
        </w:tc>
        <w:tc>
          <w:tcPr>
            <w:tcW w:w="4650" w:type="dxa"/>
            <w:tcBorders>
              <w:top w:val="nil"/>
              <w:left w:val="nil"/>
              <w:bottom w:val="nil"/>
              <w:right w:val="nil"/>
            </w:tcBorders>
          </w:tcPr>
          <w:p w:rsidR="003852A6" w:rsidRDefault="008079FC">
            <w:pPr>
              <w:widowControl w:val="0"/>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 ___________ dne ____________</w:t>
            </w:r>
          </w:p>
        </w:tc>
      </w:tr>
      <w:tr w:rsidR="003852A6">
        <w:trPr>
          <w:trHeight w:val="220"/>
        </w:trPr>
        <w:tc>
          <w:tcPr>
            <w:tcW w:w="4650" w:type="dxa"/>
            <w:tcBorders>
              <w:top w:val="nil"/>
              <w:left w:val="nil"/>
              <w:bottom w:val="nil"/>
              <w:right w:val="nil"/>
            </w:tcBorders>
          </w:tcPr>
          <w:p w:rsidR="003852A6" w:rsidRDefault="003852A6">
            <w:pPr>
              <w:widowControl w:val="0"/>
              <w:spacing w:line="288" w:lineRule="auto"/>
              <w:rPr>
                <w:rFonts w:ascii="Times New Roman" w:eastAsia="Times New Roman" w:hAnsi="Times New Roman" w:cs="Times New Roman"/>
                <w:sz w:val="24"/>
                <w:szCs w:val="24"/>
              </w:rPr>
            </w:pPr>
          </w:p>
        </w:tc>
        <w:tc>
          <w:tcPr>
            <w:tcW w:w="4650" w:type="dxa"/>
            <w:tcBorders>
              <w:top w:val="nil"/>
              <w:left w:val="nil"/>
              <w:bottom w:val="nil"/>
              <w:right w:val="nil"/>
            </w:tcBorders>
          </w:tcPr>
          <w:p w:rsidR="003852A6" w:rsidRDefault="003852A6">
            <w:pPr>
              <w:widowControl w:val="0"/>
              <w:spacing w:line="288" w:lineRule="auto"/>
              <w:rPr>
                <w:rFonts w:ascii="Times New Roman" w:eastAsia="Times New Roman" w:hAnsi="Times New Roman" w:cs="Times New Roman"/>
                <w:sz w:val="24"/>
                <w:szCs w:val="24"/>
              </w:rPr>
            </w:pPr>
          </w:p>
        </w:tc>
      </w:tr>
      <w:tr w:rsidR="003852A6">
        <w:trPr>
          <w:trHeight w:val="200"/>
        </w:trPr>
        <w:tc>
          <w:tcPr>
            <w:tcW w:w="4650" w:type="dxa"/>
            <w:tcBorders>
              <w:top w:val="nil"/>
              <w:left w:val="nil"/>
              <w:bottom w:val="nil"/>
              <w:right w:val="nil"/>
            </w:tcBorders>
          </w:tcPr>
          <w:p w:rsidR="003852A6" w:rsidRDefault="003852A6">
            <w:pPr>
              <w:widowControl w:val="0"/>
              <w:spacing w:line="288" w:lineRule="auto"/>
              <w:rPr>
                <w:rFonts w:ascii="Times New Roman" w:eastAsia="Times New Roman" w:hAnsi="Times New Roman" w:cs="Times New Roman"/>
                <w:sz w:val="24"/>
                <w:szCs w:val="24"/>
              </w:rPr>
            </w:pPr>
          </w:p>
        </w:tc>
        <w:tc>
          <w:tcPr>
            <w:tcW w:w="4650" w:type="dxa"/>
            <w:tcBorders>
              <w:top w:val="nil"/>
              <w:left w:val="nil"/>
              <w:bottom w:val="nil"/>
              <w:right w:val="nil"/>
            </w:tcBorders>
          </w:tcPr>
          <w:p w:rsidR="003852A6" w:rsidRDefault="003852A6">
            <w:pPr>
              <w:widowControl w:val="0"/>
              <w:spacing w:line="288" w:lineRule="auto"/>
              <w:rPr>
                <w:rFonts w:ascii="Times New Roman" w:eastAsia="Times New Roman" w:hAnsi="Times New Roman" w:cs="Times New Roman"/>
                <w:sz w:val="24"/>
                <w:szCs w:val="24"/>
              </w:rPr>
            </w:pPr>
          </w:p>
        </w:tc>
      </w:tr>
      <w:tr w:rsidR="003852A6">
        <w:trPr>
          <w:trHeight w:val="200"/>
        </w:trPr>
        <w:tc>
          <w:tcPr>
            <w:tcW w:w="4650" w:type="dxa"/>
            <w:tcBorders>
              <w:top w:val="nil"/>
              <w:left w:val="nil"/>
              <w:bottom w:val="nil"/>
              <w:right w:val="nil"/>
            </w:tcBorders>
          </w:tcPr>
          <w:p w:rsidR="003852A6" w:rsidRDefault="003852A6">
            <w:pPr>
              <w:widowControl w:val="0"/>
              <w:spacing w:line="288" w:lineRule="auto"/>
              <w:rPr>
                <w:rFonts w:ascii="Times New Roman" w:eastAsia="Times New Roman" w:hAnsi="Times New Roman" w:cs="Times New Roman"/>
                <w:sz w:val="24"/>
                <w:szCs w:val="24"/>
              </w:rPr>
            </w:pPr>
          </w:p>
        </w:tc>
        <w:tc>
          <w:tcPr>
            <w:tcW w:w="4650" w:type="dxa"/>
            <w:tcBorders>
              <w:top w:val="nil"/>
              <w:left w:val="nil"/>
              <w:bottom w:val="nil"/>
              <w:right w:val="nil"/>
            </w:tcBorders>
          </w:tcPr>
          <w:p w:rsidR="003852A6" w:rsidRDefault="003852A6">
            <w:pPr>
              <w:widowControl w:val="0"/>
              <w:spacing w:line="288" w:lineRule="auto"/>
              <w:rPr>
                <w:rFonts w:ascii="Times New Roman" w:eastAsia="Times New Roman" w:hAnsi="Times New Roman" w:cs="Times New Roman"/>
                <w:sz w:val="24"/>
                <w:szCs w:val="24"/>
              </w:rPr>
            </w:pPr>
          </w:p>
        </w:tc>
      </w:tr>
      <w:tr w:rsidR="003852A6">
        <w:trPr>
          <w:trHeight w:val="200"/>
        </w:trPr>
        <w:tc>
          <w:tcPr>
            <w:tcW w:w="4650" w:type="dxa"/>
            <w:tcBorders>
              <w:top w:val="nil"/>
              <w:left w:val="nil"/>
              <w:bottom w:val="nil"/>
              <w:right w:val="nil"/>
            </w:tcBorders>
          </w:tcPr>
          <w:p w:rsidR="003852A6" w:rsidRDefault="008079FC">
            <w:pPr>
              <w:widowControl w:val="0"/>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w:t>
            </w:r>
          </w:p>
        </w:tc>
        <w:tc>
          <w:tcPr>
            <w:tcW w:w="4650" w:type="dxa"/>
            <w:tcBorders>
              <w:top w:val="nil"/>
              <w:left w:val="nil"/>
              <w:bottom w:val="nil"/>
              <w:right w:val="nil"/>
            </w:tcBorders>
          </w:tcPr>
          <w:p w:rsidR="003852A6" w:rsidRDefault="008079FC">
            <w:pPr>
              <w:widowControl w:val="0"/>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w:t>
            </w:r>
          </w:p>
        </w:tc>
      </w:tr>
      <w:tr w:rsidR="003852A6">
        <w:trPr>
          <w:trHeight w:val="200"/>
        </w:trPr>
        <w:tc>
          <w:tcPr>
            <w:tcW w:w="4650" w:type="dxa"/>
            <w:tcBorders>
              <w:top w:val="nil"/>
              <w:left w:val="nil"/>
              <w:bottom w:val="nil"/>
              <w:right w:val="nil"/>
            </w:tcBorders>
          </w:tcPr>
          <w:p w:rsidR="003852A6" w:rsidRDefault="008079FC">
            <w:pPr>
              <w:widowControl w:val="0"/>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Mgr. Jan Žemla</w:t>
            </w:r>
          </w:p>
        </w:tc>
        <w:tc>
          <w:tcPr>
            <w:tcW w:w="4650" w:type="dxa"/>
            <w:tcBorders>
              <w:top w:val="nil"/>
              <w:left w:val="nil"/>
              <w:bottom w:val="nil"/>
              <w:right w:val="nil"/>
            </w:tcBorders>
          </w:tcPr>
          <w:p w:rsidR="003852A6" w:rsidRDefault="00CB7F58">
            <w:pPr>
              <w:widowControl w:val="0"/>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Petr Fiala</w:t>
            </w:r>
          </w:p>
        </w:tc>
      </w:tr>
      <w:tr w:rsidR="003852A6">
        <w:trPr>
          <w:trHeight w:val="200"/>
        </w:trPr>
        <w:tc>
          <w:tcPr>
            <w:tcW w:w="4650" w:type="dxa"/>
            <w:tcBorders>
              <w:top w:val="nil"/>
              <w:left w:val="nil"/>
              <w:bottom w:val="nil"/>
              <w:right w:val="nil"/>
            </w:tcBorders>
          </w:tcPr>
          <w:p w:rsidR="003852A6" w:rsidRDefault="008079FC">
            <w:pPr>
              <w:widowControl w:val="0"/>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Pořadatel</w:t>
            </w:r>
          </w:p>
        </w:tc>
        <w:tc>
          <w:tcPr>
            <w:tcW w:w="4650" w:type="dxa"/>
            <w:tcBorders>
              <w:top w:val="nil"/>
              <w:left w:val="nil"/>
              <w:bottom w:val="nil"/>
              <w:right w:val="nil"/>
            </w:tcBorders>
          </w:tcPr>
          <w:p w:rsidR="003852A6" w:rsidRDefault="008079FC">
            <w:pPr>
              <w:widowControl w:val="0"/>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Účinkující</w:t>
            </w:r>
          </w:p>
        </w:tc>
      </w:tr>
    </w:tbl>
    <w:p w:rsidR="003852A6" w:rsidRDefault="003852A6">
      <w:pPr>
        <w:rPr>
          <w:sz w:val="24"/>
          <w:szCs w:val="24"/>
        </w:rPr>
      </w:pPr>
    </w:p>
    <w:sectPr w:rsidR="003852A6" w:rsidSect="006C6FCD">
      <w:headerReference w:type="even" r:id="rId8"/>
      <w:headerReference w:type="default" r:id="rId9"/>
      <w:footerReference w:type="even" r:id="rId10"/>
      <w:footerReference w:type="default" r:id="rId11"/>
      <w:pgSz w:w="11900" w:h="16840"/>
      <w:pgMar w:top="2693" w:right="1268" w:bottom="2977" w:left="1134" w:header="0"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618" w:rsidRDefault="00DA3618">
      <w:r>
        <w:separator/>
      </w:r>
    </w:p>
  </w:endnote>
  <w:endnote w:type="continuationSeparator" w:id="0">
    <w:p w:rsidR="00DA3618" w:rsidRDefault="00DA3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Etelka Light">
    <w:panose1 w:val="02000503030000020004"/>
    <w:charset w:val="00"/>
    <w:family w:val="modern"/>
    <w:notTrueType/>
    <w:pitch w:val="variable"/>
    <w:sig w:usb0="A00002EF" w:usb1="5000206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2A6" w:rsidRDefault="008079FC">
    <w:pPr>
      <w:tabs>
        <w:tab w:val="center" w:pos="4557"/>
        <w:tab w:val="right" w:pos="9115"/>
      </w:tabs>
      <w:spacing w:after="709"/>
      <w:rPr>
        <w:sz w:val="24"/>
        <w:szCs w:val="24"/>
      </w:rPr>
    </w:pPr>
    <w:r>
      <w:rPr>
        <w:sz w:val="24"/>
        <w:szCs w:val="24"/>
      </w:rPr>
      <w:t>[Type text]</w:t>
    </w:r>
    <w:r>
      <w:rPr>
        <w:sz w:val="24"/>
        <w:szCs w:val="24"/>
      </w:rPr>
      <w:tab/>
      <w:t>[Type text]</w:t>
    </w:r>
    <w:r>
      <w:rPr>
        <w:sz w:val="24"/>
        <w:szCs w:val="24"/>
      </w:rPr>
      <w:tab/>
      <w:t>[Type text]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2A6" w:rsidRDefault="008079FC">
    <w:pPr>
      <w:spacing w:after="709"/>
      <w:rPr>
        <w:sz w:val="24"/>
        <w:szCs w:val="24"/>
      </w:rPr>
    </w:pPr>
    <w:r>
      <w:rPr>
        <w:noProof/>
        <w:lang w:eastAsia="cs-CZ"/>
      </w:rPr>
      <w:drawing>
        <wp:anchor distT="0" distB="0" distL="114300" distR="114300" simplePos="0" relativeHeight="251659264" behindDoc="0" locked="0" layoutInCell="1" allowOverlap="1">
          <wp:simplePos x="0" y="0"/>
          <wp:positionH relativeFrom="page">
            <wp:align>left</wp:align>
          </wp:positionH>
          <wp:positionV relativeFrom="paragraph">
            <wp:posOffset>-886460</wp:posOffset>
          </wp:positionV>
          <wp:extent cx="7560310" cy="1622425"/>
          <wp:effectExtent l="0" t="0" r="2540" b="0"/>
          <wp:wrapSquare wrapText="bothSides" distT="0" distB="0" distL="114300" distR="11430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560310" cy="1622425"/>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618" w:rsidRDefault="00DA3618">
      <w:r>
        <w:separator/>
      </w:r>
    </w:p>
  </w:footnote>
  <w:footnote w:type="continuationSeparator" w:id="0">
    <w:p w:rsidR="00DA3618" w:rsidRDefault="00DA36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2A6" w:rsidRDefault="008079FC">
    <w:pPr>
      <w:tabs>
        <w:tab w:val="center" w:pos="4557"/>
        <w:tab w:val="right" w:pos="9115"/>
      </w:tabs>
      <w:spacing w:before="709"/>
      <w:rPr>
        <w:sz w:val="24"/>
        <w:szCs w:val="24"/>
      </w:rPr>
    </w:pPr>
    <w:r>
      <w:rPr>
        <w:sz w:val="24"/>
        <w:szCs w:val="24"/>
      </w:rPr>
      <w:t>[Type text]</w:t>
    </w:r>
    <w:r>
      <w:rPr>
        <w:sz w:val="24"/>
        <w:szCs w:val="24"/>
      </w:rPr>
      <w:tab/>
      <w:t>[Type text]</w:t>
    </w:r>
    <w:r>
      <w:rPr>
        <w:sz w:val="24"/>
        <w:szCs w:val="24"/>
      </w:rPr>
      <w:tab/>
      <w:t>[Type text]</w:t>
    </w:r>
  </w:p>
  <w:p w:rsidR="003852A6" w:rsidRDefault="003852A6">
    <w:pP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2A6" w:rsidRDefault="008079FC">
    <w:pPr>
      <w:spacing w:before="709"/>
      <w:jc w:val="right"/>
      <w:rPr>
        <w:rFonts w:ascii="Etelka Light" w:eastAsia="Etelka Light" w:hAnsi="Etelka Light" w:cs="Etelka Light"/>
        <w:sz w:val="22"/>
        <w:szCs w:val="22"/>
      </w:rPr>
    </w:pPr>
    <w:r>
      <w:rPr>
        <w:rFonts w:ascii="Etelka Light" w:eastAsia="Etelka Light" w:hAnsi="Etelka Light" w:cs="Etelka Light"/>
        <w:sz w:val="16"/>
        <w:szCs w:val="16"/>
      </w:rPr>
      <w:t xml:space="preserve"> </w:t>
    </w:r>
    <w:r>
      <w:rPr>
        <w:noProof/>
        <w:lang w:eastAsia="cs-CZ"/>
      </w:rPr>
      <w:drawing>
        <wp:anchor distT="0" distB="0" distL="114300" distR="114300" simplePos="0" relativeHeight="251658240" behindDoc="0" locked="0" layoutInCell="1" allowOverlap="1">
          <wp:simplePos x="0" y="0"/>
          <wp:positionH relativeFrom="margin">
            <wp:posOffset>-720089</wp:posOffset>
          </wp:positionH>
          <wp:positionV relativeFrom="paragraph">
            <wp:posOffset>-443864</wp:posOffset>
          </wp:positionV>
          <wp:extent cx="7565390" cy="1701800"/>
          <wp:effectExtent l="0" t="0" r="0" b="0"/>
          <wp:wrapSquare wrapText="bothSides" distT="0" distB="0" distL="114300" distR="11430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565390" cy="1701800"/>
                  </a:xfrm>
                  <a:prstGeom prst="rect">
                    <a:avLst/>
                  </a:prstGeom>
                  <a:ln/>
                </pic:spPr>
              </pic:pic>
            </a:graphicData>
          </a:graphic>
        </wp:anchor>
      </w:drawing>
    </w:r>
  </w:p>
  <w:p w:rsidR="003852A6" w:rsidRDefault="003852A6">
    <w:pPr>
      <w:jc w:val="right"/>
      <w:rPr>
        <w:rFonts w:ascii="Etelka Light" w:eastAsia="Etelka Light" w:hAnsi="Etelka Light" w:cs="Etelka Light"/>
        <w:sz w:val="16"/>
        <w:szCs w:val="16"/>
      </w:rPr>
    </w:pPr>
  </w:p>
  <w:p w:rsidR="003852A6" w:rsidRDefault="00990D67">
    <w:pPr>
      <w:tabs>
        <w:tab w:val="center" w:pos="4320"/>
        <w:tab w:val="right" w:pos="8640"/>
      </w:tabs>
      <w:jc w:val="right"/>
      <w:rPr>
        <w:rFonts w:ascii="Etelka Light" w:eastAsia="Etelka Light" w:hAnsi="Etelka Light" w:cs="Etelka Light"/>
        <w:sz w:val="16"/>
        <w:szCs w:val="16"/>
      </w:rPr>
    </w:pPr>
    <w:r>
      <w:rPr>
        <w:rFonts w:ascii="Etelka Light" w:eastAsia="Etelka Light" w:hAnsi="Etelka Light" w:cs="Etelka Light"/>
        <w:sz w:val="16"/>
        <w:szCs w:val="16"/>
      </w:rPr>
      <w:fldChar w:fldCharType="begin"/>
    </w:r>
    <w:r w:rsidR="008079FC">
      <w:rPr>
        <w:rFonts w:ascii="Etelka Light" w:eastAsia="Etelka Light" w:hAnsi="Etelka Light" w:cs="Etelka Light"/>
        <w:sz w:val="16"/>
        <w:szCs w:val="16"/>
      </w:rPr>
      <w:instrText>PAGE</w:instrText>
    </w:r>
    <w:r>
      <w:rPr>
        <w:rFonts w:ascii="Etelka Light" w:eastAsia="Etelka Light" w:hAnsi="Etelka Light" w:cs="Etelka Light"/>
        <w:sz w:val="16"/>
        <w:szCs w:val="16"/>
      </w:rPr>
      <w:fldChar w:fldCharType="separate"/>
    </w:r>
    <w:r w:rsidR="00B93225">
      <w:rPr>
        <w:rFonts w:ascii="Etelka Light" w:eastAsia="Etelka Light" w:hAnsi="Etelka Light" w:cs="Etelka Light"/>
        <w:noProof/>
        <w:sz w:val="16"/>
        <w:szCs w:val="16"/>
      </w:rPr>
      <w:t>1</w:t>
    </w:r>
    <w:r>
      <w:rPr>
        <w:rFonts w:ascii="Etelka Light" w:eastAsia="Etelka Light" w:hAnsi="Etelka Light" w:cs="Etelka Light"/>
        <w:sz w:val="16"/>
        <w:szCs w:val="16"/>
      </w:rPr>
      <w:fldChar w:fldCharType="end"/>
    </w:r>
    <w:r w:rsidR="008079FC">
      <w:rPr>
        <w:rFonts w:ascii="Etelka Light" w:eastAsia="Etelka Light" w:hAnsi="Etelka Light" w:cs="Etelka Light"/>
        <w:sz w:val="16"/>
        <w:szCs w:val="16"/>
      </w:rPr>
      <w:t>/</w:t>
    </w:r>
    <w:r>
      <w:rPr>
        <w:rFonts w:ascii="Etelka Light" w:eastAsia="Etelka Light" w:hAnsi="Etelka Light" w:cs="Etelka Light"/>
        <w:sz w:val="16"/>
        <w:szCs w:val="16"/>
      </w:rPr>
      <w:fldChar w:fldCharType="begin"/>
    </w:r>
    <w:r w:rsidR="008079FC">
      <w:rPr>
        <w:rFonts w:ascii="Etelka Light" w:eastAsia="Etelka Light" w:hAnsi="Etelka Light" w:cs="Etelka Light"/>
        <w:sz w:val="16"/>
        <w:szCs w:val="16"/>
      </w:rPr>
      <w:instrText>NUMPAGES</w:instrText>
    </w:r>
    <w:r>
      <w:rPr>
        <w:rFonts w:ascii="Etelka Light" w:eastAsia="Etelka Light" w:hAnsi="Etelka Light" w:cs="Etelka Light"/>
        <w:sz w:val="16"/>
        <w:szCs w:val="16"/>
      </w:rPr>
      <w:fldChar w:fldCharType="separate"/>
    </w:r>
    <w:r w:rsidR="00B93225">
      <w:rPr>
        <w:rFonts w:ascii="Etelka Light" w:eastAsia="Etelka Light" w:hAnsi="Etelka Light" w:cs="Etelka Light"/>
        <w:noProof/>
        <w:sz w:val="16"/>
        <w:szCs w:val="16"/>
      </w:rPr>
      <w:t>6</w:t>
    </w:r>
    <w:r>
      <w:rPr>
        <w:rFonts w:ascii="Etelka Light" w:eastAsia="Etelka Light" w:hAnsi="Etelka Light" w:cs="Etelka Light"/>
        <w:sz w:val="16"/>
        <w:szCs w:val="16"/>
      </w:rPr>
      <w:fldChar w:fldCharType="end"/>
    </w:r>
  </w:p>
  <w:p w:rsidR="003852A6" w:rsidRDefault="008079FC">
    <w:pPr>
      <w:jc w:val="right"/>
      <w:rPr>
        <w:rFonts w:ascii="Etelka Light" w:eastAsia="Etelka Light" w:hAnsi="Etelka Light" w:cs="Etelka Light"/>
        <w:sz w:val="16"/>
        <w:szCs w:val="16"/>
      </w:rPr>
    </w:pPr>
    <w:r>
      <w:rPr>
        <w:rFonts w:ascii="Etelka Light" w:eastAsia="Etelka Light" w:hAnsi="Etelka Light" w:cs="Etelka Light"/>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40390"/>
    <w:multiLevelType w:val="multilevel"/>
    <w:tmpl w:val="BAA85B9A"/>
    <w:lvl w:ilvl="0">
      <w:start w:val="1"/>
      <w:numFmt w:val="lowerLetter"/>
      <w:lvlText w:val="%1."/>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2410983"/>
    <w:multiLevelType w:val="multilevel"/>
    <w:tmpl w:val="32CC3C86"/>
    <w:lvl w:ilvl="0">
      <w:start w:val="1"/>
      <w:numFmt w:val="decimal"/>
      <w:lvlText w:val="%1."/>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473467B9"/>
    <w:multiLevelType w:val="multilevel"/>
    <w:tmpl w:val="CBD0782A"/>
    <w:lvl w:ilvl="0">
      <w:start w:val="1"/>
      <w:numFmt w:val="decimal"/>
      <w:lvlText w:val="%1."/>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503E249C"/>
    <w:multiLevelType w:val="multilevel"/>
    <w:tmpl w:val="4574033E"/>
    <w:lvl w:ilvl="0">
      <w:start w:val="1"/>
      <w:numFmt w:val="decimal"/>
      <w:lvlText w:val="%1."/>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626D4C7D"/>
    <w:multiLevelType w:val="multilevel"/>
    <w:tmpl w:val="534AA252"/>
    <w:lvl w:ilvl="0">
      <w:start w:val="1"/>
      <w:numFmt w:val="decimal"/>
      <w:lvlText w:val="%1."/>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852A6"/>
    <w:rsid w:val="000059E8"/>
    <w:rsid w:val="001378F2"/>
    <w:rsid w:val="00200C15"/>
    <w:rsid w:val="002E6E91"/>
    <w:rsid w:val="003852A6"/>
    <w:rsid w:val="004A777B"/>
    <w:rsid w:val="0054150F"/>
    <w:rsid w:val="006C6FCD"/>
    <w:rsid w:val="00790017"/>
    <w:rsid w:val="008079FC"/>
    <w:rsid w:val="00936598"/>
    <w:rsid w:val="00975FC2"/>
    <w:rsid w:val="00990D67"/>
    <w:rsid w:val="009C708E"/>
    <w:rsid w:val="009D4069"/>
    <w:rsid w:val="00AC2E70"/>
    <w:rsid w:val="00AF1CE5"/>
    <w:rsid w:val="00B93225"/>
    <w:rsid w:val="00BD292F"/>
    <w:rsid w:val="00C4694A"/>
    <w:rsid w:val="00CB7F58"/>
    <w:rsid w:val="00DA3618"/>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99858-E332-4ECB-9172-7A14FEB3D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lang w:val="cs-CZ" w:eastAsia="zh-CN"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6C6FCD"/>
  </w:style>
  <w:style w:type="paragraph" w:styleId="Nadpis1">
    <w:name w:val="heading 1"/>
    <w:basedOn w:val="Normln"/>
    <w:next w:val="Normln"/>
    <w:rsid w:val="006C6FCD"/>
    <w:pPr>
      <w:keepNext/>
      <w:keepLines/>
      <w:spacing w:before="480" w:after="120"/>
      <w:outlineLvl w:val="0"/>
    </w:pPr>
    <w:rPr>
      <w:b/>
      <w:sz w:val="48"/>
      <w:szCs w:val="48"/>
    </w:rPr>
  </w:style>
  <w:style w:type="paragraph" w:styleId="Nadpis2">
    <w:name w:val="heading 2"/>
    <w:basedOn w:val="Normln"/>
    <w:next w:val="Normln"/>
    <w:rsid w:val="006C6FCD"/>
    <w:pPr>
      <w:keepNext/>
      <w:keepLines/>
      <w:spacing w:before="360" w:after="80"/>
      <w:outlineLvl w:val="1"/>
    </w:pPr>
    <w:rPr>
      <w:b/>
      <w:sz w:val="36"/>
      <w:szCs w:val="36"/>
    </w:rPr>
  </w:style>
  <w:style w:type="paragraph" w:styleId="Nadpis3">
    <w:name w:val="heading 3"/>
    <w:basedOn w:val="Normln"/>
    <w:next w:val="Normln"/>
    <w:rsid w:val="006C6FCD"/>
    <w:pPr>
      <w:keepNext/>
      <w:keepLines/>
      <w:spacing w:before="280" w:after="80"/>
      <w:outlineLvl w:val="2"/>
    </w:pPr>
    <w:rPr>
      <w:b/>
      <w:sz w:val="28"/>
      <w:szCs w:val="28"/>
    </w:rPr>
  </w:style>
  <w:style w:type="paragraph" w:styleId="Nadpis4">
    <w:name w:val="heading 4"/>
    <w:basedOn w:val="Normln"/>
    <w:next w:val="Normln"/>
    <w:rsid w:val="006C6FCD"/>
    <w:pPr>
      <w:keepNext/>
      <w:keepLines/>
      <w:spacing w:before="240" w:after="40"/>
      <w:outlineLvl w:val="3"/>
    </w:pPr>
    <w:rPr>
      <w:b/>
      <w:sz w:val="24"/>
      <w:szCs w:val="24"/>
    </w:rPr>
  </w:style>
  <w:style w:type="paragraph" w:styleId="Nadpis5">
    <w:name w:val="heading 5"/>
    <w:basedOn w:val="Normln"/>
    <w:next w:val="Normln"/>
    <w:rsid w:val="006C6FCD"/>
    <w:pPr>
      <w:keepNext/>
      <w:keepLines/>
      <w:spacing w:before="220" w:after="40"/>
      <w:outlineLvl w:val="4"/>
    </w:pPr>
    <w:rPr>
      <w:b/>
      <w:sz w:val="22"/>
      <w:szCs w:val="22"/>
    </w:rPr>
  </w:style>
  <w:style w:type="paragraph" w:styleId="Nadpis6">
    <w:name w:val="heading 6"/>
    <w:basedOn w:val="Normln"/>
    <w:next w:val="Normln"/>
    <w:rsid w:val="006C6FCD"/>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6C6FCD"/>
    <w:tblPr>
      <w:tblCellMar>
        <w:top w:w="0" w:type="dxa"/>
        <w:left w:w="0" w:type="dxa"/>
        <w:bottom w:w="0" w:type="dxa"/>
        <w:right w:w="0" w:type="dxa"/>
      </w:tblCellMar>
    </w:tblPr>
  </w:style>
  <w:style w:type="paragraph" w:styleId="Nzev">
    <w:name w:val="Title"/>
    <w:basedOn w:val="Normln"/>
    <w:next w:val="Normln"/>
    <w:rsid w:val="006C6FCD"/>
    <w:pPr>
      <w:keepNext/>
      <w:keepLines/>
      <w:spacing w:before="480" w:after="120"/>
    </w:pPr>
    <w:rPr>
      <w:b/>
      <w:sz w:val="72"/>
      <w:szCs w:val="72"/>
    </w:rPr>
  </w:style>
  <w:style w:type="paragraph" w:styleId="Podtitul">
    <w:name w:val="Subtitle"/>
    <w:basedOn w:val="Normln"/>
    <w:next w:val="Normln"/>
    <w:rsid w:val="006C6FCD"/>
    <w:pPr>
      <w:keepNext/>
      <w:keepLines/>
      <w:spacing w:before="360" w:after="80"/>
    </w:pPr>
    <w:rPr>
      <w:rFonts w:ascii="Georgia" w:eastAsia="Georgia" w:hAnsi="Georgia" w:cs="Georgia"/>
      <w:i/>
      <w:color w:val="666666"/>
      <w:sz w:val="48"/>
      <w:szCs w:val="48"/>
    </w:rPr>
  </w:style>
  <w:style w:type="table" w:customStyle="1" w:styleId="a">
    <w:basedOn w:val="TableNormal"/>
    <w:rsid w:val="006C6FCD"/>
    <w:tblPr>
      <w:tblStyleRowBandSize w:val="1"/>
      <w:tblStyleColBandSize w:val="1"/>
    </w:tblPr>
  </w:style>
  <w:style w:type="character" w:styleId="Hypertextovodkaz">
    <w:name w:val="Hyperlink"/>
    <w:basedOn w:val="Standardnpsmoodstavce"/>
    <w:uiPriority w:val="99"/>
    <w:unhideWhenUsed/>
    <w:rsid w:val="00CB7F58"/>
    <w:rPr>
      <w:color w:val="0563C1" w:themeColor="hyperlink"/>
      <w:u w:val="single"/>
    </w:rPr>
  </w:style>
  <w:style w:type="paragraph" w:styleId="Zhlav">
    <w:name w:val="header"/>
    <w:basedOn w:val="Normln"/>
    <w:link w:val="ZhlavChar"/>
    <w:uiPriority w:val="99"/>
    <w:unhideWhenUsed/>
    <w:rsid w:val="009C708E"/>
    <w:pPr>
      <w:tabs>
        <w:tab w:val="center" w:pos="4536"/>
        <w:tab w:val="right" w:pos="9072"/>
      </w:tabs>
    </w:pPr>
  </w:style>
  <w:style w:type="character" w:customStyle="1" w:styleId="ZhlavChar">
    <w:name w:val="Záhlaví Char"/>
    <w:basedOn w:val="Standardnpsmoodstavce"/>
    <w:link w:val="Zhlav"/>
    <w:uiPriority w:val="99"/>
    <w:rsid w:val="009C708E"/>
  </w:style>
  <w:style w:type="paragraph" w:styleId="Zpat">
    <w:name w:val="footer"/>
    <w:basedOn w:val="Normln"/>
    <w:link w:val="ZpatChar"/>
    <w:uiPriority w:val="99"/>
    <w:unhideWhenUsed/>
    <w:rsid w:val="009C708E"/>
    <w:pPr>
      <w:tabs>
        <w:tab w:val="center" w:pos="4536"/>
        <w:tab w:val="right" w:pos="9072"/>
      </w:tabs>
    </w:pPr>
  </w:style>
  <w:style w:type="character" w:customStyle="1" w:styleId="ZpatChar">
    <w:name w:val="Zápatí Char"/>
    <w:basedOn w:val="Standardnpsmoodstavce"/>
    <w:link w:val="Zpat"/>
    <w:uiPriority w:val="99"/>
    <w:rsid w:val="009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514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cfsb.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1163</Words>
  <Characters>6868</Characters>
  <Application>Microsoft Office Word</Application>
  <DocSecurity>4</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Daněk</dc:creator>
  <cp:lastModifiedBy>Lenka Cechova</cp:lastModifiedBy>
  <cp:revision>2</cp:revision>
  <dcterms:created xsi:type="dcterms:W3CDTF">2018-04-24T14:37:00Z</dcterms:created>
  <dcterms:modified xsi:type="dcterms:W3CDTF">2018-04-24T14:37:00Z</dcterms:modified>
</cp:coreProperties>
</file>