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38CE" w14:textId="41867899" w:rsidR="008F59AC" w:rsidRPr="00095FDB" w:rsidRDefault="00AB1D32" w:rsidP="008F0FC1">
      <w:pPr>
        <w:pStyle w:val="Zkladntext"/>
        <w:spacing w:beforeLines="20" w:before="48" w:line="360" w:lineRule="auto"/>
        <w:ind w:right="-284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25ED789E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</w:t>
      </w:r>
      <w:r w:rsidR="008F0FC1">
        <w:rPr>
          <w:sz w:val="24"/>
          <w:szCs w:val="24"/>
        </w:rPr>
        <w:t>ého soudu v Praze pod sp. zn. Pr</w:t>
      </w:r>
      <w:r w:rsidR="00FE649F">
        <w:rPr>
          <w:sz w:val="24"/>
          <w:szCs w:val="24"/>
        </w:rPr>
        <w:t xml:space="preserve"> </w:t>
      </w:r>
      <w:r w:rsidRPr="00A66240">
        <w:rPr>
          <w:sz w:val="24"/>
          <w:szCs w:val="24"/>
        </w:rPr>
        <w:t>1342</w:t>
      </w:r>
    </w:p>
    <w:p w14:paraId="5AF8A416" w14:textId="45058947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B477C4">
        <w:rPr>
          <w:sz w:val="24"/>
          <w:szCs w:val="24"/>
        </w:rPr>
        <w:t>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6D1819C3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B477C4">
        <w:rPr>
          <w:sz w:val="24"/>
          <w:szCs w:val="24"/>
        </w:rPr>
        <w:t>XXXXX</w:t>
      </w:r>
    </w:p>
    <w:p w14:paraId="71BA997E" w14:textId="57419906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B477C4">
        <w:rPr>
          <w:sz w:val="24"/>
          <w:szCs w:val="24"/>
        </w:rPr>
        <w:t>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23598D90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B477C4">
        <w:rPr>
          <w:rFonts w:ascii="Times New Roman" w:hAnsi="Times New Roman"/>
          <w:sz w:val="24"/>
          <w:szCs w:val="24"/>
        </w:rPr>
        <w:t>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1E861793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B477C4">
        <w:rPr>
          <w:rFonts w:ascii="Times New Roman" w:hAnsi="Times New Roman"/>
          <w:color w:val="000000"/>
          <w:sz w:val="24"/>
          <w:szCs w:val="20"/>
        </w:rPr>
        <w:t>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70B6192E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F0BB8" w:rsidRPr="003F0BB8">
        <w:rPr>
          <w:b/>
          <w:sz w:val="24"/>
          <w:szCs w:val="24"/>
        </w:rPr>
        <w:t>DAMIAN Investment Company Inc. CZ, s.r.o.</w:t>
      </w:r>
    </w:p>
    <w:p w14:paraId="7643940F" w14:textId="714A3685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8F0FC1">
        <w:rPr>
          <w:sz w:val="24"/>
          <w:szCs w:val="24"/>
        </w:rPr>
        <w:t>Roháčova 145/14, 130 00 Praha 3</w:t>
      </w:r>
    </w:p>
    <w:p w14:paraId="1994083A" w14:textId="0CA9B7AB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8F0FC1" w:rsidRPr="00A66240">
        <w:rPr>
          <w:sz w:val="24"/>
          <w:szCs w:val="24"/>
        </w:rPr>
        <w:t>v</w:t>
      </w:r>
      <w:r w:rsidR="008F0FC1">
        <w:rPr>
          <w:sz w:val="24"/>
          <w:szCs w:val="24"/>
        </w:rPr>
        <w:t> obchodním rejstříku</w:t>
      </w:r>
      <w:r w:rsidR="008F0FC1" w:rsidRPr="00A66240">
        <w:rPr>
          <w:sz w:val="24"/>
          <w:szCs w:val="24"/>
        </w:rPr>
        <w:t xml:space="preserve"> u Městského soudu v</w:t>
      </w:r>
      <w:r w:rsidR="00566701">
        <w:rPr>
          <w:sz w:val="24"/>
          <w:szCs w:val="24"/>
        </w:rPr>
        <w:t> </w:t>
      </w:r>
      <w:r w:rsidR="008F0FC1" w:rsidRPr="00A66240">
        <w:rPr>
          <w:sz w:val="24"/>
          <w:szCs w:val="24"/>
        </w:rPr>
        <w:t>Praze</w:t>
      </w:r>
      <w:r w:rsidR="00566701">
        <w:rPr>
          <w:sz w:val="24"/>
          <w:szCs w:val="24"/>
        </w:rPr>
        <w:t>, oddíl C, vložka 209868</w:t>
      </w:r>
    </w:p>
    <w:p w14:paraId="5F0C4773" w14:textId="08754D06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B477C4">
        <w:rPr>
          <w:sz w:val="24"/>
          <w:szCs w:val="24"/>
        </w:rPr>
        <w:t>XXXXX</w:t>
      </w:r>
    </w:p>
    <w:p w14:paraId="751DF153" w14:textId="570AEAEC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8F0FC1">
        <w:rPr>
          <w:sz w:val="24"/>
          <w:szCs w:val="24"/>
        </w:rPr>
        <w:t>01657542</w:t>
      </w:r>
    </w:p>
    <w:p w14:paraId="18BFE23C" w14:textId="21695F76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8F0FC1">
        <w:rPr>
          <w:sz w:val="24"/>
          <w:szCs w:val="24"/>
        </w:rPr>
        <w:t>CZ01657542</w:t>
      </w:r>
    </w:p>
    <w:p w14:paraId="1456CCA0" w14:textId="64709A62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8F0FC1">
        <w:rPr>
          <w:sz w:val="24"/>
          <w:szCs w:val="24"/>
        </w:rPr>
        <w:t>4gxu34u</w:t>
      </w:r>
    </w:p>
    <w:p w14:paraId="60F4CBC6" w14:textId="265CF615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B477C4">
        <w:rPr>
          <w:sz w:val="24"/>
          <w:szCs w:val="24"/>
        </w:rPr>
        <w:t>XXXXX</w:t>
      </w:r>
    </w:p>
    <w:p w14:paraId="2A3A46DE" w14:textId="17A07615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B477C4">
        <w:rPr>
          <w:sz w:val="24"/>
          <w:szCs w:val="24"/>
        </w:rPr>
        <w:t>XXXXX</w:t>
      </w:r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A08917D" w14:textId="583CDE49" w:rsidR="00A66240" w:rsidRPr="002A3430" w:rsidRDefault="00A66240" w:rsidP="00566701">
      <w:pPr>
        <w:pStyle w:val="Odstavecseseznamem"/>
        <w:numPr>
          <w:ilvl w:val="0"/>
          <w:numId w:val="41"/>
        </w:numPr>
        <w:spacing w:after="0" w:line="100" w:lineRule="atLeast"/>
        <w:ind w:right="-568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</w:t>
      </w:r>
      <w:r w:rsidR="006C6C16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75C2411F" w14:textId="43F2A4F5" w:rsidR="00A66240" w:rsidRPr="006C6C16" w:rsidRDefault="006C6C16" w:rsidP="006C6C16">
      <w:pPr>
        <w:spacing w:line="100" w:lineRule="atLeast"/>
        <w:ind w:left="120" w:firstLine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66240" w:rsidRPr="006C6C16">
        <w:rPr>
          <w:sz w:val="24"/>
          <w:szCs w:val="24"/>
        </w:rPr>
        <w:t>technických:</w:t>
      </w:r>
      <w:r w:rsidR="00A66240" w:rsidRPr="006C6C16"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B477C4" w:rsidRPr="006C6C16">
        <w:rPr>
          <w:sz w:val="24"/>
          <w:szCs w:val="24"/>
        </w:rPr>
        <w:t>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5004B3AE" w14:textId="77777777" w:rsidR="00A66240" w:rsidRPr="00176E21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789A1976" w14:textId="77777777" w:rsidR="00EA1161" w:rsidRDefault="00EA1161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4D4C92A" w14:textId="4B6D9AD4" w:rsidR="00692ECE" w:rsidRDefault="003A4CC7" w:rsidP="002A3430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akce</w:t>
      </w:r>
      <w:r w:rsidR="00472729">
        <w:rPr>
          <w:sz w:val="24"/>
        </w:rPr>
        <w:t xml:space="preserve"> </w:t>
      </w:r>
      <w:r w:rsidR="00231BB5">
        <w:rPr>
          <w:sz w:val="24"/>
        </w:rPr>
        <w:t>„</w:t>
      </w:r>
      <w:r w:rsidR="00F65279" w:rsidRPr="00F65279">
        <w:rPr>
          <w:color w:val="000000"/>
          <w:sz w:val="24"/>
        </w:rPr>
        <w:t>Olomouc, Křižíkova -  komplexní oprava ubytovacích buněk ve 3. NP</w:t>
      </w:r>
      <w:r w:rsidR="00472729">
        <w:rPr>
          <w:sz w:val="24"/>
        </w:rPr>
        <w:t>“.</w:t>
      </w:r>
    </w:p>
    <w:p w14:paraId="1236224F" w14:textId="77777777" w:rsidR="00692ECE" w:rsidRDefault="00692ECE" w:rsidP="00692ECE">
      <w:pPr>
        <w:spacing w:beforeLines="20" w:before="48"/>
        <w:ind w:firstLine="720"/>
        <w:jc w:val="both"/>
        <w:rPr>
          <w:sz w:val="24"/>
        </w:rPr>
      </w:pPr>
    </w:p>
    <w:p w14:paraId="41CEE034" w14:textId="21519089" w:rsidR="003A4CC7" w:rsidRDefault="000B70BA" w:rsidP="002A3430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</w:t>
      </w:r>
      <w:r w:rsidR="00231BB5">
        <w:rPr>
          <w:sz w:val="24"/>
          <w:szCs w:val="24"/>
        </w:rPr>
        <w:t>:</w:t>
      </w:r>
    </w:p>
    <w:p w14:paraId="4643D21B" w14:textId="23E87C28" w:rsidR="00FE649F" w:rsidRPr="00EA1161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t>Vystěhování nábytku a vybavení pokojů včetně manipulace po objektu</w:t>
      </w:r>
      <w:r w:rsidRPr="00FE649F">
        <w:rPr>
          <w:rFonts w:ascii="Times New Roman" w:hAnsi="Times New Roman"/>
          <w:sz w:val="32"/>
          <w:szCs w:val="24"/>
        </w:rPr>
        <w:t xml:space="preserve"> </w:t>
      </w:r>
    </w:p>
    <w:p w14:paraId="66B1A173" w14:textId="36A62D14" w:rsidR="00FE649F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t>Oprava sociálních zařízení a ubytovacích částí včetně provedení bouracích prací,</w:t>
      </w:r>
      <w:r w:rsidR="00FE649F">
        <w:rPr>
          <w:rFonts w:ascii="Times New Roman" w:hAnsi="Times New Roman"/>
          <w:sz w:val="24"/>
        </w:rPr>
        <w:t xml:space="preserve"> </w:t>
      </w:r>
      <w:r w:rsidRPr="00EA1161">
        <w:rPr>
          <w:rFonts w:ascii="Times New Roman" w:hAnsi="Times New Roman"/>
          <w:sz w:val="24"/>
        </w:rPr>
        <w:t xml:space="preserve">demontáží původních zařizovacích předmětů a vybavení </w:t>
      </w:r>
    </w:p>
    <w:p w14:paraId="0F8860E6" w14:textId="16E0F727" w:rsidR="00FE649F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t>Dodávka a montáž nových obkladů a dlažby</w:t>
      </w:r>
    </w:p>
    <w:p w14:paraId="28C2C13E" w14:textId="0A77D77A" w:rsidR="00FE649F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t>Dodávka a montáž nových zařizovacích předmětů a vybavení</w:t>
      </w:r>
    </w:p>
    <w:p w14:paraId="524EF310" w14:textId="275F3A5B" w:rsidR="00FE649F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t xml:space="preserve">Oprava vodovodních a odpadních rozvodů </w:t>
      </w:r>
    </w:p>
    <w:p w14:paraId="17EEDDC8" w14:textId="5C57870F" w:rsidR="00FE649F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t>Oprava světelných a zásuvkových obvodů a rozvodů včetně dodávky osvětlení</w:t>
      </w:r>
    </w:p>
    <w:p w14:paraId="603D816F" w14:textId="061B37A5" w:rsidR="00FE649F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t xml:space="preserve">Oprava omítek a výmalba všech prostor </w:t>
      </w:r>
    </w:p>
    <w:p w14:paraId="342D9A1C" w14:textId="7152A8BF" w:rsidR="00FE649F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t>Oprava podlah a výměna podlahové krytiny</w:t>
      </w:r>
    </w:p>
    <w:p w14:paraId="644AB56D" w14:textId="7F9ED407" w:rsidR="00FE649F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lastRenderedPageBreak/>
        <w:t xml:space="preserve"> Dodávka a montáž dveří včetně kování</w:t>
      </w:r>
    </w:p>
    <w:p w14:paraId="129AD192" w14:textId="28891272" w:rsidR="00FE649F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t xml:space="preserve">Zpětné nastěhování nábytku a vybavení pokojů včetně manipulace po objektu </w:t>
      </w:r>
    </w:p>
    <w:p w14:paraId="6200CC39" w14:textId="597C2E3E" w:rsidR="00FE649F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t xml:space="preserve">Ekologická likvidace demontovaného materiálu a suti </w:t>
      </w:r>
    </w:p>
    <w:p w14:paraId="20B94B10" w14:textId="7F724241" w:rsidR="00FE649F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t>Průběžný a závěrečný úklid</w:t>
      </w:r>
    </w:p>
    <w:p w14:paraId="3BA70ECC" w14:textId="7A34D288" w:rsidR="00F65279" w:rsidRPr="00EA1161" w:rsidRDefault="00F65279" w:rsidP="00EA1161">
      <w:pPr>
        <w:pStyle w:val="Odstavecseseznamem"/>
        <w:numPr>
          <w:ilvl w:val="0"/>
          <w:numId w:val="46"/>
        </w:numPr>
        <w:spacing w:after="0"/>
        <w:rPr>
          <w:sz w:val="24"/>
        </w:rPr>
      </w:pPr>
      <w:r w:rsidRPr="00EA1161">
        <w:rPr>
          <w:rFonts w:ascii="Times New Roman" w:hAnsi="Times New Roman"/>
          <w:sz w:val="24"/>
        </w:rPr>
        <w:t xml:space="preserve">Doložení prohlášení o shodách na dodávané materiály a prvky </w:t>
      </w:r>
    </w:p>
    <w:p w14:paraId="0CDE1BE2" w14:textId="77777777" w:rsidR="003A4CC7" w:rsidRDefault="003A4CC7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09F3FF98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FE649F">
        <w:rPr>
          <w:sz w:val="24"/>
          <w:szCs w:val="24"/>
        </w:rPr>
        <w:t xml:space="preserve">XII. </w:t>
      </w:r>
      <w:r w:rsidR="00231BB5">
        <w:rPr>
          <w:sz w:val="24"/>
          <w:szCs w:val="24"/>
        </w:rPr>
        <w:t xml:space="preserve">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5CBB5D8E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F65279" w:rsidRPr="00F65279">
        <w:rPr>
          <w:color w:val="000000"/>
          <w:sz w:val="24"/>
        </w:rPr>
        <w:t>do 1. 6. 2018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6B67D67E" w:rsidR="00C042BD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F65279" w:rsidRPr="00F65279">
        <w:rPr>
          <w:color w:val="000000"/>
          <w:sz w:val="24"/>
        </w:rPr>
        <w:t>Křižíkova 2, Olomouc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0832FE87" w14:textId="53477D2D" w:rsidR="00C042BD" w:rsidRPr="00EA1161" w:rsidRDefault="00EA1161" w:rsidP="00EA1161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="00A66240" w:rsidRPr="00EA1161">
        <w:rPr>
          <w:b/>
          <w:sz w:val="24"/>
          <w:szCs w:val="24"/>
        </w:rPr>
        <w:t>Cena díla</w:t>
      </w:r>
    </w:p>
    <w:p w14:paraId="275B45D4" w14:textId="71A8F3A0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566701">
        <w:rPr>
          <w:b/>
          <w:sz w:val="24"/>
        </w:rPr>
        <w:t>492 669</w:t>
      </w:r>
      <w:r w:rsidR="009C1202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70A12004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r w:rsidR="00566701">
        <w:rPr>
          <w:sz w:val="24"/>
        </w:rPr>
        <w:t>čtyřistadevadesátdvatisícšestsetšedesátdevět</w:t>
      </w:r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372A4DC3" w14:textId="77777777" w:rsidR="00B32EFA" w:rsidRPr="003B6F68" w:rsidRDefault="00B32EFA" w:rsidP="00B32EFA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6CF60AC7" w14:textId="0F37245D" w:rsidR="00B32EFA" w:rsidRPr="00605DE4" w:rsidRDefault="00B32EFA" w:rsidP="00B32EFA">
      <w:pPr>
        <w:pStyle w:val="Zkladntext"/>
        <w:numPr>
          <w:ilvl w:val="0"/>
          <w:numId w:val="30"/>
        </w:numPr>
        <w:tabs>
          <w:tab w:val="clear" w:pos="851"/>
          <w:tab w:val="num" w:pos="0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9122DF">
        <w:rPr>
          <w:rFonts w:ascii="Times New Roman" w:hAnsi="Times New Roman"/>
          <w:b w:val="0"/>
          <w:i w:val="0"/>
        </w:rPr>
        <w:t>Objednatel se zavazuje uhradit cenu díla na základě faktury, jež bude vystavena v souladu s ustanovením § 11 odst. 1 zák.</w:t>
      </w:r>
      <w:r w:rsidR="00FE649F">
        <w:rPr>
          <w:rFonts w:ascii="Times New Roman" w:hAnsi="Times New Roman"/>
          <w:b w:val="0"/>
          <w:i w:val="0"/>
        </w:rPr>
        <w:t xml:space="preserve"> </w:t>
      </w:r>
      <w:r w:rsidRPr="009122DF">
        <w:rPr>
          <w:rFonts w:ascii="Times New Roman" w:hAnsi="Times New Roman"/>
          <w:b w:val="0"/>
          <w:i w:val="0"/>
        </w:rPr>
        <w:t>č. 563/1991 Sb., ve znění pozdějších předpisů. Faktura musí dále obsahovat údaje podle zák.</w:t>
      </w:r>
      <w:r w:rsidR="00FE649F">
        <w:rPr>
          <w:rFonts w:ascii="Times New Roman" w:hAnsi="Times New Roman"/>
          <w:b w:val="0"/>
          <w:i w:val="0"/>
        </w:rPr>
        <w:t xml:space="preserve"> </w:t>
      </w:r>
      <w:r w:rsidRPr="009122DF">
        <w:rPr>
          <w:rFonts w:ascii="Times New Roman" w:hAnsi="Times New Roman"/>
          <w:b w:val="0"/>
          <w:i w:val="0"/>
        </w:rPr>
        <w:t>č. 235/2004, ve znění pozdějších předpisů, včetně uvedení klasifikace CZ-CPA a dále údaje pro účely stanovení režimu přenesené daňové povinnosti v souladu s § 92a tohoto zákona.</w:t>
      </w:r>
    </w:p>
    <w:p w14:paraId="36086570" w14:textId="77777777" w:rsidR="00B32EFA" w:rsidRPr="00605DE4" w:rsidRDefault="00B32EFA" w:rsidP="00B32EFA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do</w:t>
      </w:r>
      <w:r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7B2837F3" w14:textId="70562353" w:rsidR="00B32EFA" w:rsidRPr="00B32EFA" w:rsidRDefault="00B32EFA" w:rsidP="00B32EFA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Cena za plnění předmětu této smlouvy bude zhotovitelem </w:t>
      </w:r>
      <w:r w:rsidRPr="00B32EFA">
        <w:rPr>
          <w:rFonts w:ascii="Times New Roman" w:hAnsi="Times New Roman"/>
          <w:b w:val="0"/>
          <w:i w:val="0"/>
        </w:rPr>
        <w:t xml:space="preserve">fakturována po dokončení díla do výše </w:t>
      </w:r>
      <w:r w:rsidR="00C21503">
        <w:rPr>
          <w:rFonts w:ascii="Times New Roman" w:hAnsi="Times New Roman"/>
          <w:b w:val="0"/>
          <w:i w:val="0"/>
        </w:rPr>
        <w:t> </w:t>
      </w:r>
      <w:r w:rsidR="00C21503" w:rsidRPr="00B32EFA">
        <w:rPr>
          <w:rFonts w:ascii="Times New Roman" w:hAnsi="Times New Roman"/>
          <w:b w:val="0"/>
          <w:i w:val="0"/>
        </w:rPr>
        <w:t>100</w:t>
      </w:r>
      <w:r w:rsidR="00C21503">
        <w:rPr>
          <w:rFonts w:ascii="Times New Roman" w:hAnsi="Times New Roman"/>
          <w:b w:val="0"/>
          <w:i w:val="0"/>
        </w:rPr>
        <w:t> </w:t>
      </w:r>
      <w:r w:rsidRPr="00B32EFA">
        <w:rPr>
          <w:rFonts w:ascii="Times New Roman" w:hAnsi="Times New Roman"/>
          <w:b w:val="0"/>
          <w:i w:val="0"/>
        </w:rPr>
        <w:t xml:space="preserve">% na základě předávacího protokolu. Na faktuře bude vyznačena pozastávka ve výši 10 %, která bude zhotoviteli uhrazena po odstranění případných vad a nedodělků. </w:t>
      </w:r>
    </w:p>
    <w:p w14:paraId="50F7634E" w14:textId="6804A0F0" w:rsidR="00B32EFA" w:rsidRPr="00B32EFA" w:rsidRDefault="00B32EFA" w:rsidP="00B32EFA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B32EFA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a převzetí celého díla, jakož i soupis provedených prací jednotlivých částí díla potvrzený zástupcem objednatele. </w:t>
      </w:r>
    </w:p>
    <w:p w14:paraId="4F2422CE" w14:textId="77777777" w:rsidR="003B6F68" w:rsidRPr="003B6F68" w:rsidRDefault="003B6F68" w:rsidP="003B6F68">
      <w:pPr>
        <w:ind w:left="142"/>
        <w:jc w:val="both"/>
      </w:pPr>
    </w:p>
    <w:p w14:paraId="0515C86D" w14:textId="3364A3B5"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lastRenderedPageBreak/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2E4B76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49E4933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Objednatel je oprávněn průběžně kontrolovat provádění díla formou kontrolních dnů, kdy </w:t>
      </w:r>
      <w:r w:rsidR="00502B8C">
        <w:rPr>
          <w:sz w:val="24"/>
        </w:rPr>
        <w:t xml:space="preserve">první 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 dohodě se zhotovitelem.</w:t>
      </w:r>
    </w:p>
    <w:p w14:paraId="0BF7B40C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08B3DDE3" w14:textId="47334952" w:rsidR="009C42A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color w:val="FF0000"/>
          <w:sz w:val="24"/>
        </w:rPr>
      </w:pPr>
      <w:r w:rsidRPr="00F65279">
        <w:rPr>
          <w:sz w:val="24"/>
        </w:rPr>
        <w:t xml:space="preserve">V případě, že dojde ke změně </w:t>
      </w:r>
      <w:r w:rsidR="004F604D" w:rsidRPr="00F65279">
        <w:rPr>
          <w:sz w:val="24"/>
        </w:rPr>
        <w:t>poddodavatele</w:t>
      </w:r>
      <w:r w:rsidRPr="00F65279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9C42A7">
        <w:rPr>
          <w:sz w:val="24"/>
          <w:highlight w:val="yellow"/>
        </w:rPr>
        <w:t xml:space="preserve"> </w:t>
      </w:r>
    </w:p>
    <w:p w14:paraId="3201B739" w14:textId="34CE4A96" w:rsidR="009C42A7" w:rsidRPr="00300ADC" w:rsidRDefault="006A17E4" w:rsidP="006A17E4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6A17E4">
        <w:rPr>
          <w:sz w:val="24"/>
        </w:rPr>
        <w:t xml:space="preserve">Původcem odpadu vzniklého při realizaci stavby je zhotovitel. </w:t>
      </w:r>
    </w:p>
    <w:p w14:paraId="40153850" w14:textId="348AFD6F" w:rsidR="00FA2D4A" w:rsidRPr="002A3430" w:rsidRDefault="00FA2D4A" w:rsidP="002A3430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F65279">
        <w:rPr>
          <w:sz w:val="24"/>
        </w:rPr>
        <w:t>Zhotovitel bere na vědomí, že budova</w:t>
      </w:r>
      <w:r w:rsidR="00144D7E" w:rsidRPr="00F65279">
        <w:rPr>
          <w:sz w:val="24"/>
        </w:rPr>
        <w:t>,</w:t>
      </w:r>
      <w:r w:rsidRPr="00F65279">
        <w:rPr>
          <w:sz w:val="24"/>
        </w:rPr>
        <w:t xml:space="preserve"> v níž bude dílo provádět, je součástí vojenského areálu</w:t>
      </w:r>
      <w:r w:rsidR="008770C4" w:rsidRPr="00F65279">
        <w:rPr>
          <w:sz w:val="24"/>
        </w:rPr>
        <w:t xml:space="preserve"> </w:t>
      </w:r>
      <w:r w:rsidR="00BE53CF" w:rsidRPr="00F65279">
        <w:rPr>
          <w:sz w:val="24"/>
        </w:rPr>
        <w:t>a</w:t>
      </w:r>
      <w:r w:rsidR="00BE53CF">
        <w:rPr>
          <w:sz w:val="24"/>
        </w:rPr>
        <w:t> </w:t>
      </w:r>
      <w:r w:rsidR="00B71916" w:rsidRPr="00F65279">
        <w:rPr>
          <w:sz w:val="24"/>
        </w:rPr>
        <w:t>realizace díla</w:t>
      </w:r>
      <w:r w:rsidRPr="00F65279">
        <w:rPr>
          <w:sz w:val="24"/>
        </w:rPr>
        <w:t xml:space="preserve"> bude probíhat za provozu.</w:t>
      </w:r>
      <w:r w:rsidRPr="002A3430">
        <w:rPr>
          <w:sz w:val="24"/>
        </w:rPr>
        <w:t xml:space="preserve"> </w:t>
      </w:r>
      <w:r w:rsidR="00567814" w:rsidRPr="002A3430">
        <w:rPr>
          <w:sz w:val="24"/>
        </w:rPr>
        <w:t xml:space="preserve"> </w:t>
      </w:r>
    </w:p>
    <w:p w14:paraId="091E2E3B" w14:textId="77777777" w:rsidR="00605DE4" w:rsidRPr="00A27386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finanční prostředky získané za kovový odpad budou převedeny objednateli.</w:t>
      </w:r>
    </w:p>
    <w:p w14:paraId="428D3534" w14:textId="23AAB4AB" w:rsidR="00DA35ED" w:rsidRDefault="00605DE4" w:rsidP="003D0CBD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DA35ED">
        <w:rPr>
          <w:sz w:val="24"/>
        </w:rPr>
        <w:t>Veškeré administrativní poplatky hradí zhotovitel.</w:t>
      </w:r>
    </w:p>
    <w:p w14:paraId="68E17CA7" w14:textId="77777777" w:rsidR="007A55BA" w:rsidRDefault="007A55BA" w:rsidP="00385092"/>
    <w:p w14:paraId="738FF7F7" w14:textId="77777777" w:rsidR="00AE2642" w:rsidRPr="00EA1161" w:rsidRDefault="00F866AD" w:rsidP="00EA1161">
      <w:pPr>
        <w:shd w:val="clear" w:color="00FFFF" w:fill="auto"/>
        <w:spacing w:after="120"/>
        <w:jc w:val="center"/>
        <w:rPr>
          <w:b/>
          <w:sz w:val="24"/>
        </w:rPr>
      </w:pPr>
      <w:r w:rsidRPr="00EA1161">
        <w:rPr>
          <w:b/>
          <w:sz w:val="24"/>
        </w:rPr>
        <w:t xml:space="preserve">VI. </w:t>
      </w:r>
      <w:r w:rsidR="00AE2642" w:rsidRPr="00EA1161">
        <w:rPr>
          <w:b/>
          <w:sz w:val="24"/>
        </w:rPr>
        <w:t>Odpovědnost za vady – záruka</w:t>
      </w:r>
    </w:p>
    <w:p w14:paraId="7528AAD9" w14:textId="108076CC" w:rsidR="00AE2642" w:rsidRPr="00B54AA7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14:paraId="342F4B3B" w14:textId="2B5A3472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3B7FAB46" w14:textId="5E974714" w:rsidR="007A55BA" w:rsidRPr="00B54AA7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54AA7">
        <w:rPr>
          <w:sz w:val="24"/>
        </w:rPr>
        <w:t xml:space="preserve"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</w:t>
      </w:r>
      <w:r w:rsidR="007067A2" w:rsidRPr="00B54AA7">
        <w:rPr>
          <w:sz w:val="24"/>
        </w:rPr>
        <w:t>IX</w:t>
      </w:r>
      <w:r w:rsidR="00BE53CF">
        <w:rPr>
          <w:sz w:val="24"/>
        </w:rPr>
        <w:t>.</w:t>
      </w:r>
      <w:r w:rsidR="007067A2" w:rsidRPr="00B54AA7">
        <w:rPr>
          <w:sz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5984DADC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4B4C6C13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F65279" w:rsidRPr="00F65279">
        <w:rPr>
          <w:rFonts w:ascii="Times New Roman" w:hAnsi="Times New Roman"/>
          <w:color w:val="000000"/>
          <w:sz w:val="24"/>
          <w:szCs w:val="20"/>
        </w:rPr>
        <w:t>1 000 000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328DAE46" w14:textId="77777777" w:rsidR="00385092" w:rsidRPr="00A27386" w:rsidRDefault="00385092" w:rsidP="00EA1161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0BFC1A06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méněpráce a vícepráce vzniklé v průběhu zhotovení díla z titulu požadavku objednatele nebo vzniklé z důvodu změny stavebně technického řešení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naceněna nabídkou zhotovitele, použije se jednotková cena z této nabídky, </w:t>
      </w:r>
    </w:p>
    <w:p w14:paraId="0304F800" w14:textId="405116FB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</w:t>
      </w:r>
      <w:r w:rsidR="003D0CBD">
        <w:rPr>
          <w:rFonts w:ascii="Times New Roman" w:hAnsi="Times New Roman"/>
          <w:sz w:val="24"/>
          <w:szCs w:val="24"/>
        </w:rPr>
        <w:t>5</w:t>
      </w:r>
      <w:r w:rsidRPr="002368C4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66E1C8C1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provedeny (méněpráce), budou odečteny ve výši součtu veškerých odpovídajících položek a 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4B6A36F1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lastRenderedPageBreak/>
        <w:t xml:space="preserve">Zhotovitel je povinen na základě písemné </w:t>
      </w:r>
      <w:r w:rsidR="00F65279" w:rsidRPr="002A3430">
        <w:rPr>
          <w:rFonts w:ascii="Times New Roman" w:hAnsi="Times New Roman"/>
          <w:sz w:val="24"/>
          <w:szCs w:val="20"/>
        </w:rPr>
        <w:t>žádosti objednatele</w:t>
      </w:r>
      <w:r w:rsidR="00AE3B28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30E4BA8B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245376" w:rsidRDefault="0075034C" w:rsidP="002A3430">
      <w:pPr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>předání díla bude proveden zápis o předání a převzetí dokončeného díla, který podepíší zástupci obou smluvníc</w:t>
      </w:r>
      <w:r w:rsidR="00197CB7" w:rsidRPr="00A27386">
        <w:rPr>
          <w:sz w:val="24"/>
        </w:rPr>
        <w:t>h stran a při kterém zhotovitel předá a objednatel pře</w:t>
      </w:r>
      <w:r w:rsidR="002354D1" w:rsidRPr="00A27386">
        <w:rPr>
          <w:sz w:val="24"/>
        </w:rPr>
        <w:t xml:space="preserve">vezme veškerou dokumentaci dle </w:t>
      </w:r>
      <w:r w:rsidR="00654A49" w:rsidRPr="00AB1D32">
        <w:rPr>
          <w:sz w:val="24"/>
        </w:rPr>
        <w:t>č</w:t>
      </w:r>
      <w:r w:rsidR="00197CB7" w:rsidRPr="002A3430">
        <w:rPr>
          <w:sz w:val="24"/>
        </w:rPr>
        <w:t xml:space="preserve">lánku </w:t>
      </w:r>
      <w:r w:rsidR="002354D1" w:rsidRPr="002A3430">
        <w:rPr>
          <w:sz w:val="24"/>
        </w:rPr>
        <w:t xml:space="preserve">č. </w:t>
      </w:r>
      <w:r w:rsidR="00245376">
        <w:rPr>
          <w:sz w:val="24"/>
        </w:rPr>
        <w:t>I.</w:t>
      </w:r>
      <w:r w:rsidR="00245376" w:rsidRPr="00A27386">
        <w:rPr>
          <w:sz w:val="24"/>
        </w:rPr>
        <w:t xml:space="preserve"> </w:t>
      </w:r>
      <w:r w:rsidR="00197CB7" w:rsidRPr="00A27386">
        <w:rPr>
          <w:sz w:val="24"/>
        </w:rPr>
        <w:t>této smlouvy.</w:t>
      </w:r>
    </w:p>
    <w:p w14:paraId="2927FCA5" w14:textId="77777777" w:rsidR="006B0EA7" w:rsidRDefault="006B0EA7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69102698" w:rsidR="0019573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 xml:space="preserve">Při prodlení zhotovitele s předáním díla je objednatel oprávněn uplatnit smluvní pokutu ve výši </w:t>
      </w:r>
      <w:r w:rsidR="00E15791">
        <w:rPr>
          <w:rFonts w:ascii="Times New Roman" w:hAnsi="Times New Roman"/>
          <w:sz w:val="24"/>
          <w:szCs w:val="20"/>
        </w:rPr>
        <w:t xml:space="preserve">1 000 Kč </w:t>
      </w:r>
      <w:r w:rsidRPr="00B54AA7">
        <w:rPr>
          <w:rFonts w:ascii="Times New Roman" w:hAnsi="Times New Roman"/>
          <w:sz w:val="24"/>
          <w:szCs w:val="20"/>
        </w:rPr>
        <w:t xml:space="preserve">za každý den prodlení s předáním díla. </w:t>
      </w:r>
    </w:p>
    <w:p w14:paraId="3C7C35F9" w14:textId="2ECDAE76" w:rsidR="00AE264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>Při prodlení zhotovitele s odstraněním vad a nedodělků</w:t>
      </w:r>
      <w:r w:rsidR="00AE2642" w:rsidRPr="00B54AA7">
        <w:rPr>
          <w:rFonts w:ascii="Times New Roman" w:hAnsi="Times New Roman"/>
          <w:sz w:val="24"/>
          <w:szCs w:val="20"/>
        </w:rPr>
        <w:t xml:space="preserve"> v termínech stanovených v zápise o předání</w:t>
      </w:r>
      <w:r w:rsidRPr="00B54AA7">
        <w:rPr>
          <w:rFonts w:ascii="Times New Roman" w:hAnsi="Times New Roman"/>
          <w:sz w:val="24"/>
          <w:szCs w:val="20"/>
        </w:rPr>
        <w:t xml:space="preserve">, kdy tyto vady a nedodělky samy o sobě nebrání </w:t>
      </w:r>
      <w:r w:rsidR="00ED661D">
        <w:rPr>
          <w:rFonts w:ascii="Times New Roman" w:hAnsi="Times New Roman"/>
          <w:sz w:val="24"/>
          <w:szCs w:val="20"/>
        </w:rPr>
        <w:t>užívání</w:t>
      </w:r>
      <w:r w:rsidRPr="00B54AA7">
        <w:rPr>
          <w:rFonts w:ascii="Times New Roman" w:hAnsi="Times New Roman"/>
          <w:sz w:val="24"/>
          <w:szCs w:val="20"/>
        </w:rPr>
        <w:t>, je objednatel oprávněn uplatnit smluvní poku</w:t>
      </w:r>
      <w:r w:rsidR="00E70FB7" w:rsidRPr="00B54AA7">
        <w:rPr>
          <w:rFonts w:ascii="Times New Roman" w:hAnsi="Times New Roman"/>
          <w:sz w:val="24"/>
          <w:szCs w:val="20"/>
        </w:rPr>
        <w:t>t</w:t>
      </w:r>
      <w:r w:rsidRPr="00B54AA7">
        <w:rPr>
          <w:rFonts w:ascii="Times New Roman" w:hAnsi="Times New Roman"/>
          <w:sz w:val="24"/>
          <w:szCs w:val="20"/>
        </w:rPr>
        <w:t xml:space="preserve">u ve výši </w:t>
      </w:r>
      <w:r w:rsidR="00E15791">
        <w:rPr>
          <w:rFonts w:ascii="Times New Roman" w:hAnsi="Times New Roman"/>
          <w:sz w:val="24"/>
          <w:szCs w:val="20"/>
        </w:rPr>
        <w:t xml:space="preserve">1 000 Kč </w:t>
      </w:r>
      <w:r w:rsidRPr="00B54AA7">
        <w:rPr>
          <w:rFonts w:ascii="Times New Roman" w:hAnsi="Times New Roman"/>
          <w:sz w:val="24"/>
          <w:szCs w:val="20"/>
        </w:rPr>
        <w:t>za každý den prodlení s jejich odstraněním</w:t>
      </w:r>
      <w:r w:rsidR="00AE2642" w:rsidRPr="00B54AA7">
        <w:rPr>
          <w:rFonts w:ascii="Times New Roman" w:hAnsi="Times New Roman"/>
          <w:sz w:val="24"/>
          <w:szCs w:val="20"/>
        </w:rPr>
        <w:t>.</w:t>
      </w:r>
    </w:p>
    <w:p w14:paraId="042F5E43" w14:textId="6BDD9991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E15791" w:rsidRPr="00E15791">
        <w:rPr>
          <w:rFonts w:ascii="Times New Roman" w:hAnsi="Times New Roman"/>
          <w:color w:val="000000"/>
          <w:sz w:val="24"/>
          <w:szCs w:val="20"/>
        </w:rPr>
        <w:t>1 000</w:t>
      </w:r>
      <w:r w:rsidR="00245376" w:rsidRPr="00231BB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0DA85B87" w:rsidR="001A6F2A" w:rsidRPr="00231BB5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499/2006 Sb., v platn</w:t>
      </w:r>
      <w:r w:rsidR="00E15791">
        <w:rPr>
          <w:rFonts w:ascii="Times New Roman" w:hAnsi="Times New Roman"/>
          <w:sz w:val="24"/>
          <w:szCs w:val="20"/>
        </w:rPr>
        <w:t xml:space="preserve">ém znění je stanovena ve výši 1 </w:t>
      </w:r>
      <w:r w:rsidRPr="00A27386">
        <w:rPr>
          <w:rFonts w:ascii="Times New Roman" w:hAnsi="Times New Roman"/>
          <w:sz w:val="24"/>
          <w:szCs w:val="20"/>
        </w:rPr>
        <w:t>000 Kč 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647DE1C3" w14:textId="77777777" w:rsidR="00B54AA7" w:rsidRDefault="00AE2642" w:rsidP="00B54AA7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115CC0AA" w14:textId="77777777" w:rsidR="00AB1D32" w:rsidRDefault="00AB1D32" w:rsidP="00B54AA7">
      <w:pPr>
        <w:tabs>
          <w:tab w:val="num" w:pos="284"/>
        </w:tabs>
        <w:jc w:val="both"/>
        <w:rPr>
          <w:sz w:val="24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</w:t>
      </w:r>
      <w:r w:rsidRPr="002A3430">
        <w:rPr>
          <w:rFonts w:ascii="Times New Roman" w:hAnsi="Times New Roman"/>
          <w:sz w:val="24"/>
        </w:rPr>
        <w:lastRenderedPageBreak/>
        <w:t>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300AD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0D87885B" w:rsidR="00806F68" w:rsidRPr="002A3430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EA1161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67E8A4B9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  <w:r w:rsidR="00AB1D32">
        <w:rPr>
          <w:sz w:val="24"/>
          <w:szCs w:val="24"/>
        </w:rPr>
        <w:t xml:space="preserve"> vč. výkazu výměr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Default="00EA3BE5" w:rsidP="00EA3BE5">
      <w:pPr>
        <w:rPr>
          <w:sz w:val="24"/>
          <w:szCs w:val="24"/>
        </w:rPr>
      </w:pPr>
    </w:p>
    <w:p w14:paraId="7EDF7CA2" w14:textId="77777777" w:rsidR="00ED661D" w:rsidRDefault="00ED661D" w:rsidP="00EA3BE5">
      <w:pPr>
        <w:rPr>
          <w:sz w:val="24"/>
          <w:szCs w:val="24"/>
        </w:rPr>
      </w:pPr>
    </w:p>
    <w:p w14:paraId="3A45D30E" w14:textId="77777777" w:rsidR="00ED661D" w:rsidRDefault="00ED661D" w:rsidP="00EA3BE5">
      <w:pPr>
        <w:rPr>
          <w:sz w:val="24"/>
          <w:szCs w:val="24"/>
        </w:rPr>
      </w:pPr>
    </w:p>
    <w:p w14:paraId="1406E76B" w14:textId="77777777" w:rsidR="00AB1D32" w:rsidRPr="00095FDB" w:rsidRDefault="00AB1D32" w:rsidP="00EA3BE5">
      <w:pPr>
        <w:pStyle w:val="Zkladntext3"/>
        <w:spacing w:before="0" w:after="120"/>
        <w:jc w:val="both"/>
      </w:pPr>
    </w:p>
    <w:p w14:paraId="34230C15" w14:textId="1D93773E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>V Praze dne</w:t>
      </w:r>
      <w:r w:rsidR="00EA1161">
        <w:rPr>
          <w:sz w:val="24"/>
        </w:rPr>
        <w:tab/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566701">
        <w:rPr>
          <w:sz w:val="24"/>
        </w:rPr>
        <w:t>Praze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EA1161">
      <w:pPr>
        <w:tabs>
          <w:tab w:val="left" w:pos="5245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26108301" w14:textId="77777777" w:rsidR="00EA1161" w:rsidRDefault="00EA1161" w:rsidP="009C5B53">
      <w:pPr>
        <w:shd w:val="clear" w:color="auto" w:fill="FFFFFF"/>
        <w:rPr>
          <w:sz w:val="24"/>
        </w:rPr>
      </w:pPr>
    </w:p>
    <w:p w14:paraId="627E8E36" w14:textId="77777777" w:rsidR="00EA1161" w:rsidRDefault="00EA1161" w:rsidP="009C5B53">
      <w:pPr>
        <w:shd w:val="clear" w:color="auto" w:fill="FFFFFF"/>
        <w:rPr>
          <w:sz w:val="24"/>
        </w:rPr>
      </w:pPr>
    </w:p>
    <w:p w14:paraId="50B85FC7" w14:textId="67AC974D" w:rsidR="009C5B53" w:rsidRPr="009C5B53" w:rsidRDefault="009C5B53" w:rsidP="00EA1161">
      <w:pPr>
        <w:pStyle w:val="Odstavecseseznamem"/>
        <w:shd w:val="clear" w:color="auto" w:fill="FFFFFF"/>
        <w:tabs>
          <w:tab w:val="center" w:pos="7230"/>
        </w:tabs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="00EA1161">
        <w:rPr>
          <w:rFonts w:ascii="Times New Roman" w:hAnsi="Times New Roman"/>
          <w:sz w:val="24"/>
        </w:rPr>
        <w:tab/>
        <w:t>____________________________</w:t>
      </w:r>
    </w:p>
    <w:p w14:paraId="4C3F2A90" w14:textId="35512467" w:rsidR="009C5B53" w:rsidRPr="009C5B53" w:rsidRDefault="00DA48BE" w:rsidP="00EA1161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566701" w:rsidRPr="00566701">
        <w:rPr>
          <w:rFonts w:ascii="Times New Roman" w:hAnsi="Times New Roman"/>
          <w:sz w:val="24"/>
          <w:szCs w:val="24"/>
        </w:rPr>
        <w:t>DAMIAN Investment Company Inc. CZ, s.r.o.</w:t>
      </w:r>
    </w:p>
    <w:p w14:paraId="2E50A4EA" w14:textId="55E68910" w:rsidR="009C5B53" w:rsidRPr="009C5B53" w:rsidRDefault="00DA48BE" w:rsidP="00EA1161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477C4">
        <w:rPr>
          <w:rFonts w:ascii="Times New Roman" w:hAnsi="Times New Roman"/>
          <w:sz w:val="24"/>
        </w:rPr>
        <w:t>XXXXX</w:t>
      </w:r>
      <w:r>
        <w:rPr>
          <w:rFonts w:ascii="Times New Roman" w:hAnsi="Times New Roman"/>
          <w:sz w:val="24"/>
        </w:rPr>
        <w:tab/>
      </w:r>
      <w:r w:rsidR="00B477C4">
        <w:rPr>
          <w:rFonts w:ascii="Times New Roman" w:hAnsi="Times New Roman"/>
          <w:sz w:val="24"/>
          <w:szCs w:val="24"/>
        </w:rPr>
        <w:t>XXXXX</w:t>
      </w:r>
    </w:p>
    <w:p w14:paraId="02950D4A" w14:textId="127D6652" w:rsidR="00BE53CF" w:rsidRDefault="00DA48BE" w:rsidP="00EA1161">
      <w:pPr>
        <w:shd w:val="clear" w:color="auto" w:fill="FFFFFF"/>
        <w:tabs>
          <w:tab w:val="center" w:pos="2127"/>
          <w:tab w:val="center" w:pos="7230"/>
        </w:tabs>
        <w:ind w:left="720" w:firstLine="720"/>
        <w:rPr>
          <w:sz w:val="24"/>
          <w:szCs w:val="24"/>
        </w:rPr>
        <w:sectPr w:rsidR="00BE53CF" w:rsidSect="002A3430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425" w:footer="408" w:gutter="0"/>
          <w:cols w:space="708"/>
        </w:sectPr>
      </w:pPr>
      <w:r>
        <w:rPr>
          <w:sz w:val="24"/>
        </w:rPr>
        <w:tab/>
      </w:r>
      <w:r w:rsidR="00B477C4">
        <w:rPr>
          <w:sz w:val="24"/>
        </w:rPr>
        <w:t>XXXX</w:t>
      </w:r>
      <w:r>
        <w:rPr>
          <w:sz w:val="24"/>
        </w:rPr>
        <w:tab/>
      </w:r>
      <w:r w:rsidR="00B477C4">
        <w:rPr>
          <w:sz w:val="24"/>
          <w:szCs w:val="24"/>
        </w:rPr>
        <w:t>XXXX</w:t>
      </w:r>
    </w:p>
    <w:p w14:paraId="3D1A473D" w14:textId="77777777" w:rsidR="00ED661D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654A49">
        <w:rPr>
          <w:rFonts w:ascii="Times New Roman" w:hAnsi="Times New Roman"/>
          <w:sz w:val="24"/>
        </w:rPr>
        <w:t xml:space="preserve">                                 </w:t>
      </w:r>
    </w:p>
    <w:p w14:paraId="2B1BC067" w14:textId="77777777" w:rsidR="00ED661D" w:rsidRDefault="00ED661D" w:rsidP="00ED661D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62B10B0E" w14:textId="77777777" w:rsidR="00ED661D" w:rsidRDefault="00ED661D" w:rsidP="00ED661D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ED661D" w14:paraId="05EA9C71" w14:textId="77777777" w:rsidTr="00061B3C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D01F78C" w14:textId="77777777" w:rsidR="00ED661D" w:rsidRDefault="00ED661D" w:rsidP="00061B3C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827913" w14:textId="77777777" w:rsidR="00ED661D" w:rsidRDefault="00ED661D" w:rsidP="00061B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7EC2" w14:textId="77777777" w:rsidR="00ED661D" w:rsidRDefault="00ED661D" w:rsidP="00061B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ED661D" w14:paraId="5DD8D214" w14:textId="77777777" w:rsidTr="00061B3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48044DD" w14:textId="77777777" w:rsidR="00ED661D" w:rsidRDefault="00ED661D" w:rsidP="00ED661D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E9367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3F9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D661D" w14:paraId="304C2467" w14:textId="77777777" w:rsidTr="00061B3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00354F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0A150E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D68F81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ED661D" w14:paraId="0F2C67CF" w14:textId="77777777" w:rsidTr="00061B3C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1D4367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FCB45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15CB7D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ED661D" w14:paraId="43666A41" w14:textId="77777777" w:rsidTr="00061B3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972B2B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5FE897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6AA5C6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ED661D" w14:paraId="40F809FC" w14:textId="77777777" w:rsidTr="00061B3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072AD6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032ACE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8E2396" w14:textId="77777777" w:rsidR="00ED661D" w:rsidRDefault="00ED661D" w:rsidP="00061B3C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ED661D" w14:paraId="0D359D74" w14:textId="77777777" w:rsidTr="00061B3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A3CFE2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AC194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91389B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ED661D" w14:paraId="1BEAC4BA" w14:textId="77777777" w:rsidTr="00061B3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E62A74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F790A4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7497A8" w14:textId="77777777" w:rsidR="00ED661D" w:rsidRDefault="00ED661D" w:rsidP="00061B3C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ED661D" w14:paraId="6CF02C4A" w14:textId="77777777" w:rsidTr="00061B3C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889CBFE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963A07E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FE13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ED661D" w14:paraId="25E85BC8" w14:textId="77777777" w:rsidTr="00061B3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4E009CB" w14:textId="77777777" w:rsidR="00ED661D" w:rsidRDefault="00ED661D" w:rsidP="00ED661D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E494C7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5C94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D661D" w14:paraId="26B285E8" w14:textId="77777777" w:rsidTr="00061B3C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15BC1B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DE3759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FDF526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ED661D" w14:paraId="0DC7FB86" w14:textId="77777777" w:rsidTr="00061B3C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C7CA42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A7098F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26AD02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ED661D" w14:paraId="4521DD27" w14:textId="77777777" w:rsidTr="00061B3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08F655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EDEECA1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967C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ED661D" w14:paraId="1D455D89" w14:textId="77777777" w:rsidTr="00061B3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F2DED4C" w14:textId="77777777" w:rsidR="00ED661D" w:rsidRDefault="00ED661D" w:rsidP="00ED661D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F54510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6974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D661D" w14:paraId="0D0ECB6D" w14:textId="77777777" w:rsidTr="00061B3C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2214CF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84F9F9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3776CF2D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F6C5CA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ED661D" w14:paraId="261DD4D0" w14:textId="77777777" w:rsidTr="00061B3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9EBD70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D624F0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2953EE52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EA7F2E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ED661D" w14:paraId="0DCA2916" w14:textId="77777777" w:rsidTr="00061B3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7A05E1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406C2C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8288E2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ED661D" w14:paraId="6C78FC9E" w14:textId="77777777" w:rsidTr="00061B3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96E272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7A04C1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155C0C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ED661D" w14:paraId="74FC18B6" w14:textId="77777777" w:rsidTr="00061B3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802571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295D8E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F6F404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ED661D" w14:paraId="1298E5D5" w14:textId="77777777" w:rsidTr="00061B3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64D0777" w14:textId="77777777" w:rsidR="00ED661D" w:rsidRDefault="00ED661D" w:rsidP="00ED661D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2411C2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1BCB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D661D" w14:paraId="2C4980E8" w14:textId="77777777" w:rsidTr="00061B3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B5E0DE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8058DF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DE5401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ED661D" w14:paraId="396524EA" w14:textId="77777777" w:rsidTr="00061B3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E31641" w14:textId="77777777" w:rsidR="00ED661D" w:rsidRDefault="00ED661D" w:rsidP="00ED661D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4D98A84" w14:textId="77777777" w:rsidR="00ED661D" w:rsidRDefault="00ED661D" w:rsidP="00061B3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A7B1" w14:textId="77777777" w:rsidR="00ED661D" w:rsidRDefault="00ED661D" w:rsidP="00061B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58129AE5" w14:textId="79443010" w:rsidR="00806F68" w:rsidRPr="00560BF2" w:rsidRDefault="00ED661D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</w:t>
      </w:r>
      <w:r w:rsidR="00654A49">
        <w:rPr>
          <w:rFonts w:ascii="Times New Roman" w:hAnsi="Times New Roman"/>
          <w:sz w:val="24"/>
        </w:rPr>
        <w:t xml:space="preserve">       </w:t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2A3430">
      <w:headerReference w:type="default" r:id="rId13"/>
      <w:footerReference w:type="default" r:id="rId14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45F94" w14:textId="77777777" w:rsidR="00936462" w:rsidRDefault="00936462">
      <w:r>
        <w:separator/>
      </w:r>
    </w:p>
  </w:endnote>
  <w:endnote w:type="continuationSeparator" w:id="0">
    <w:p w14:paraId="76EF7040" w14:textId="77777777" w:rsidR="00936462" w:rsidRDefault="0093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6C6C16">
      <w:rPr>
        <w:rStyle w:val="slostrnky"/>
        <w:noProof/>
        <w:sz w:val="24"/>
        <w:szCs w:val="24"/>
      </w:rPr>
      <w:t>1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C4E6F" w14:textId="77777777" w:rsidR="00BE53CF" w:rsidRDefault="00BE53CF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2E9F05D" wp14:editId="03B6D2F7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8A59C" w14:textId="77777777" w:rsidR="00936462" w:rsidRDefault="00936462">
      <w:r>
        <w:separator/>
      </w:r>
    </w:p>
  </w:footnote>
  <w:footnote w:type="continuationSeparator" w:id="0">
    <w:p w14:paraId="7E75DC67" w14:textId="77777777" w:rsidR="00936462" w:rsidRDefault="0093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A070" w14:textId="00D4C817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3F0BB8">
      <w:rPr>
        <w:b/>
        <w:sz w:val="24"/>
        <w:szCs w:val="24"/>
      </w:rPr>
      <w:t>Smlouva č. U-092</w:t>
    </w:r>
    <w:r w:rsidRPr="00722094">
      <w:rPr>
        <w:b/>
        <w:sz w:val="24"/>
        <w:szCs w:val="24"/>
      </w:rPr>
      <w:t>-00/1</w:t>
    </w:r>
    <w:r w:rsidR="00E15791">
      <w:rPr>
        <w:b/>
        <w:sz w:val="24"/>
        <w:szCs w:val="24"/>
      </w:rPr>
      <w:t>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86074095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03B53" w14:textId="598F5676" w:rsidR="00BE53CF" w:rsidRPr="00722094" w:rsidRDefault="00BE53CF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Příloha č. 1 smlouvy č. U-092</w:t>
    </w:r>
    <w:r w:rsidRPr="00722094">
      <w:rPr>
        <w:b/>
        <w:sz w:val="24"/>
        <w:szCs w:val="24"/>
      </w:rPr>
      <w:t>-00/1</w:t>
    </w:r>
    <w:r>
      <w:rPr>
        <w:b/>
        <w:sz w:val="24"/>
        <w:szCs w:val="24"/>
      </w:rPr>
      <w:t>8</w:t>
    </w:r>
  </w:p>
  <w:p w14:paraId="4200A3A3" w14:textId="77777777" w:rsidR="00BE53CF" w:rsidRPr="003B5832" w:rsidRDefault="00BE53CF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2D927ECE" w14:textId="77777777" w:rsidR="00BE53CF" w:rsidRPr="00F76CCA" w:rsidRDefault="00BE53CF" w:rsidP="00F76CCA">
    <w:pPr>
      <w:pStyle w:val="Zhlav"/>
    </w:pPr>
    <w:r w:rsidRPr="00D56DF2">
      <w:rPr>
        <w:b/>
        <w:sz w:val="24"/>
        <w:szCs w:val="24"/>
      </w:rPr>
      <w:object w:dxaOrig="9808" w:dyaOrig="13612" w14:anchorId="62CAB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58607409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0874DE3"/>
    <w:multiLevelType w:val="hybridMultilevel"/>
    <w:tmpl w:val="815ABFD0"/>
    <w:lvl w:ilvl="0" w:tplc="4AAE65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461D9"/>
    <w:multiLevelType w:val="hybridMultilevel"/>
    <w:tmpl w:val="79F08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E25032"/>
    <w:multiLevelType w:val="hybridMultilevel"/>
    <w:tmpl w:val="C4C8CF3E"/>
    <w:lvl w:ilvl="0" w:tplc="00B47B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4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2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4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51E88"/>
    <w:multiLevelType w:val="hybridMultilevel"/>
    <w:tmpl w:val="8628312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AC7A714A">
      <w:start w:val="2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2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94334E"/>
    <w:multiLevelType w:val="hybridMultilevel"/>
    <w:tmpl w:val="D082A2F8"/>
    <w:lvl w:ilvl="0" w:tplc="8124C6F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000000" w:themeColor="text1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0"/>
  </w:num>
  <w:num w:numId="4">
    <w:abstractNumId w:val="42"/>
  </w:num>
  <w:num w:numId="5">
    <w:abstractNumId w:val="44"/>
  </w:num>
  <w:num w:numId="6">
    <w:abstractNumId w:val="11"/>
  </w:num>
  <w:num w:numId="7">
    <w:abstractNumId w:val="8"/>
  </w:num>
  <w:num w:numId="8">
    <w:abstractNumId w:val="39"/>
  </w:num>
  <w:num w:numId="9">
    <w:abstractNumId w:val="4"/>
  </w:num>
  <w:num w:numId="10">
    <w:abstractNumId w:val="40"/>
  </w:num>
  <w:num w:numId="11">
    <w:abstractNumId w:val="38"/>
  </w:num>
  <w:num w:numId="12">
    <w:abstractNumId w:val="14"/>
  </w:num>
  <w:num w:numId="13">
    <w:abstractNumId w:val="0"/>
  </w:num>
  <w:num w:numId="14">
    <w:abstractNumId w:val="37"/>
  </w:num>
  <w:num w:numId="15">
    <w:abstractNumId w:val="15"/>
  </w:num>
  <w:num w:numId="16">
    <w:abstractNumId w:val="33"/>
  </w:num>
  <w:num w:numId="17">
    <w:abstractNumId w:val="41"/>
  </w:num>
  <w:num w:numId="18">
    <w:abstractNumId w:val="32"/>
  </w:num>
  <w:num w:numId="19">
    <w:abstractNumId w:val="43"/>
  </w:num>
  <w:num w:numId="20">
    <w:abstractNumId w:val="3"/>
  </w:num>
  <w:num w:numId="21">
    <w:abstractNumId w:val="29"/>
  </w:num>
  <w:num w:numId="22">
    <w:abstractNumId w:val="9"/>
  </w:num>
  <w:num w:numId="23">
    <w:abstractNumId w:val="19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5"/>
  </w:num>
  <w:num w:numId="29">
    <w:abstractNumId w:val="36"/>
  </w:num>
  <w:num w:numId="30">
    <w:abstractNumId w:val="24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7"/>
  </w:num>
  <w:num w:numId="36">
    <w:abstractNumId w:val="30"/>
  </w:num>
  <w:num w:numId="37">
    <w:abstractNumId w:val="28"/>
  </w:num>
  <w:num w:numId="38">
    <w:abstractNumId w:val="22"/>
  </w:num>
  <w:num w:numId="39">
    <w:abstractNumId w:val="26"/>
  </w:num>
  <w:num w:numId="40">
    <w:abstractNumId w:val="18"/>
  </w:num>
  <w:num w:numId="41">
    <w:abstractNumId w:val="34"/>
  </w:num>
  <w:num w:numId="42">
    <w:abstractNumId w:val="7"/>
  </w:num>
  <w:num w:numId="43">
    <w:abstractNumId w:val="35"/>
  </w:num>
  <w:num w:numId="44">
    <w:abstractNumId w:val="12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2730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C7089"/>
    <w:rsid w:val="001D4ACE"/>
    <w:rsid w:val="001E3085"/>
    <w:rsid w:val="001E3793"/>
    <w:rsid w:val="001F23B4"/>
    <w:rsid w:val="001F395B"/>
    <w:rsid w:val="00203EBD"/>
    <w:rsid w:val="002161DA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61746"/>
    <w:rsid w:val="002658A9"/>
    <w:rsid w:val="00265D44"/>
    <w:rsid w:val="0027338A"/>
    <w:rsid w:val="002821D9"/>
    <w:rsid w:val="00286000"/>
    <w:rsid w:val="00287A1B"/>
    <w:rsid w:val="00296884"/>
    <w:rsid w:val="002A3430"/>
    <w:rsid w:val="002B2A1D"/>
    <w:rsid w:val="002B65DD"/>
    <w:rsid w:val="002C458F"/>
    <w:rsid w:val="002D19CF"/>
    <w:rsid w:val="002D2786"/>
    <w:rsid w:val="002D52B0"/>
    <w:rsid w:val="002E7917"/>
    <w:rsid w:val="002F0F50"/>
    <w:rsid w:val="002F3514"/>
    <w:rsid w:val="002F40E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85092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0CBD"/>
    <w:rsid w:val="003D29D6"/>
    <w:rsid w:val="003D5A9B"/>
    <w:rsid w:val="003E168E"/>
    <w:rsid w:val="003E47D3"/>
    <w:rsid w:val="003E582E"/>
    <w:rsid w:val="003F0BB8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701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67EA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81A23"/>
    <w:rsid w:val="006904F9"/>
    <w:rsid w:val="00690BCB"/>
    <w:rsid w:val="00692ECE"/>
    <w:rsid w:val="006939AA"/>
    <w:rsid w:val="00694AF4"/>
    <w:rsid w:val="006A17E4"/>
    <w:rsid w:val="006A1AA4"/>
    <w:rsid w:val="006A2A29"/>
    <w:rsid w:val="006A4D35"/>
    <w:rsid w:val="006A5382"/>
    <w:rsid w:val="006B0EA7"/>
    <w:rsid w:val="006B45DB"/>
    <w:rsid w:val="006C6C16"/>
    <w:rsid w:val="006D13BD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A55BA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108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86CE6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0FC1"/>
    <w:rsid w:val="008F59AC"/>
    <w:rsid w:val="008F6F60"/>
    <w:rsid w:val="00914F75"/>
    <w:rsid w:val="0092646A"/>
    <w:rsid w:val="009301F2"/>
    <w:rsid w:val="0093306C"/>
    <w:rsid w:val="00933172"/>
    <w:rsid w:val="00934FCA"/>
    <w:rsid w:val="00936462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3866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3584"/>
    <w:rsid w:val="00AD470B"/>
    <w:rsid w:val="00AD5CF4"/>
    <w:rsid w:val="00AE2642"/>
    <w:rsid w:val="00AE2BBA"/>
    <w:rsid w:val="00AE3B28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32704"/>
    <w:rsid w:val="00B32EFA"/>
    <w:rsid w:val="00B46B1D"/>
    <w:rsid w:val="00B477C4"/>
    <w:rsid w:val="00B54AA7"/>
    <w:rsid w:val="00B612D5"/>
    <w:rsid w:val="00B71916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3CF"/>
    <w:rsid w:val="00BE56B7"/>
    <w:rsid w:val="00BE5860"/>
    <w:rsid w:val="00BF2F1E"/>
    <w:rsid w:val="00BF3255"/>
    <w:rsid w:val="00C042BD"/>
    <w:rsid w:val="00C067BB"/>
    <w:rsid w:val="00C11333"/>
    <w:rsid w:val="00C1261B"/>
    <w:rsid w:val="00C12C0B"/>
    <w:rsid w:val="00C13571"/>
    <w:rsid w:val="00C21503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3C71"/>
    <w:rsid w:val="00C84727"/>
    <w:rsid w:val="00C84C3A"/>
    <w:rsid w:val="00C85501"/>
    <w:rsid w:val="00C85579"/>
    <w:rsid w:val="00C90FEB"/>
    <w:rsid w:val="00C9100B"/>
    <w:rsid w:val="00C9449D"/>
    <w:rsid w:val="00CA2F02"/>
    <w:rsid w:val="00CA6AD5"/>
    <w:rsid w:val="00CC1D62"/>
    <w:rsid w:val="00CC3786"/>
    <w:rsid w:val="00CD15A7"/>
    <w:rsid w:val="00CD44E1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1789C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6FCE"/>
    <w:rsid w:val="00D77061"/>
    <w:rsid w:val="00D864CA"/>
    <w:rsid w:val="00D8656A"/>
    <w:rsid w:val="00D93480"/>
    <w:rsid w:val="00DA05F4"/>
    <w:rsid w:val="00DA35ED"/>
    <w:rsid w:val="00DA3C03"/>
    <w:rsid w:val="00DA45BA"/>
    <w:rsid w:val="00DA48BE"/>
    <w:rsid w:val="00DA6E01"/>
    <w:rsid w:val="00DB0147"/>
    <w:rsid w:val="00DB72F5"/>
    <w:rsid w:val="00DC1B06"/>
    <w:rsid w:val="00DC26F4"/>
    <w:rsid w:val="00DD1AF4"/>
    <w:rsid w:val="00DD1FCA"/>
    <w:rsid w:val="00DE5981"/>
    <w:rsid w:val="00DF049E"/>
    <w:rsid w:val="00DF0C95"/>
    <w:rsid w:val="00DF1831"/>
    <w:rsid w:val="00DF6657"/>
    <w:rsid w:val="00E147D4"/>
    <w:rsid w:val="00E152A7"/>
    <w:rsid w:val="00E15791"/>
    <w:rsid w:val="00E25DEE"/>
    <w:rsid w:val="00E30091"/>
    <w:rsid w:val="00E3179B"/>
    <w:rsid w:val="00E34397"/>
    <w:rsid w:val="00E41848"/>
    <w:rsid w:val="00E43D89"/>
    <w:rsid w:val="00E51409"/>
    <w:rsid w:val="00E5417F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1161"/>
    <w:rsid w:val="00EA3503"/>
    <w:rsid w:val="00EA3BE5"/>
    <w:rsid w:val="00EB1CB6"/>
    <w:rsid w:val="00EB2847"/>
    <w:rsid w:val="00EB5CC4"/>
    <w:rsid w:val="00EB7238"/>
    <w:rsid w:val="00EC3F4B"/>
    <w:rsid w:val="00ED62CE"/>
    <w:rsid w:val="00ED661D"/>
    <w:rsid w:val="00EE5368"/>
    <w:rsid w:val="00EE78A7"/>
    <w:rsid w:val="00EF2358"/>
    <w:rsid w:val="00EF3C51"/>
    <w:rsid w:val="00EF5E3C"/>
    <w:rsid w:val="00F001D3"/>
    <w:rsid w:val="00F150A3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65279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E649F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704A-39FE-4D99-A34E-26BE13C6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2545</Words>
  <Characters>15021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17531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4</cp:revision>
  <cp:lastPrinted>2015-12-18T12:07:00Z</cp:lastPrinted>
  <dcterms:created xsi:type="dcterms:W3CDTF">2018-04-24T08:58:00Z</dcterms:created>
  <dcterms:modified xsi:type="dcterms:W3CDTF">2018-04-24T09:22:00Z</dcterms:modified>
</cp:coreProperties>
</file>