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Typeco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641748FF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05C57" w:rsidRPr="00A05C57">
        <w:rPr>
          <w:rFonts w:ascii="Times New Roman" w:hAnsi="Times New Roman" w:cs="Times New Roman"/>
          <w:sz w:val="24"/>
          <w:szCs w:val="24"/>
          <w:highlight w:val="black"/>
        </w:rPr>
        <w:t>xxxxxxxxxxxxxxxxxxxxxxxxxxxxxxxxxxxxxxxx</w:t>
      </w:r>
      <w:bookmarkStart w:id="0" w:name="_GoBack"/>
      <w:bookmarkEnd w:id="0"/>
      <w:proofErr w:type="spellEnd"/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25A75CC2" w14:textId="77777777" w:rsidR="00935185" w:rsidRPr="00935185" w:rsidRDefault="00935185" w:rsidP="009351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85">
        <w:rPr>
          <w:rFonts w:ascii="Times New Roman" w:hAnsi="Times New Roman" w:cs="Times New Roman"/>
          <w:sz w:val="24"/>
          <w:szCs w:val="24"/>
        </w:rPr>
        <w:t>Střední průmyslová škola, Praha 10, Na Třebešíně 2299</w:t>
      </w:r>
    </w:p>
    <w:p w14:paraId="549C3852" w14:textId="77777777" w:rsidR="00935185" w:rsidRPr="00935185" w:rsidRDefault="00935185" w:rsidP="009351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85">
        <w:rPr>
          <w:rFonts w:ascii="Times New Roman" w:hAnsi="Times New Roman" w:cs="Times New Roman"/>
          <w:sz w:val="24"/>
          <w:szCs w:val="24"/>
        </w:rPr>
        <w:t>Právní forma: Příspěvková organizace zřízená územním samosprávným celkem</w:t>
      </w:r>
    </w:p>
    <w:p w14:paraId="34944382" w14:textId="77777777" w:rsidR="00935185" w:rsidRPr="00935185" w:rsidRDefault="00BE742B" w:rsidP="009351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85">
        <w:rPr>
          <w:rFonts w:ascii="Times New Roman" w:hAnsi="Times New Roman" w:cs="Times New Roman"/>
          <w:sz w:val="24"/>
          <w:szCs w:val="24"/>
        </w:rPr>
        <w:t>Se sídlem:</w:t>
      </w:r>
      <w:r w:rsidRPr="00935185">
        <w:rPr>
          <w:rFonts w:ascii="Times New Roman" w:hAnsi="Times New Roman" w:cs="Times New Roman"/>
          <w:sz w:val="24"/>
          <w:szCs w:val="24"/>
        </w:rPr>
        <w:tab/>
      </w:r>
      <w:r w:rsidR="00037A18" w:rsidRPr="00935185">
        <w:rPr>
          <w:rFonts w:ascii="Times New Roman" w:hAnsi="Times New Roman" w:cs="Times New Roman"/>
          <w:sz w:val="24"/>
          <w:szCs w:val="24"/>
        </w:rPr>
        <w:tab/>
      </w:r>
      <w:r w:rsidR="00935185" w:rsidRPr="00935185">
        <w:rPr>
          <w:rFonts w:ascii="Times New Roman" w:hAnsi="Times New Roman" w:cs="Times New Roman"/>
          <w:sz w:val="24"/>
          <w:szCs w:val="24"/>
        </w:rPr>
        <w:t>Praha - Strašnice, Na Třebešíně 2299/69, PSČ 10000</w:t>
      </w:r>
    </w:p>
    <w:p w14:paraId="31D3C546" w14:textId="42D17C74" w:rsidR="000E084F" w:rsidRPr="00935185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85">
        <w:rPr>
          <w:rFonts w:ascii="Times New Roman" w:hAnsi="Times New Roman" w:cs="Times New Roman"/>
          <w:sz w:val="24"/>
          <w:szCs w:val="24"/>
        </w:rPr>
        <w:t>IČ:</w:t>
      </w:r>
      <w:r w:rsidRPr="00935185">
        <w:rPr>
          <w:rFonts w:ascii="Times New Roman" w:hAnsi="Times New Roman" w:cs="Times New Roman"/>
          <w:sz w:val="24"/>
          <w:szCs w:val="24"/>
        </w:rPr>
        <w:tab/>
      </w:r>
      <w:r w:rsidRPr="00935185">
        <w:rPr>
          <w:rFonts w:ascii="Times New Roman" w:hAnsi="Times New Roman" w:cs="Times New Roman"/>
          <w:sz w:val="24"/>
          <w:szCs w:val="24"/>
        </w:rPr>
        <w:tab/>
      </w:r>
      <w:r w:rsidR="000D357C" w:rsidRPr="00935185">
        <w:rPr>
          <w:rFonts w:ascii="Times New Roman" w:hAnsi="Times New Roman" w:cs="Times New Roman"/>
          <w:sz w:val="24"/>
          <w:szCs w:val="24"/>
        </w:rPr>
        <w:tab/>
      </w:r>
      <w:r w:rsidR="00935185" w:rsidRPr="00935185">
        <w:rPr>
          <w:rFonts w:ascii="Times New Roman" w:hAnsi="Times New Roman" w:cs="Times New Roman"/>
          <w:sz w:val="24"/>
          <w:szCs w:val="24"/>
        </w:rPr>
        <w:t>61385417</w:t>
      </w:r>
    </w:p>
    <w:p w14:paraId="2443DAA2" w14:textId="34FB92AF" w:rsidR="00BE742B" w:rsidRPr="00AD2556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85">
        <w:rPr>
          <w:rFonts w:ascii="Times New Roman" w:hAnsi="Times New Roman" w:cs="Times New Roman"/>
          <w:sz w:val="24"/>
          <w:szCs w:val="24"/>
        </w:rPr>
        <w:t>Jednající osoba</w:t>
      </w:r>
      <w:r w:rsidR="00AD2556" w:rsidRPr="00935185">
        <w:rPr>
          <w:rFonts w:ascii="Times New Roman" w:hAnsi="Times New Roman" w:cs="Times New Roman"/>
          <w:sz w:val="24"/>
          <w:szCs w:val="24"/>
        </w:rPr>
        <w:t>:</w:t>
      </w:r>
      <w:r w:rsidR="00037A18" w:rsidRPr="00935185">
        <w:rPr>
          <w:rFonts w:ascii="Times New Roman" w:hAnsi="Times New Roman" w:cs="Times New Roman"/>
          <w:sz w:val="24"/>
          <w:szCs w:val="24"/>
        </w:rPr>
        <w:tab/>
      </w:r>
      <w:r w:rsidR="00935185">
        <w:rPr>
          <w:rFonts w:ascii="Times New Roman" w:hAnsi="Times New Roman" w:cs="Times New Roman"/>
          <w:sz w:val="24"/>
          <w:szCs w:val="24"/>
        </w:rPr>
        <w:t>Luboš Bauer, ředitel školy</w:t>
      </w:r>
    </w:p>
    <w:p w14:paraId="5A274846" w14:textId="77777777" w:rsidR="005652F3" w:rsidRPr="000D357C" w:rsidRDefault="00BE742B" w:rsidP="00BE742B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7AFF94DF" w14:textId="58EE8ABD" w:rsidR="00AD2556" w:rsidRPr="009E7D70" w:rsidRDefault="00CA53E2" w:rsidP="009351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</w:t>
      </w:r>
      <w:r w:rsidR="00A741FC" w:rsidRPr="000D357C">
        <w:rPr>
          <w:rFonts w:ascii="Times New Roman" w:hAnsi="Times New Roman" w:cs="Times New Roman"/>
          <w:sz w:val="24"/>
          <w:szCs w:val="24"/>
        </w:rPr>
        <w:t>smlouvy</w:t>
      </w:r>
      <w:r w:rsidRPr="000D357C">
        <w:rPr>
          <w:rFonts w:ascii="Times New Roman" w:hAnsi="Times New Roman" w:cs="Times New Roman"/>
          <w:sz w:val="24"/>
          <w:szCs w:val="24"/>
        </w:rPr>
        <w:t xml:space="preserve"> je </w:t>
      </w:r>
      <w:r w:rsidR="0069040B">
        <w:rPr>
          <w:rFonts w:ascii="Times New Roman" w:hAnsi="Times New Roman" w:cs="Times New Roman"/>
          <w:sz w:val="24"/>
          <w:szCs w:val="24"/>
        </w:rPr>
        <w:t xml:space="preserve">závazek </w:t>
      </w:r>
      <w:r w:rsidR="00E25C46">
        <w:rPr>
          <w:rFonts w:ascii="Times New Roman" w:hAnsi="Times New Roman" w:cs="Times New Roman"/>
          <w:sz w:val="24"/>
          <w:szCs w:val="24"/>
        </w:rPr>
        <w:t>P</w:t>
      </w:r>
      <w:r w:rsidR="0069040B">
        <w:rPr>
          <w:rFonts w:ascii="Times New Roman" w:hAnsi="Times New Roman" w:cs="Times New Roman"/>
          <w:sz w:val="24"/>
          <w:szCs w:val="24"/>
        </w:rPr>
        <w:t xml:space="preserve">oskytovatele </w:t>
      </w:r>
      <w:r w:rsidR="001C2D33">
        <w:rPr>
          <w:rFonts w:ascii="Times New Roman" w:hAnsi="Times New Roman" w:cs="Times New Roman"/>
          <w:sz w:val="24"/>
          <w:szCs w:val="24"/>
        </w:rPr>
        <w:t>zajistit Příjemci poradenství při přípravě, realizaci a zajištění udržitelnosti projektu spolufinancovaném z fondů EU, konkrétně z</w:t>
      </w:r>
      <w:r w:rsidR="00E201BB">
        <w:rPr>
          <w:rFonts w:ascii="Times New Roman" w:hAnsi="Times New Roman" w:cs="Times New Roman"/>
          <w:sz w:val="24"/>
          <w:szCs w:val="24"/>
        </w:rPr>
        <w:t> operačního programu OP Praha Pól růstu</w:t>
      </w:r>
      <w:r w:rsidR="007452C0">
        <w:rPr>
          <w:rFonts w:ascii="Times New Roman" w:hAnsi="Times New Roman" w:cs="Times New Roman"/>
          <w:sz w:val="24"/>
          <w:szCs w:val="24"/>
        </w:rPr>
        <w:t xml:space="preserve"> v rámci výzvy č. </w:t>
      </w:r>
      <w:r w:rsidR="00350F53">
        <w:rPr>
          <w:rFonts w:ascii="Times New Roman" w:hAnsi="Times New Roman" w:cs="Times New Roman"/>
          <w:sz w:val="24"/>
          <w:szCs w:val="24"/>
        </w:rPr>
        <w:t>37</w:t>
      </w:r>
      <w:r w:rsidR="00DF51A2">
        <w:rPr>
          <w:rFonts w:ascii="Times New Roman" w:hAnsi="Times New Roman" w:cs="Times New Roman"/>
          <w:sz w:val="24"/>
          <w:szCs w:val="24"/>
        </w:rPr>
        <w:t xml:space="preserve"> Modernizace zařízení a vybavení pražských škol </w:t>
      </w:r>
      <w:r w:rsidR="00350F53">
        <w:rPr>
          <w:rFonts w:ascii="Times New Roman" w:hAnsi="Times New Roman" w:cs="Times New Roman"/>
          <w:sz w:val="24"/>
          <w:szCs w:val="24"/>
        </w:rPr>
        <w:t xml:space="preserve">II </w:t>
      </w:r>
      <w:r w:rsidR="007452C0">
        <w:rPr>
          <w:rFonts w:ascii="Times New Roman" w:hAnsi="Times New Roman" w:cs="Times New Roman"/>
          <w:sz w:val="24"/>
          <w:szCs w:val="24"/>
        </w:rPr>
        <w:t>v prioritní os</w:t>
      </w:r>
      <w:r w:rsidR="00E25C46">
        <w:rPr>
          <w:rFonts w:ascii="Times New Roman" w:hAnsi="Times New Roman" w:cs="Times New Roman"/>
          <w:sz w:val="24"/>
          <w:szCs w:val="24"/>
        </w:rPr>
        <w:t xml:space="preserve">e </w:t>
      </w:r>
      <w:r w:rsidR="00EC35C6">
        <w:rPr>
          <w:rFonts w:ascii="Times New Roman" w:hAnsi="Times New Roman" w:cs="Times New Roman"/>
          <w:sz w:val="24"/>
          <w:szCs w:val="24"/>
        </w:rPr>
        <w:t>4</w:t>
      </w:r>
      <w:r w:rsidR="00DF51A2">
        <w:rPr>
          <w:rFonts w:ascii="Times New Roman" w:hAnsi="Times New Roman" w:cs="Times New Roman"/>
          <w:sz w:val="24"/>
          <w:szCs w:val="24"/>
        </w:rPr>
        <w:t xml:space="preserve"> Vzdělání a vzdělanost a podpora zaměstnanosti </w:t>
      </w:r>
      <w:r w:rsidR="007452C0">
        <w:rPr>
          <w:rFonts w:ascii="Times New Roman" w:hAnsi="Times New Roman" w:cs="Times New Roman"/>
          <w:sz w:val="24"/>
          <w:szCs w:val="24"/>
        </w:rPr>
        <w:t xml:space="preserve">pro </w:t>
      </w:r>
      <w:r w:rsidR="007452C0" w:rsidRPr="00935185">
        <w:rPr>
          <w:rFonts w:ascii="Times New Roman" w:hAnsi="Times New Roman" w:cs="Times New Roman"/>
          <w:sz w:val="24"/>
          <w:szCs w:val="24"/>
        </w:rPr>
        <w:t xml:space="preserve">projekt </w:t>
      </w:r>
      <w:r w:rsidR="009745D4" w:rsidRPr="00935185">
        <w:rPr>
          <w:rFonts w:ascii="Times New Roman" w:hAnsi="Times New Roman" w:cs="Times New Roman"/>
          <w:sz w:val="24"/>
          <w:szCs w:val="24"/>
        </w:rPr>
        <w:t>„</w:t>
      </w:r>
      <w:r w:rsidR="00935185" w:rsidRPr="00935185">
        <w:rPr>
          <w:rFonts w:ascii="Arial" w:eastAsia="Times New Roman" w:hAnsi="Arial" w:cs="Arial"/>
          <w:color w:val="000000"/>
          <w:shd w:val="clear" w:color="auto" w:fill="FFFFFF"/>
        </w:rPr>
        <w:t xml:space="preserve">Odborná učebna </w:t>
      </w:r>
      <w:proofErr w:type="spellStart"/>
      <w:r w:rsidR="00935185" w:rsidRPr="00935185">
        <w:rPr>
          <w:rFonts w:ascii="Arial" w:eastAsia="Times New Roman" w:hAnsi="Arial" w:cs="Arial"/>
          <w:color w:val="000000"/>
          <w:shd w:val="clear" w:color="auto" w:fill="FFFFFF"/>
        </w:rPr>
        <w:t>mechatroniky</w:t>
      </w:r>
      <w:proofErr w:type="spellEnd"/>
      <w:r w:rsidR="00935185" w:rsidRPr="00935185">
        <w:rPr>
          <w:rFonts w:ascii="Arial" w:eastAsia="Times New Roman" w:hAnsi="Arial" w:cs="Arial"/>
          <w:color w:val="000000"/>
          <w:shd w:val="clear" w:color="auto" w:fill="FFFFFF"/>
        </w:rPr>
        <w:t xml:space="preserve"> v návaznosti na Průmysl 4.0</w:t>
      </w:r>
      <w:r w:rsidR="00935185">
        <w:rPr>
          <w:rFonts w:ascii="Arial" w:eastAsia="Times New Roman" w:hAnsi="Arial" w:cs="Arial"/>
          <w:color w:val="000000"/>
          <w:shd w:val="clear" w:color="auto" w:fill="FFFFFF"/>
        </w:rPr>
        <w:t>“</w:t>
      </w:r>
      <w:r w:rsidR="009745D4" w:rsidRPr="009E7D70">
        <w:rPr>
          <w:rFonts w:ascii="Times New Roman" w:hAnsi="Times New Roman" w:cs="Times New Roman"/>
          <w:sz w:val="24"/>
          <w:szCs w:val="24"/>
        </w:rPr>
        <w:t>.</w:t>
      </w:r>
    </w:p>
    <w:p w14:paraId="2B45CA82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6242BD2" w14:textId="77777777" w:rsidR="00DF51A2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44F3E7A4" w14:textId="74B1F519" w:rsidR="0069040B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zpracování studie proveditelnosti </w:t>
      </w:r>
    </w:p>
    <w:p w14:paraId="1795ACAD" w14:textId="0FA02874" w:rsidR="00DF51A2" w:rsidRDefault="00DF51A2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CBA analýzy, pokud je to pro projekt či projektový záměr nezbytné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</w:p>
    <w:p w14:paraId="3B65E457" w14:textId="70BC2BA1" w:rsidR="00E25C46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7DE2B858" w14:textId="3C348686" w:rsidR="00E201BB" w:rsidRPr="00A92241" w:rsidRDefault="00E201BB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výběrového řízení</w:t>
      </w:r>
    </w:p>
    <w:p w14:paraId="4EF59F8B" w14:textId="77777777" w:rsidR="00E25C46" w:rsidRPr="00A92241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A14A9CE" w14:textId="77777777" w:rsidR="00DF51A2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</w:t>
      </w:r>
    </w:p>
    <w:p w14:paraId="1B0B33DD" w14:textId="4516FB39" w:rsidR="00DF51A2" w:rsidRDefault="00DF51A2" w:rsidP="00DF51A2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odměnu</w:t>
      </w:r>
      <w:r w:rsidR="00A37F25">
        <w:rPr>
          <w:rFonts w:ascii="Times New Roman" w:hAnsi="Times New Roman" w:cs="Times New Roman"/>
          <w:sz w:val="24"/>
          <w:szCs w:val="24"/>
        </w:rPr>
        <w:t xml:space="preserve"> ve </w:t>
      </w:r>
      <w:r w:rsidR="00A37F25" w:rsidRPr="00935185">
        <w:rPr>
          <w:rFonts w:ascii="Times New Roman" w:hAnsi="Times New Roman" w:cs="Times New Roman"/>
          <w:sz w:val="24"/>
          <w:szCs w:val="24"/>
        </w:rPr>
        <w:t xml:space="preserve">výši </w:t>
      </w:r>
      <w:r w:rsidR="00935185" w:rsidRPr="00935185">
        <w:rPr>
          <w:rFonts w:ascii="Times New Roman" w:hAnsi="Times New Roman" w:cs="Times New Roman"/>
          <w:sz w:val="24"/>
          <w:szCs w:val="24"/>
        </w:rPr>
        <w:t xml:space="preserve">175.000 Kč včetně DPH (slovy: </w:t>
      </w:r>
      <w:proofErr w:type="spellStart"/>
      <w:r w:rsidR="00935185" w:rsidRPr="00935185">
        <w:rPr>
          <w:rFonts w:ascii="Times New Roman" w:hAnsi="Times New Roman" w:cs="Times New Roman"/>
          <w:sz w:val="24"/>
          <w:szCs w:val="24"/>
        </w:rPr>
        <w:t>stosedmdesátpěttisíc</w:t>
      </w:r>
      <w:proofErr w:type="spellEnd"/>
      <w:r w:rsidR="00A55268" w:rsidRPr="00935185">
        <w:rPr>
          <w:rFonts w:ascii="Times New Roman" w:hAnsi="Times New Roman" w:cs="Times New Roman"/>
          <w:sz w:val="24"/>
          <w:szCs w:val="24"/>
        </w:rPr>
        <w:t xml:space="preserve"> Kč).</w:t>
      </w:r>
      <w:r w:rsidR="00A55268">
        <w:rPr>
          <w:rFonts w:ascii="Times New Roman" w:hAnsi="Times New Roman" w:cs="Times New Roman"/>
          <w:sz w:val="24"/>
          <w:szCs w:val="24"/>
        </w:rPr>
        <w:t xml:space="preserve"> </w:t>
      </w:r>
      <w:r w:rsidR="00A37F25">
        <w:rPr>
          <w:rFonts w:ascii="Times New Roman" w:hAnsi="Times New Roman" w:cs="Times New Roman"/>
          <w:sz w:val="24"/>
          <w:szCs w:val="24"/>
        </w:rPr>
        <w:t xml:space="preserve">Tato odměna je splatná průběžně v následujících krocích: </w:t>
      </w:r>
    </w:p>
    <w:p w14:paraId="18542B2D" w14:textId="11E5FA8C" w:rsidR="00A37F25" w:rsidRDefault="00A37F25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40.000 Kč po odevzdání žádosti o dotaci na sběrném místě</w:t>
      </w:r>
    </w:p>
    <w:p w14:paraId="75820704" w14:textId="101E01CE" w:rsidR="00A37F25" w:rsidRDefault="00AC65F8" w:rsidP="00A37F25">
      <w:pPr>
        <w:pStyle w:val="Odstavecseseznamem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zbylá nárokovaná část</w:t>
      </w:r>
      <w:r w:rsidR="00C56595">
        <w:rPr>
          <w:rFonts w:ascii="Times New Roman" w:hAnsi="Times New Roman" w:cs="Times New Roman"/>
          <w:sz w:val="24"/>
          <w:szCs w:val="24"/>
        </w:rPr>
        <w:t>ka po schválení žádosti o dotaci</w:t>
      </w:r>
    </w:p>
    <w:p w14:paraId="1D783D7E" w14:textId="5AE0A153" w:rsidR="000C38BE" w:rsidRPr="0003016B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Pr="0003016B">
        <w:rPr>
          <w:rFonts w:ascii="Times New Roman" w:hAnsi="Times New Roman" w:cs="Times New Roman"/>
          <w:sz w:val="24"/>
          <w:szCs w:val="24"/>
        </w:rPr>
        <w:t>bu</w:t>
      </w:r>
      <w:r w:rsidR="00A37F25" w:rsidRPr="0003016B">
        <w:rPr>
          <w:rFonts w:ascii="Times New Roman" w:hAnsi="Times New Roman" w:cs="Times New Roman"/>
          <w:sz w:val="24"/>
          <w:szCs w:val="24"/>
        </w:rPr>
        <w:t>de vyplacena na základě daňových</w:t>
      </w:r>
      <w:r w:rsidRPr="0003016B">
        <w:rPr>
          <w:rFonts w:ascii="Times New Roman" w:hAnsi="Times New Roman" w:cs="Times New Roman"/>
          <w:sz w:val="24"/>
          <w:szCs w:val="24"/>
        </w:rPr>
        <w:t xml:space="preserve"> doklad</w:t>
      </w:r>
      <w:r w:rsidR="00A37F25" w:rsidRPr="0003016B">
        <w:rPr>
          <w:rFonts w:ascii="Times New Roman" w:hAnsi="Times New Roman" w:cs="Times New Roman"/>
          <w:sz w:val="24"/>
          <w:szCs w:val="24"/>
        </w:rPr>
        <w:t>ů (faktur</w:t>
      </w:r>
      <w:r w:rsidRPr="0003016B">
        <w:rPr>
          <w:rFonts w:ascii="Times New Roman" w:hAnsi="Times New Roman" w:cs="Times New Roman"/>
          <w:sz w:val="24"/>
          <w:szCs w:val="24"/>
        </w:rPr>
        <w:t>) vystaveného poskytovatelem.</w:t>
      </w:r>
    </w:p>
    <w:p w14:paraId="104379E0" w14:textId="10AB5DB6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5D2CCB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Pr="0003016B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62F9C83A" w:rsidR="003A3F16" w:rsidRPr="0003016B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5D2CCB">
        <w:rPr>
          <w:rFonts w:ascii="Times New Roman" w:hAnsi="Times New Roman" w:cs="Times New Roman"/>
          <w:sz w:val="24"/>
          <w:szCs w:val="24"/>
        </w:rPr>
        <w:t>3</w:t>
      </w:r>
      <w:r w:rsidR="0003016B" w:rsidRPr="0003016B">
        <w:rPr>
          <w:rFonts w:ascii="Times New Roman" w:hAnsi="Times New Roman" w:cs="Times New Roman"/>
          <w:sz w:val="24"/>
          <w:szCs w:val="24"/>
        </w:rPr>
        <w:t>0.000 Kč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 z </w:t>
      </w:r>
      <w:r w:rsidRPr="0003016B">
        <w:rPr>
          <w:rFonts w:ascii="Times New Roman" w:hAnsi="Times New Roman" w:cs="Times New Roman"/>
          <w:sz w:val="24"/>
          <w:szCs w:val="24"/>
        </w:rPr>
        <w:t>odměn</w:t>
      </w:r>
      <w:r w:rsidR="00FB1E13" w:rsidRPr="0003016B">
        <w:rPr>
          <w:rFonts w:ascii="Times New Roman" w:hAnsi="Times New Roman" w:cs="Times New Roman"/>
          <w:sz w:val="24"/>
          <w:szCs w:val="24"/>
        </w:rPr>
        <w:t>y</w:t>
      </w:r>
      <w:r w:rsidRPr="0003016B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03016B">
        <w:rPr>
          <w:rFonts w:ascii="Times New Roman" w:hAnsi="Times New Roman" w:cs="Times New Roman"/>
          <w:sz w:val="24"/>
          <w:szCs w:val="24"/>
        </w:rPr>
        <w:t>é</w:t>
      </w:r>
      <w:r w:rsidR="00B532B4" w:rsidRPr="0003016B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03016B">
        <w:rPr>
          <w:rFonts w:ascii="Times New Roman" w:hAnsi="Times New Roman" w:cs="Times New Roman"/>
          <w:sz w:val="24"/>
          <w:szCs w:val="24"/>
        </w:rPr>
        <w:t xml:space="preserve">) </w:t>
      </w:r>
      <w:r w:rsidR="00FB1E13" w:rsidRPr="0003016B">
        <w:rPr>
          <w:rFonts w:ascii="Times New Roman" w:hAnsi="Times New Roman" w:cs="Times New Roman"/>
          <w:sz w:val="24"/>
          <w:szCs w:val="24"/>
        </w:rPr>
        <w:t>tohoto čl</w:t>
      </w:r>
      <w:r w:rsidR="00C56595" w:rsidRPr="0003016B">
        <w:rPr>
          <w:rFonts w:ascii="Times New Roman" w:hAnsi="Times New Roman" w:cs="Times New Roman"/>
          <w:sz w:val="24"/>
          <w:szCs w:val="24"/>
        </w:rPr>
        <w:t>á</w:t>
      </w:r>
      <w:r w:rsidR="00FB1E13" w:rsidRPr="0003016B">
        <w:rPr>
          <w:rFonts w:ascii="Times New Roman" w:hAnsi="Times New Roman" w:cs="Times New Roman"/>
          <w:sz w:val="24"/>
          <w:szCs w:val="24"/>
        </w:rPr>
        <w:t xml:space="preserve">nku </w:t>
      </w:r>
      <w:r w:rsidRPr="0003016B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D35776E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  <w:r w:rsidR="00350F53">
        <w:rPr>
          <w:rFonts w:ascii="Times New Roman" w:hAnsi="Times New Roman" w:cs="Times New Roman"/>
          <w:sz w:val="24"/>
          <w:szCs w:val="24"/>
        </w:rPr>
        <w:t>.</w:t>
      </w:r>
    </w:p>
    <w:p w14:paraId="06B48F53" w14:textId="77777777" w:rsidR="00350F53" w:rsidRDefault="00350F53" w:rsidP="00350F5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Poskytovatel odpovídá za řádné splnění všech závazků z této smlouvy. Případné nedostatky v plnění zjištěné v průběhu plnění je poskytovatel neprodleně odstranit, popřípadě zjednat nápravu závadného stavu.</w:t>
      </w:r>
    </w:p>
    <w:p w14:paraId="374D2099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77777777" w:rsidR="00490F29" w:rsidRPr="0003016B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</w:t>
      </w:r>
      <w:r w:rsidRPr="0003016B">
        <w:rPr>
          <w:rFonts w:ascii="Times New Roman" w:hAnsi="Times New Roman" w:cs="Times New Roman"/>
          <w:sz w:val="24"/>
          <w:szCs w:val="24"/>
        </w:rPr>
        <w:t>ce má právo odstoupit od smlouvy, pokud Poskytovatel neplní řádně a včas své povinnosti vyplývající pro něj z této smlouvy.</w:t>
      </w:r>
    </w:p>
    <w:p w14:paraId="7901E07A" w14:textId="2F67F784" w:rsidR="00BE742B" w:rsidRPr="0003016B" w:rsidRDefault="003A4192" w:rsidP="0003016B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>Příjemce je oprávněn vypovědět smlouvu bez uvedení důvodů po uhrazení kompenzace druhé smluvní straně</w:t>
      </w:r>
      <w:r w:rsidR="00FB1E13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Smluvní pokuta činí </w:t>
      </w:r>
      <w:r w:rsidR="0003016B" w:rsidRPr="00030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10.000 Kč. 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33078A2" w14:textId="75907F4B" w:rsidR="00E20CF3" w:rsidRDefault="00E20CF3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 částky jsou včetně DPH.</w:t>
      </w:r>
    </w:p>
    <w:p w14:paraId="1E8B53EA" w14:textId="77777777" w:rsidR="00BE742B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4317E980" w14:textId="0FDD886E" w:rsidR="0003016B" w:rsidRDefault="0003016B" w:rsidP="0003016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6B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  <w:r w:rsidR="00350F53">
        <w:rPr>
          <w:rFonts w:ascii="Times New Roman" w:hAnsi="Times New Roman" w:cs="Times New Roman"/>
          <w:sz w:val="24"/>
          <w:szCs w:val="24"/>
        </w:rPr>
        <w:t xml:space="preserve">Příjemce je zodpovědný za vyvěšení uzavřené smlouvy dle platné legislativy v registru smluv. </w:t>
      </w:r>
    </w:p>
    <w:p w14:paraId="247FE2AF" w14:textId="71C296F3" w:rsidR="00350F53" w:rsidRPr="00EC5B0C" w:rsidRDefault="00350F53" w:rsidP="00350F53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B0C">
        <w:rPr>
          <w:rFonts w:ascii="Times New Roman" w:hAnsi="Times New Roman" w:cs="Times New Roman"/>
          <w:sz w:val="24"/>
          <w:szCs w:val="24"/>
        </w:rPr>
        <w:t>Poskytovatel se zavazuje řádně uchovávat originál smlouvy na předmět plnění smlouvy včetně příloh a jejích případných dodatků, veškeré originály účetních dokladů a originály dalších dokumentů souvisejících s realizací plnění v souladu s podmínkami OP</w:t>
      </w:r>
      <w:r>
        <w:rPr>
          <w:rFonts w:ascii="Times New Roman" w:hAnsi="Times New Roman" w:cs="Times New Roman"/>
          <w:sz w:val="24"/>
          <w:szCs w:val="24"/>
        </w:rPr>
        <w:t>PPR</w:t>
      </w:r>
      <w:r w:rsidRPr="00EC5B0C">
        <w:rPr>
          <w:rFonts w:ascii="Times New Roman" w:hAnsi="Times New Roman" w:cs="Times New Roman"/>
          <w:sz w:val="24"/>
          <w:szCs w:val="24"/>
        </w:rPr>
        <w:t>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subdodavatele. Uchazeč je dále povinen uchovávat účetní záznamy vztahující se k předmětu plnění v elektronické podobě.</w:t>
      </w:r>
    </w:p>
    <w:p w14:paraId="621F02C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152229" w:rsidRDefault="005535B0" w:rsidP="005535B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29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1AA2415" w14:textId="77777777" w:rsidR="005535B0" w:rsidRPr="00990C39" w:rsidRDefault="005535B0" w:rsidP="005535B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  <w:proofErr w:type="gramStart"/>
      <w:r>
        <w:rPr>
          <w:rFonts w:ascii="Times New Roman" w:hAnsi="Times New Roman" w:cs="Times New Roman"/>
          <w:sz w:val="24"/>
          <w:szCs w:val="24"/>
        </w:rPr>
        <w:t>č. 2 Čestné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43034790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Typeco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DDC33" w14:textId="1628505C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E7D7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14:paraId="15A56EB7" w14:textId="77777777" w:rsidR="005652F3" w:rsidRPr="000D357C" w:rsidRDefault="005652F3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3AB3A7D0" w14:textId="59F4E419" w:rsidR="00787E47" w:rsidRPr="00935185" w:rsidRDefault="00935185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5">
              <w:rPr>
                <w:rFonts w:ascii="Times New Roman" w:hAnsi="Times New Roman" w:cs="Times New Roman"/>
                <w:sz w:val="24"/>
                <w:szCs w:val="24"/>
              </w:rPr>
              <w:t>Luboš Bauer</w:t>
            </w:r>
          </w:p>
          <w:p w14:paraId="0B76C22B" w14:textId="77777777" w:rsidR="00935185" w:rsidRPr="00935185" w:rsidRDefault="00935185" w:rsidP="00935185">
            <w:pPr>
              <w:pStyle w:val="Bezmez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185">
              <w:rPr>
                <w:rFonts w:ascii="Times New Roman" w:hAnsi="Times New Roman" w:cs="Times New Roman"/>
                <w:sz w:val="24"/>
                <w:szCs w:val="24"/>
              </w:rPr>
              <w:t>Střední průmyslová škola, Praha 10, Na Třebešíně 2299</w:t>
            </w:r>
          </w:p>
          <w:p w14:paraId="7D9DC7BE" w14:textId="2F37D1C2" w:rsidR="009E7D70" w:rsidRPr="000D357C" w:rsidRDefault="009E7D70" w:rsidP="00A5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383DCD9A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1071D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90A94C4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5FA2D5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AB6D4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08B24FE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516D799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859F2AF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4DBFDED8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4D4D1F2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38703B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DA62BF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AF099B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1B44C66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87B8873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62E7E5D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70B2A6C6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4612AC1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EB1D5E7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2767C3B4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52CBA07D" w14:textId="77777777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0B966211" w14:textId="77777777" w:rsidR="00A55268" w:rsidRPr="000D357C" w:rsidRDefault="00A55268" w:rsidP="00A552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22DF6B46" w14:textId="77777777" w:rsidR="00935185" w:rsidRPr="00935185" w:rsidRDefault="00935185" w:rsidP="009351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85">
        <w:rPr>
          <w:rFonts w:ascii="Times New Roman" w:hAnsi="Times New Roman" w:cs="Times New Roman"/>
          <w:sz w:val="24"/>
          <w:szCs w:val="24"/>
        </w:rPr>
        <w:t>Střední průmyslová škola, Praha 10, Na Třebešíně 2299</w:t>
      </w:r>
    </w:p>
    <w:p w14:paraId="70232E40" w14:textId="77777777" w:rsidR="00935185" w:rsidRPr="00935185" w:rsidRDefault="00935185" w:rsidP="009351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85">
        <w:rPr>
          <w:rFonts w:ascii="Times New Roman" w:hAnsi="Times New Roman" w:cs="Times New Roman"/>
          <w:sz w:val="24"/>
          <w:szCs w:val="24"/>
        </w:rPr>
        <w:t>Právní forma: Příspěvková organizace zřízená územním samosprávným celkem</w:t>
      </w:r>
    </w:p>
    <w:p w14:paraId="10B23494" w14:textId="77777777" w:rsidR="00935185" w:rsidRPr="00935185" w:rsidRDefault="00935185" w:rsidP="009351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85">
        <w:rPr>
          <w:rFonts w:ascii="Times New Roman" w:hAnsi="Times New Roman" w:cs="Times New Roman"/>
          <w:sz w:val="24"/>
          <w:szCs w:val="24"/>
        </w:rPr>
        <w:t>Se sídlem:</w:t>
      </w:r>
      <w:r w:rsidRPr="00935185">
        <w:rPr>
          <w:rFonts w:ascii="Times New Roman" w:hAnsi="Times New Roman" w:cs="Times New Roman"/>
          <w:sz w:val="24"/>
          <w:szCs w:val="24"/>
        </w:rPr>
        <w:tab/>
      </w:r>
      <w:r w:rsidRPr="00935185">
        <w:rPr>
          <w:rFonts w:ascii="Times New Roman" w:hAnsi="Times New Roman" w:cs="Times New Roman"/>
          <w:sz w:val="24"/>
          <w:szCs w:val="24"/>
        </w:rPr>
        <w:tab/>
        <w:t>Praha - Strašnice, Na Třebešíně 2299/69, PSČ 10000</w:t>
      </w:r>
    </w:p>
    <w:p w14:paraId="1F97D7D3" w14:textId="77777777" w:rsidR="00935185" w:rsidRPr="00935185" w:rsidRDefault="00935185" w:rsidP="009351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85">
        <w:rPr>
          <w:rFonts w:ascii="Times New Roman" w:hAnsi="Times New Roman" w:cs="Times New Roman"/>
          <w:sz w:val="24"/>
          <w:szCs w:val="24"/>
        </w:rPr>
        <w:t>IČ:</w:t>
      </w:r>
      <w:r w:rsidRPr="00935185">
        <w:rPr>
          <w:rFonts w:ascii="Times New Roman" w:hAnsi="Times New Roman" w:cs="Times New Roman"/>
          <w:sz w:val="24"/>
          <w:szCs w:val="24"/>
        </w:rPr>
        <w:tab/>
      </w:r>
      <w:r w:rsidRPr="00935185">
        <w:rPr>
          <w:rFonts w:ascii="Times New Roman" w:hAnsi="Times New Roman" w:cs="Times New Roman"/>
          <w:sz w:val="24"/>
          <w:szCs w:val="24"/>
        </w:rPr>
        <w:tab/>
      </w:r>
      <w:r w:rsidRPr="00935185">
        <w:rPr>
          <w:rFonts w:ascii="Times New Roman" w:hAnsi="Times New Roman" w:cs="Times New Roman"/>
          <w:sz w:val="24"/>
          <w:szCs w:val="24"/>
        </w:rPr>
        <w:tab/>
        <w:t>61385417</w:t>
      </w:r>
    </w:p>
    <w:p w14:paraId="1F3F8D20" w14:textId="77777777" w:rsidR="00935185" w:rsidRPr="00AD2556" w:rsidRDefault="00935185" w:rsidP="0093518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35185">
        <w:rPr>
          <w:rFonts w:ascii="Times New Roman" w:hAnsi="Times New Roman" w:cs="Times New Roman"/>
          <w:sz w:val="24"/>
          <w:szCs w:val="24"/>
        </w:rPr>
        <w:t>Jednající osoba:</w:t>
      </w:r>
      <w:r w:rsidRPr="009351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Luboš Bauer, ředitel školy</w:t>
      </w:r>
    </w:p>
    <w:p w14:paraId="350CE08C" w14:textId="77777777" w:rsidR="00A55268" w:rsidRPr="000D357C" w:rsidRDefault="00A55268" w:rsidP="00A55268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7E28EBD3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935185">
        <w:rPr>
          <w:rFonts w:ascii="Times New Roman" w:hAnsi="Times New Roman" w:cs="Times New Roman"/>
          <w:sz w:val="24"/>
          <w:szCs w:val="24"/>
        </w:rPr>
        <w:t>Luboš Bauer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</w:t>
      </w: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6E27D2CB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V </w:t>
      </w:r>
      <w:r w:rsidR="009E7D70">
        <w:rPr>
          <w:rFonts w:ascii="Times New Roman" w:hAnsi="Times New Roman" w:cs="Times New Roman"/>
          <w:sz w:val="24"/>
          <w:szCs w:val="24"/>
        </w:rPr>
        <w:t>Praze</w:t>
      </w:r>
      <w:r w:rsidRPr="0075452B">
        <w:rPr>
          <w:rFonts w:ascii="Times New Roman" w:hAnsi="Times New Roman" w:cs="Times New Roman"/>
          <w:sz w:val="24"/>
          <w:szCs w:val="24"/>
        </w:rPr>
        <w:t xml:space="preserve"> dne ……………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thelas Bold Italic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B1"/>
    <w:rsid w:val="0003016B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206C27"/>
    <w:rsid w:val="00242CC9"/>
    <w:rsid w:val="0027031A"/>
    <w:rsid w:val="00280DC4"/>
    <w:rsid w:val="002C44AF"/>
    <w:rsid w:val="002D3CF2"/>
    <w:rsid w:val="002D56FE"/>
    <w:rsid w:val="00331EC1"/>
    <w:rsid w:val="00350F53"/>
    <w:rsid w:val="0036395A"/>
    <w:rsid w:val="00387B69"/>
    <w:rsid w:val="003A3F16"/>
    <w:rsid w:val="003A4192"/>
    <w:rsid w:val="00453C15"/>
    <w:rsid w:val="00490F29"/>
    <w:rsid w:val="004C68D4"/>
    <w:rsid w:val="004D673A"/>
    <w:rsid w:val="004F4997"/>
    <w:rsid w:val="00515F8B"/>
    <w:rsid w:val="005535B0"/>
    <w:rsid w:val="005652F3"/>
    <w:rsid w:val="005B22ED"/>
    <w:rsid w:val="005D2CCB"/>
    <w:rsid w:val="005E78B1"/>
    <w:rsid w:val="00601127"/>
    <w:rsid w:val="00640E86"/>
    <w:rsid w:val="006629FE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A5E83"/>
    <w:rsid w:val="008C5856"/>
    <w:rsid w:val="008E186A"/>
    <w:rsid w:val="009154AC"/>
    <w:rsid w:val="0093263B"/>
    <w:rsid w:val="00935185"/>
    <w:rsid w:val="0096740F"/>
    <w:rsid w:val="009724AE"/>
    <w:rsid w:val="009745D4"/>
    <w:rsid w:val="0097635A"/>
    <w:rsid w:val="00977D05"/>
    <w:rsid w:val="00981E0C"/>
    <w:rsid w:val="00990C39"/>
    <w:rsid w:val="009A5C35"/>
    <w:rsid w:val="009E7D70"/>
    <w:rsid w:val="00A05C57"/>
    <w:rsid w:val="00A15BC7"/>
    <w:rsid w:val="00A36798"/>
    <w:rsid w:val="00A37F25"/>
    <w:rsid w:val="00A55268"/>
    <w:rsid w:val="00A741FC"/>
    <w:rsid w:val="00A772FB"/>
    <w:rsid w:val="00AC65F8"/>
    <w:rsid w:val="00AD2556"/>
    <w:rsid w:val="00AE2967"/>
    <w:rsid w:val="00B00AB7"/>
    <w:rsid w:val="00B0468A"/>
    <w:rsid w:val="00B24E47"/>
    <w:rsid w:val="00B45E09"/>
    <w:rsid w:val="00B50118"/>
    <w:rsid w:val="00B532B4"/>
    <w:rsid w:val="00BA262F"/>
    <w:rsid w:val="00BB4271"/>
    <w:rsid w:val="00BE742B"/>
    <w:rsid w:val="00BF42A0"/>
    <w:rsid w:val="00C54912"/>
    <w:rsid w:val="00C56595"/>
    <w:rsid w:val="00C60607"/>
    <w:rsid w:val="00CA2C70"/>
    <w:rsid w:val="00CA53E2"/>
    <w:rsid w:val="00CE6A77"/>
    <w:rsid w:val="00CF52CD"/>
    <w:rsid w:val="00D038DE"/>
    <w:rsid w:val="00DD6855"/>
    <w:rsid w:val="00DF51A2"/>
    <w:rsid w:val="00E201BB"/>
    <w:rsid w:val="00E20CF3"/>
    <w:rsid w:val="00E25C46"/>
    <w:rsid w:val="00E8666B"/>
    <w:rsid w:val="00E9157E"/>
    <w:rsid w:val="00EC35C6"/>
    <w:rsid w:val="00F76F96"/>
    <w:rsid w:val="00F86FBE"/>
    <w:rsid w:val="00FA56A5"/>
    <w:rsid w:val="00FB1E13"/>
    <w:rsid w:val="00FC761F"/>
    <w:rsid w:val="00FD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0CA37B3E-FA9B-46EC-8E3F-DE0EECD0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37F2-03AE-4156-A52A-D9DAFA96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2065</Words>
  <Characters>12185</Characters>
  <Application>Microsoft Office Word</Application>
  <DocSecurity>0</DocSecurity>
  <Lines>101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KOŽELUH Jakub</cp:lastModifiedBy>
  <cp:revision>6</cp:revision>
  <cp:lastPrinted>2018-04-08T12:46:00Z</cp:lastPrinted>
  <dcterms:created xsi:type="dcterms:W3CDTF">2018-04-08T11:13:00Z</dcterms:created>
  <dcterms:modified xsi:type="dcterms:W3CDTF">2018-04-24T07:36:00Z</dcterms:modified>
</cp:coreProperties>
</file>