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29" w:rsidRDefault="004F4129">
      <w:pPr>
        <w:spacing w:line="14" w:lineRule="exact"/>
      </w:pPr>
    </w:p>
    <w:p w:rsidR="004F4129" w:rsidRDefault="00E75751">
      <w:pPr>
        <w:pStyle w:val="Zkladntext1"/>
        <w:framePr w:wrap="none" w:vAnchor="page" w:hAnchor="page" w:x="951" w:y="683"/>
        <w:shd w:val="clear" w:color="auto" w:fill="auto"/>
        <w:ind w:left="7900"/>
      </w:pPr>
      <w:r>
        <w:rPr>
          <w:color w:val="000000"/>
        </w:rPr>
        <w:t>Příloha č. 1 smlouvy</w:t>
      </w:r>
    </w:p>
    <w:p w:rsidR="004F4129" w:rsidRPr="003430CD" w:rsidRDefault="00E75751" w:rsidP="003430CD">
      <w:pPr>
        <w:pStyle w:val="Zkladntext1"/>
        <w:framePr w:w="10413" w:h="6199" w:hRule="exact" w:wrap="none" w:vAnchor="page" w:hAnchor="page" w:x="841" w:y="1928"/>
        <w:shd w:val="clear" w:color="auto" w:fill="auto"/>
        <w:spacing w:after="120"/>
        <w:jc w:val="both"/>
        <w:rPr>
          <w:b/>
        </w:rPr>
      </w:pPr>
      <w:r w:rsidRPr="003430CD">
        <w:rPr>
          <w:b/>
          <w:u w:val="single"/>
        </w:rPr>
        <w:t>Technická specifikace přístroje Glomax Explorer (GM3510):</w:t>
      </w:r>
    </w:p>
    <w:p w:rsidR="004F4129" w:rsidRPr="003430CD" w:rsidRDefault="00E75751" w:rsidP="003430CD">
      <w:pPr>
        <w:pStyle w:val="Zkladntext1"/>
        <w:framePr w:w="10413" w:h="6199" w:hRule="exact" w:wrap="none" w:vAnchor="page" w:hAnchor="page" w:x="841" w:y="1928"/>
        <w:shd w:val="clear" w:color="auto" w:fill="auto"/>
        <w:spacing w:after="120"/>
        <w:jc w:val="both"/>
        <w:rPr>
          <w:b/>
        </w:rPr>
      </w:pPr>
      <w:r w:rsidRPr="003430CD">
        <w:rPr>
          <w:b/>
        </w:rPr>
        <w:t>Přístroj pro měření fluorescence a luminiscence, umožňující práci s 6-384-jamkovou destičkou</w:t>
      </w:r>
    </w:p>
    <w:p w:rsidR="004F4129" w:rsidRPr="003430CD" w:rsidRDefault="00E75751" w:rsidP="003430CD">
      <w:pPr>
        <w:pStyle w:val="Zkladntext1"/>
        <w:framePr w:w="10413" w:h="6199" w:hRule="exact" w:wrap="none" w:vAnchor="page" w:hAnchor="page" w:x="841" w:y="1928"/>
        <w:shd w:val="clear" w:color="auto" w:fill="auto"/>
        <w:spacing w:after="120"/>
        <w:jc w:val="both"/>
        <w:rPr>
          <w:b/>
        </w:rPr>
      </w:pPr>
      <w:r w:rsidRPr="003430CD">
        <w:rPr>
          <w:b/>
        </w:rPr>
        <w:t>měření luminiscence: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ind w:left="1300" w:hanging="360"/>
      </w:pPr>
      <w:r>
        <w:t>spektrální rozsah minimálně 350-700nm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ind w:left="1300" w:hanging="360"/>
      </w:pPr>
      <w:r>
        <w:t xml:space="preserve">dynamický rozsah </w:t>
      </w:r>
      <w:r>
        <w:t xml:space="preserve">alespoň </w:t>
      </w:r>
      <w:r w:rsidRPr="003430CD">
        <w:rPr>
          <w:b/>
        </w:rPr>
        <w:t>9 řádů (bez použití filtrů a optického zesílení)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ind w:left="1300" w:hanging="360"/>
      </w:pPr>
      <w:r>
        <w:t xml:space="preserve">minimální detekční </w:t>
      </w:r>
      <w:r w:rsidRPr="003430CD">
        <w:rPr>
          <w:b/>
        </w:rPr>
        <w:t>limit 3 x 10</w:t>
      </w:r>
      <w:r w:rsidRPr="003430CD">
        <w:rPr>
          <w:b/>
          <w:vertAlign w:val="superscript"/>
        </w:rPr>
        <w:t>-21</w:t>
      </w:r>
      <w:r w:rsidRPr="003430CD">
        <w:rPr>
          <w:b/>
        </w:rPr>
        <w:t xml:space="preserve"> molu luciferázy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ind w:left="1300" w:hanging="360"/>
      </w:pPr>
      <w:r>
        <w:t xml:space="preserve">crosstalk menší než </w:t>
      </w:r>
      <w:r w:rsidRPr="003430CD">
        <w:rPr>
          <w:b/>
        </w:rPr>
        <w:t>3 x 10</w:t>
      </w:r>
      <w:r w:rsidRPr="003430CD">
        <w:rPr>
          <w:b/>
          <w:vertAlign w:val="superscript"/>
        </w:rPr>
        <w:t>-5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spacing w:line="343" w:lineRule="auto"/>
        <w:ind w:firstLine="940"/>
      </w:pPr>
      <w:r>
        <w:t xml:space="preserve">ověřená kompatibilita s Dual Luciferase Assays a NanoLuc Assays - DLReady™ a NanoLuc™ Ready </w:t>
      </w:r>
      <w:r w:rsidRPr="003430CD">
        <w:rPr>
          <w:b/>
        </w:rPr>
        <w:t>měření fluorescence: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spacing w:line="343" w:lineRule="auto"/>
        <w:ind w:left="1300" w:hanging="360"/>
      </w:pPr>
      <w:r>
        <w:t xml:space="preserve">zdroj </w:t>
      </w:r>
      <w:r>
        <w:t>fluorescence: LED diody specifických vlnových délek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ind w:left="1300" w:hanging="360"/>
      </w:pPr>
      <w:r>
        <w:t>nejméně 5 sad filtrů (excitačních/emisních) následujících parametrů v ceně dodávky: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ind w:left="1300" w:hanging="360"/>
      </w:pPr>
      <w:r w:rsidRPr="003430CD">
        <w:rPr>
          <w:b/>
        </w:rPr>
        <w:t>UV</w:t>
      </w:r>
      <w:r>
        <w:t xml:space="preserve"> (Ex: 365nm, Em: 415-445nm); </w:t>
      </w:r>
      <w:r w:rsidRPr="003430CD">
        <w:rPr>
          <w:b/>
        </w:rPr>
        <w:t>Blue</w:t>
      </w:r>
      <w:r>
        <w:t xml:space="preserve"> (Ex: 475nm, Em: 500-550nm); </w:t>
      </w:r>
      <w:r w:rsidRPr="003430CD">
        <w:rPr>
          <w:b/>
        </w:rPr>
        <w:t>Green</w:t>
      </w:r>
      <w:r>
        <w:t xml:space="preserve"> (Ex: 525nm, Em: 580- 640nm); </w:t>
      </w:r>
      <w:r w:rsidRPr="003430CD">
        <w:rPr>
          <w:b/>
        </w:rPr>
        <w:t>Red</w:t>
      </w:r>
      <w:r>
        <w:t xml:space="preserve"> (Ex: 625nm, Em: 6</w:t>
      </w:r>
      <w:r>
        <w:t xml:space="preserve">60-720nm); </w:t>
      </w:r>
      <w:r w:rsidRPr="003430CD">
        <w:rPr>
          <w:b/>
        </w:rPr>
        <w:t>AFC</w:t>
      </w:r>
      <w:r>
        <w:t xml:space="preserve"> (Ex: 405nm, Em: 495-505nm)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ind w:left="1300" w:hanging="360"/>
      </w:pPr>
      <w:r>
        <w:t>dynamický rozsah alespoň 6 řádů</w:t>
      </w:r>
    </w:p>
    <w:p w:rsidR="004F4129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1"/>
        </w:numPr>
        <w:shd w:val="clear" w:color="auto" w:fill="auto"/>
        <w:tabs>
          <w:tab w:val="left" w:pos="1309"/>
        </w:tabs>
        <w:spacing w:after="120"/>
        <w:ind w:left="1300" w:hanging="360"/>
      </w:pPr>
      <w:r>
        <w:t>minimální detekční limit 2fmol fluoresceinu/200μl</w:t>
      </w:r>
    </w:p>
    <w:p w:rsidR="004F4129" w:rsidRPr="003430CD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2"/>
        </w:numPr>
        <w:shd w:val="clear" w:color="auto" w:fill="auto"/>
        <w:tabs>
          <w:tab w:val="left" w:pos="277"/>
        </w:tabs>
        <w:spacing w:after="120"/>
        <w:jc w:val="both"/>
        <w:rPr>
          <w:b/>
        </w:rPr>
      </w:pPr>
      <w:r w:rsidRPr="003430CD">
        <w:rPr>
          <w:b/>
        </w:rPr>
        <w:t>2 injektory pracující s validovaným objemem alespoň v rozsahu 5-200μl</w:t>
      </w:r>
    </w:p>
    <w:p w:rsidR="004F4129" w:rsidRPr="003430CD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2"/>
        </w:numPr>
        <w:shd w:val="clear" w:color="auto" w:fill="auto"/>
        <w:tabs>
          <w:tab w:val="left" w:pos="282"/>
        </w:tabs>
        <w:spacing w:after="120"/>
        <w:jc w:val="both"/>
        <w:rPr>
          <w:b/>
        </w:rPr>
      </w:pPr>
      <w:r w:rsidRPr="003430CD">
        <w:rPr>
          <w:b/>
        </w:rPr>
        <w:t>Ovládání přístroje a export dat prostřednictvím tabletu (pevně</w:t>
      </w:r>
      <w:r w:rsidRPr="003430CD">
        <w:rPr>
          <w:b/>
        </w:rPr>
        <w:t xml:space="preserve"> integrovaného k tělu přístroje)</w:t>
      </w:r>
    </w:p>
    <w:p w:rsidR="004F4129" w:rsidRPr="003430CD" w:rsidRDefault="00E75751" w:rsidP="003430CD">
      <w:pPr>
        <w:pStyle w:val="Zkladntext1"/>
        <w:framePr w:w="10413" w:h="6199" w:hRule="exact" w:wrap="none" w:vAnchor="page" w:hAnchor="page" w:x="841" w:y="1928"/>
        <w:numPr>
          <w:ilvl w:val="0"/>
          <w:numId w:val="2"/>
        </w:numPr>
        <w:shd w:val="clear" w:color="auto" w:fill="auto"/>
        <w:tabs>
          <w:tab w:val="left" w:pos="296"/>
        </w:tabs>
        <w:jc w:val="both"/>
        <w:rPr>
          <w:b/>
        </w:rPr>
      </w:pPr>
      <w:r w:rsidRPr="003430CD">
        <w:rPr>
          <w:b/>
        </w:rPr>
        <w:t>Software pro ovládání přístroje, tvorbu protokolů a export dat je součástí ceny. Jeho aktualizace jsou bezplatné a jeho použití není limitováno licencemi (může být instalován na neo</w:t>
      </w:r>
      <w:bookmarkStart w:id="0" w:name="_GoBack"/>
      <w:bookmarkEnd w:id="0"/>
      <w:r w:rsidRPr="003430CD">
        <w:rPr>
          <w:b/>
        </w:rPr>
        <w:t>mezené množství PC).</w:t>
      </w:r>
    </w:p>
    <w:p w:rsidR="004F4129" w:rsidRDefault="004F4129">
      <w:pPr>
        <w:spacing w:line="14" w:lineRule="exact"/>
      </w:pPr>
    </w:p>
    <w:sectPr w:rsidR="004F41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51" w:rsidRDefault="00E75751">
      <w:r>
        <w:separator/>
      </w:r>
    </w:p>
  </w:endnote>
  <w:endnote w:type="continuationSeparator" w:id="0">
    <w:p w:rsidR="00E75751" w:rsidRDefault="00E7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51" w:rsidRDefault="00E75751"/>
  </w:footnote>
  <w:footnote w:type="continuationSeparator" w:id="0">
    <w:p w:rsidR="00E75751" w:rsidRDefault="00E757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6554"/>
    <w:multiLevelType w:val="multilevel"/>
    <w:tmpl w:val="2144713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D63EE2"/>
    <w:multiLevelType w:val="multilevel"/>
    <w:tmpl w:val="5212E96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9"/>
    <w:rsid w:val="003430CD"/>
    <w:rsid w:val="004F4129"/>
    <w:rsid w:val="00E7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A55D9-04D2-4612-92F7-9F04D74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41414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141414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0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0C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Schröffel Ondřej</cp:lastModifiedBy>
  <cp:revision>2</cp:revision>
  <cp:lastPrinted>2018-04-23T19:57:00Z</cp:lastPrinted>
  <dcterms:created xsi:type="dcterms:W3CDTF">2018-04-23T19:54:00Z</dcterms:created>
  <dcterms:modified xsi:type="dcterms:W3CDTF">2018-04-23T19:59:00Z</dcterms:modified>
</cp:coreProperties>
</file>