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C1" w:rsidRPr="005E42C1" w:rsidRDefault="00DC6A68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bookmarkStart w:id="0" w:name="_GoBack"/>
      <w:bookmarkEnd w:id="0"/>
      <w:r>
        <w:rPr>
          <w:rFonts w:asciiTheme="majorHAnsi" w:eastAsia="Calibri" w:hAnsiTheme="majorHAnsi" w:cs="Arial"/>
          <w:b/>
          <w:sz w:val="33"/>
          <w:szCs w:val="33"/>
        </w:rPr>
        <w:t>SMLOUVA</w:t>
      </w:r>
      <w:r w:rsidR="005E42C1" w:rsidRPr="005E42C1">
        <w:rPr>
          <w:rFonts w:asciiTheme="majorHAnsi" w:eastAsia="Calibri" w:hAnsiTheme="majorHAnsi" w:cs="Arial"/>
          <w:b/>
          <w:sz w:val="33"/>
          <w:szCs w:val="33"/>
        </w:rPr>
        <w:t xml:space="preserve"> O DÍLO</w:t>
      </w:r>
    </w:p>
    <w:p w:rsidR="005E42C1" w:rsidRPr="005E42C1" w:rsidRDefault="005E42C1" w:rsidP="00447F59">
      <w:pPr>
        <w:pStyle w:val="Nadpis1"/>
      </w:pPr>
      <w:r w:rsidRPr="005E42C1">
        <w:t>Článek I.</w:t>
      </w:r>
      <w:r w:rsidR="00E8493E">
        <w:br/>
      </w:r>
      <w:r w:rsidRPr="005E42C1">
        <w:t>Smluvní strany</w:t>
      </w:r>
    </w:p>
    <w:p w:rsidR="00E44506" w:rsidRPr="00C962D0" w:rsidRDefault="00E44506" w:rsidP="00E44506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C962D0">
        <w:rPr>
          <w:rFonts w:asciiTheme="majorHAnsi" w:eastAsia="Calibri" w:hAnsiTheme="majorHAnsi" w:cs="Arial"/>
          <w:b/>
        </w:rPr>
        <w:t xml:space="preserve">Název subjektu: </w:t>
      </w:r>
      <w:r w:rsidR="00811DBA">
        <w:rPr>
          <w:rFonts w:asciiTheme="majorHAnsi" w:eastAsia="Calibri" w:hAnsiTheme="majorHAnsi" w:cs="Arial"/>
          <w:b/>
        </w:rPr>
        <w:tab/>
      </w:r>
      <w:r w:rsidR="00A24E2A" w:rsidRPr="00C962D0">
        <w:rPr>
          <w:rFonts w:asciiTheme="majorHAnsi" w:hAnsiTheme="majorHAnsi" w:cs="Times New Roman"/>
          <w:b/>
        </w:rPr>
        <w:t>Gymnázium, Milevsko, Masarykova 183</w:t>
      </w:r>
    </w:p>
    <w:p w:rsidR="00E44506" w:rsidRPr="00C962D0" w:rsidRDefault="00E44506" w:rsidP="00E44506">
      <w:pPr>
        <w:ind w:left="360" w:hanging="357"/>
        <w:jc w:val="both"/>
        <w:rPr>
          <w:rFonts w:asciiTheme="majorHAnsi" w:eastAsia="Calibri" w:hAnsiTheme="majorHAnsi" w:cstheme="minorHAnsi"/>
        </w:rPr>
      </w:pPr>
      <w:r w:rsidRPr="00C962D0">
        <w:rPr>
          <w:rFonts w:asciiTheme="majorHAnsi" w:eastAsia="Calibri" w:hAnsiTheme="majorHAnsi" w:cstheme="minorHAnsi"/>
        </w:rPr>
        <w:t xml:space="preserve">Sídlo: </w:t>
      </w:r>
      <w:r w:rsidR="00811DBA">
        <w:rPr>
          <w:rFonts w:asciiTheme="majorHAnsi" w:eastAsia="Calibri" w:hAnsiTheme="majorHAnsi" w:cstheme="minorHAnsi"/>
        </w:rPr>
        <w:tab/>
      </w:r>
      <w:r w:rsidR="00811DBA">
        <w:rPr>
          <w:rFonts w:asciiTheme="majorHAnsi" w:eastAsia="Calibri" w:hAnsiTheme="majorHAnsi" w:cstheme="minorHAnsi"/>
        </w:rPr>
        <w:tab/>
      </w:r>
      <w:r w:rsidR="00811DBA">
        <w:rPr>
          <w:rFonts w:asciiTheme="majorHAnsi" w:eastAsia="Calibri" w:hAnsiTheme="majorHAnsi" w:cstheme="minorHAnsi"/>
        </w:rPr>
        <w:tab/>
      </w:r>
      <w:r w:rsidR="00A24E2A" w:rsidRPr="00C962D0">
        <w:rPr>
          <w:rFonts w:asciiTheme="majorHAnsi" w:hAnsiTheme="majorHAnsi" w:cs="Times New Roman"/>
        </w:rPr>
        <w:t>Masarykova 183, 399 01 Milevsko</w:t>
      </w:r>
      <w:r w:rsidRPr="00C962D0">
        <w:rPr>
          <w:rFonts w:asciiTheme="majorHAnsi" w:eastAsia="Calibri" w:hAnsiTheme="majorHAnsi" w:cstheme="minorHAnsi"/>
        </w:rPr>
        <w:tab/>
      </w:r>
      <w:r w:rsidRPr="00C962D0">
        <w:rPr>
          <w:rFonts w:asciiTheme="majorHAnsi" w:eastAsia="Calibri" w:hAnsiTheme="majorHAnsi" w:cstheme="minorHAnsi"/>
        </w:rPr>
        <w:tab/>
      </w:r>
      <w:r w:rsidRPr="00C962D0">
        <w:rPr>
          <w:rFonts w:asciiTheme="majorHAnsi" w:eastAsia="Calibri" w:hAnsiTheme="majorHAnsi" w:cstheme="minorHAnsi"/>
        </w:rPr>
        <w:tab/>
        <w:t xml:space="preserve"> </w:t>
      </w:r>
    </w:p>
    <w:p w:rsidR="00E44506" w:rsidRPr="00C962D0" w:rsidRDefault="00E44506" w:rsidP="00E44506">
      <w:pPr>
        <w:ind w:left="360" w:hanging="357"/>
        <w:jc w:val="both"/>
        <w:rPr>
          <w:rFonts w:asciiTheme="majorHAnsi" w:eastAsia="Calibri" w:hAnsiTheme="majorHAnsi" w:cstheme="minorHAnsi"/>
        </w:rPr>
      </w:pPr>
      <w:r w:rsidRPr="00C962D0">
        <w:rPr>
          <w:rFonts w:asciiTheme="majorHAnsi" w:eastAsia="Calibri" w:hAnsiTheme="majorHAnsi" w:cstheme="minorHAnsi"/>
        </w:rPr>
        <w:t xml:space="preserve">Zastoupený: </w:t>
      </w:r>
      <w:r w:rsidR="00811DBA">
        <w:rPr>
          <w:rFonts w:asciiTheme="majorHAnsi" w:eastAsia="Calibri" w:hAnsiTheme="majorHAnsi" w:cstheme="minorHAnsi"/>
        </w:rPr>
        <w:tab/>
      </w:r>
      <w:r w:rsidR="00811DBA">
        <w:rPr>
          <w:rFonts w:asciiTheme="majorHAnsi" w:eastAsia="Calibri" w:hAnsiTheme="majorHAnsi" w:cstheme="minorHAnsi"/>
        </w:rPr>
        <w:tab/>
      </w:r>
      <w:r w:rsidR="00A24E2A" w:rsidRPr="00C962D0">
        <w:rPr>
          <w:rFonts w:asciiTheme="majorHAnsi" w:hAnsiTheme="majorHAnsi" w:cs="Times New Roman"/>
        </w:rPr>
        <w:t>Mgr. Petrem Bardou, ředitelem</w:t>
      </w:r>
      <w:r w:rsidRPr="00C962D0">
        <w:rPr>
          <w:rFonts w:asciiTheme="majorHAnsi" w:eastAsia="Calibri" w:hAnsiTheme="majorHAnsi" w:cstheme="minorHAnsi"/>
        </w:rPr>
        <w:tab/>
      </w:r>
      <w:r w:rsidRPr="00C962D0">
        <w:rPr>
          <w:rFonts w:asciiTheme="majorHAnsi" w:eastAsia="Calibri" w:hAnsiTheme="majorHAnsi" w:cstheme="minorHAnsi"/>
        </w:rPr>
        <w:tab/>
      </w:r>
    </w:p>
    <w:p w:rsidR="00E44506" w:rsidRPr="00C962D0" w:rsidRDefault="00E44506" w:rsidP="00E44506">
      <w:pPr>
        <w:ind w:left="360" w:hanging="357"/>
        <w:jc w:val="both"/>
        <w:rPr>
          <w:rFonts w:asciiTheme="majorHAnsi" w:eastAsia="Calibri" w:hAnsiTheme="majorHAnsi" w:cstheme="minorHAnsi"/>
        </w:rPr>
      </w:pPr>
      <w:r w:rsidRPr="00C962D0">
        <w:rPr>
          <w:rFonts w:asciiTheme="majorHAnsi" w:eastAsia="Calibri" w:hAnsiTheme="majorHAnsi" w:cstheme="minorHAnsi"/>
        </w:rPr>
        <w:t xml:space="preserve">IČO: </w:t>
      </w:r>
      <w:r w:rsidR="00811DBA">
        <w:rPr>
          <w:rFonts w:asciiTheme="majorHAnsi" w:eastAsia="Calibri" w:hAnsiTheme="majorHAnsi" w:cstheme="minorHAnsi"/>
        </w:rPr>
        <w:tab/>
      </w:r>
      <w:r w:rsidR="00811DBA">
        <w:rPr>
          <w:rFonts w:asciiTheme="majorHAnsi" w:eastAsia="Calibri" w:hAnsiTheme="majorHAnsi" w:cstheme="minorHAnsi"/>
        </w:rPr>
        <w:tab/>
      </w:r>
      <w:r w:rsidR="00811DBA">
        <w:rPr>
          <w:rFonts w:asciiTheme="majorHAnsi" w:eastAsia="Calibri" w:hAnsiTheme="majorHAnsi" w:cstheme="minorHAnsi"/>
        </w:rPr>
        <w:tab/>
      </w:r>
      <w:r w:rsidR="00A24E2A" w:rsidRPr="00C962D0">
        <w:rPr>
          <w:rFonts w:asciiTheme="majorHAnsi" w:hAnsiTheme="majorHAnsi" w:cs="Times New Roman"/>
        </w:rPr>
        <w:t>608 69 046</w:t>
      </w:r>
      <w:r w:rsidRPr="00C962D0">
        <w:rPr>
          <w:rFonts w:asciiTheme="majorHAnsi" w:eastAsia="Calibri" w:hAnsiTheme="majorHAnsi" w:cstheme="minorHAnsi"/>
        </w:rPr>
        <w:tab/>
      </w:r>
      <w:r w:rsidRPr="00C962D0">
        <w:rPr>
          <w:rFonts w:asciiTheme="majorHAnsi" w:eastAsia="Calibri" w:hAnsiTheme="majorHAnsi" w:cstheme="minorHAnsi"/>
        </w:rPr>
        <w:tab/>
      </w:r>
      <w:r w:rsidRPr="00C962D0">
        <w:rPr>
          <w:rFonts w:asciiTheme="majorHAnsi" w:eastAsia="Calibri" w:hAnsiTheme="majorHAnsi" w:cstheme="minorHAnsi"/>
        </w:rPr>
        <w:tab/>
      </w:r>
      <w:r w:rsidRPr="00C962D0">
        <w:rPr>
          <w:rFonts w:asciiTheme="majorHAnsi" w:eastAsia="Calibri" w:hAnsiTheme="majorHAnsi" w:cstheme="minorHAnsi"/>
        </w:rPr>
        <w:tab/>
      </w:r>
    </w:p>
    <w:p w:rsidR="005E42C1" w:rsidRPr="00C962D0" w:rsidRDefault="00E44506" w:rsidP="00E44506">
      <w:pPr>
        <w:ind w:left="360" w:hanging="357"/>
        <w:rPr>
          <w:rFonts w:asciiTheme="majorHAnsi" w:eastAsia="Calibri" w:hAnsiTheme="majorHAnsi" w:cstheme="minorHAnsi"/>
        </w:rPr>
      </w:pPr>
      <w:r w:rsidRPr="00C962D0">
        <w:rPr>
          <w:rFonts w:asciiTheme="majorHAnsi" w:eastAsia="Calibri" w:hAnsiTheme="majorHAnsi" w:cstheme="minorHAnsi"/>
        </w:rPr>
        <w:t xml:space="preserve">DIČ: </w:t>
      </w:r>
      <w:r w:rsidR="00A46350">
        <w:rPr>
          <w:rFonts w:asciiTheme="majorHAnsi" w:eastAsia="Calibri" w:hAnsiTheme="majorHAnsi" w:cstheme="minorHAnsi"/>
        </w:rPr>
        <w:tab/>
      </w:r>
      <w:r w:rsidR="00A46350">
        <w:rPr>
          <w:rFonts w:asciiTheme="majorHAnsi" w:eastAsia="Calibri" w:hAnsiTheme="majorHAnsi" w:cstheme="minorHAnsi"/>
        </w:rPr>
        <w:tab/>
      </w:r>
      <w:r w:rsidR="00A46350">
        <w:rPr>
          <w:rFonts w:asciiTheme="majorHAnsi" w:eastAsia="Calibri" w:hAnsiTheme="majorHAnsi" w:cstheme="minorHAnsi"/>
        </w:rPr>
        <w:tab/>
      </w:r>
      <w:r w:rsidR="00A24E2A" w:rsidRPr="00C962D0">
        <w:rPr>
          <w:rFonts w:asciiTheme="majorHAnsi" w:eastAsia="Calibri" w:hAnsiTheme="majorHAnsi" w:cstheme="minorHAnsi"/>
        </w:rPr>
        <w:t>-</w:t>
      </w:r>
      <w:r w:rsidR="00B307C1">
        <w:rPr>
          <w:rFonts w:asciiTheme="majorHAnsi" w:eastAsia="Calibri" w:hAnsiTheme="majorHAnsi" w:cstheme="minorHAnsi"/>
        </w:rPr>
        <w:t>-</w:t>
      </w:r>
      <w:r w:rsidR="005E42C1" w:rsidRPr="00C962D0">
        <w:rPr>
          <w:rFonts w:asciiTheme="majorHAnsi" w:eastAsia="Calibri" w:hAnsiTheme="majorHAnsi" w:cstheme="minorHAnsi"/>
        </w:rPr>
        <w:tab/>
      </w:r>
      <w:r w:rsidR="005E42C1" w:rsidRPr="00C962D0">
        <w:rPr>
          <w:rFonts w:asciiTheme="majorHAnsi" w:eastAsia="Calibri" w:hAnsiTheme="majorHAnsi" w:cstheme="minorHAnsi"/>
        </w:rPr>
        <w:tab/>
      </w:r>
      <w:r w:rsidR="005E42C1" w:rsidRPr="00C962D0">
        <w:rPr>
          <w:rFonts w:asciiTheme="majorHAnsi" w:eastAsia="Calibri" w:hAnsiTheme="majorHAnsi" w:cstheme="minorHAnsi"/>
        </w:rPr>
        <w:tab/>
      </w:r>
    </w:p>
    <w:p w:rsidR="005E42C1" w:rsidRPr="00C962D0" w:rsidRDefault="00932517" w:rsidP="00447F59">
      <w:pPr>
        <w:ind w:left="360" w:hanging="357"/>
        <w:rPr>
          <w:rFonts w:asciiTheme="majorHAnsi" w:eastAsia="Calibri" w:hAnsiTheme="majorHAnsi" w:cstheme="minorHAnsi"/>
        </w:rPr>
      </w:pPr>
      <w:r w:rsidRPr="00C962D0">
        <w:rPr>
          <w:rFonts w:asciiTheme="majorHAnsi" w:eastAsia="Calibri" w:hAnsiTheme="majorHAnsi" w:cstheme="minorHAnsi"/>
        </w:rPr>
        <w:t>Číslo účtu:</w:t>
      </w:r>
      <w:r w:rsidRPr="00C962D0">
        <w:rPr>
          <w:rFonts w:asciiTheme="majorHAnsi" w:hAnsiTheme="majorHAnsi" w:cstheme="minorHAnsi"/>
        </w:rPr>
        <w:t xml:space="preserve"> </w:t>
      </w:r>
      <w:r w:rsidR="00811DBA">
        <w:rPr>
          <w:rFonts w:asciiTheme="majorHAnsi" w:hAnsiTheme="majorHAnsi" w:cstheme="minorHAnsi"/>
        </w:rPr>
        <w:tab/>
      </w:r>
      <w:r w:rsidR="00811DBA">
        <w:rPr>
          <w:rFonts w:asciiTheme="majorHAnsi" w:hAnsiTheme="majorHAnsi" w:cstheme="minorHAnsi"/>
        </w:rPr>
        <w:tab/>
      </w:r>
    </w:p>
    <w:p w:rsidR="00E44506" w:rsidRPr="00C962D0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C962D0">
        <w:rPr>
          <w:rFonts w:asciiTheme="majorHAnsi" w:eastAsia="Calibri" w:hAnsiTheme="majorHAnsi" w:cs="Arial"/>
        </w:rPr>
        <w:t xml:space="preserve">Kontaktní osoba: </w:t>
      </w:r>
      <w:r w:rsidR="00811DBA">
        <w:rPr>
          <w:rFonts w:asciiTheme="majorHAnsi" w:eastAsia="Calibri" w:hAnsiTheme="majorHAnsi" w:cs="Arial"/>
        </w:rPr>
        <w:tab/>
      </w:r>
      <w:r w:rsidRPr="00C962D0">
        <w:rPr>
          <w:rFonts w:asciiTheme="majorHAnsi" w:eastAsia="Calibri" w:hAnsiTheme="majorHAnsi" w:cs="Arial"/>
        </w:rPr>
        <w:tab/>
      </w:r>
    </w:p>
    <w:p w:rsidR="00E44506" w:rsidRPr="002C50D9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C962D0">
        <w:rPr>
          <w:rFonts w:asciiTheme="majorHAnsi" w:eastAsia="Calibri" w:hAnsiTheme="majorHAnsi" w:cs="Arial"/>
        </w:rPr>
        <w:t>Telefon</w:t>
      </w:r>
      <w:r w:rsidRPr="002C50D9">
        <w:rPr>
          <w:rFonts w:asciiTheme="majorHAnsi" w:eastAsia="Calibri" w:hAnsiTheme="majorHAnsi" w:cs="Arial"/>
        </w:rPr>
        <w:t xml:space="preserve">: </w:t>
      </w:r>
      <w:r w:rsidR="00811DBA">
        <w:rPr>
          <w:rFonts w:asciiTheme="majorHAnsi" w:eastAsia="Calibri" w:hAnsiTheme="majorHAnsi" w:cs="Arial"/>
        </w:rPr>
        <w:tab/>
      </w:r>
      <w:r w:rsidR="00811DBA">
        <w:rPr>
          <w:rFonts w:asciiTheme="majorHAnsi" w:eastAsia="Calibri" w:hAnsiTheme="majorHAnsi" w:cs="Arial"/>
        </w:rPr>
        <w:tab/>
      </w:r>
    </w:p>
    <w:p w:rsidR="005E42C1" w:rsidRPr="002C50D9" w:rsidRDefault="00E44506" w:rsidP="00E44506">
      <w:pPr>
        <w:spacing w:after="120"/>
        <w:rPr>
          <w:rFonts w:asciiTheme="majorHAnsi" w:eastAsia="Calibri" w:hAnsiTheme="majorHAnsi" w:cs="Arial"/>
          <w:b/>
        </w:rPr>
      </w:pPr>
      <w:r w:rsidRPr="002C50D9">
        <w:rPr>
          <w:rFonts w:asciiTheme="majorHAnsi" w:eastAsia="Calibri" w:hAnsiTheme="majorHAnsi" w:cs="Arial"/>
        </w:rPr>
        <w:t xml:space="preserve">Email: </w:t>
      </w:r>
      <w:r w:rsidR="00811DBA">
        <w:rPr>
          <w:rFonts w:asciiTheme="majorHAnsi" w:eastAsia="Calibri" w:hAnsiTheme="majorHAnsi" w:cs="Arial"/>
        </w:rPr>
        <w:tab/>
      </w:r>
      <w:r w:rsidR="00811DBA">
        <w:rPr>
          <w:rFonts w:asciiTheme="majorHAnsi" w:eastAsia="Calibri" w:hAnsiTheme="majorHAnsi" w:cs="Arial"/>
        </w:rPr>
        <w:tab/>
      </w:r>
      <w:r w:rsidR="00811DBA">
        <w:rPr>
          <w:rFonts w:asciiTheme="majorHAnsi" w:eastAsia="Calibri" w:hAnsiTheme="majorHAnsi" w:cs="Arial"/>
        </w:rPr>
        <w:tab/>
      </w:r>
      <w:r w:rsidR="008954C9" w:rsidRPr="002C50D9">
        <w:rPr>
          <w:rFonts w:asciiTheme="majorHAnsi" w:eastAsia="Calibri" w:hAnsiTheme="majorHAnsi" w:cs="Arial"/>
          <w:b/>
        </w:rPr>
        <w:t xml:space="preserve"> </w:t>
      </w:r>
      <w:r w:rsidR="005E42C1" w:rsidRPr="002C50D9">
        <w:rPr>
          <w:rFonts w:asciiTheme="majorHAnsi" w:eastAsia="Calibri" w:hAnsiTheme="majorHAnsi" w:cs="Arial"/>
          <w:b/>
        </w:rPr>
        <w:br/>
        <w:t xml:space="preserve">(dále jen „Objednatel“) </w:t>
      </w:r>
    </w:p>
    <w:p w:rsidR="005E42C1" w:rsidRPr="00811E85" w:rsidRDefault="005E42C1" w:rsidP="00447F59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2C50D9">
        <w:rPr>
          <w:rFonts w:asciiTheme="majorHAnsi" w:eastAsia="Calibri" w:hAnsiTheme="majorHAnsi" w:cs="Arial"/>
          <w:b/>
        </w:rPr>
        <w:t xml:space="preserve">Název subjektu: </w:t>
      </w:r>
      <w:r w:rsidR="00811DBA">
        <w:rPr>
          <w:rFonts w:asciiTheme="majorHAnsi" w:eastAsia="Calibri" w:hAnsiTheme="majorHAnsi" w:cs="Arial"/>
          <w:b/>
        </w:rPr>
        <w:tab/>
      </w:r>
      <w:r w:rsidR="00811E85" w:rsidRPr="00811E85">
        <w:rPr>
          <w:rFonts w:asciiTheme="majorHAnsi" w:eastAsia="Calibri" w:hAnsiTheme="majorHAnsi" w:cs="Arial"/>
          <w:b/>
        </w:rPr>
        <w:t>Ing. Václav Šmejkal – PARK+</w:t>
      </w:r>
      <w:r w:rsidRPr="00811E85">
        <w:rPr>
          <w:rFonts w:asciiTheme="majorHAnsi" w:eastAsia="Calibri" w:hAnsiTheme="majorHAnsi" w:cs="Arial"/>
          <w:b/>
        </w:rPr>
        <w:t xml:space="preserve"> </w:t>
      </w:r>
    </w:p>
    <w:p w:rsidR="005E42C1" w:rsidRPr="00811E85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Sídlo: </w:t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="00811E85" w:rsidRPr="00811E85">
        <w:rPr>
          <w:rFonts w:asciiTheme="majorHAnsi" w:eastAsia="Calibri" w:hAnsiTheme="majorHAnsi" w:cs="Arial"/>
        </w:rPr>
        <w:t>Št. Dvořáka 543, 399 01 Milevsko</w:t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  <w:t xml:space="preserve"> </w:t>
      </w:r>
    </w:p>
    <w:p w:rsidR="005E42C1" w:rsidRPr="00811E85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Zastoupený: </w:t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="00811E85" w:rsidRPr="00811E85">
        <w:rPr>
          <w:rFonts w:asciiTheme="majorHAnsi" w:eastAsia="Calibri" w:hAnsiTheme="majorHAnsi" w:cs="Arial"/>
        </w:rPr>
        <w:t>Ing. Václavem Šmejkalem</w:t>
      </w:r>
      <w:r w:rsidRPr="00811E85">
        <w:rPr>
          <w:rFonts w:asciiTheme="majorHAnsi" w:eastAsia="Calibri" w:hAnsiTheme="majorHAnsi" w:cs="Arial"/>
        </w:rPr>
        <w:t xml:space="preserve"> </w:t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</w:p>
    <w:p w:rsidR="005E42C1" w:rsidRPr="00811E85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IČO: </w:t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="00811E85" w:rsidRPr="00811E85">
        <w:rPr>
          <w:rFonts w:asciiTheme="majorHAnsi" w:eastAsia="Calibri" w:hAnsiTheme="majorHAnsi" w:cs="Arial"/>
        </w:rPr>
        <w:t>15800318</w:t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</w:p>
    <w:p w:rsidR="005E42C1" w:rsidRPr="00811E85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>DIČ:</w:t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 xml:space="preserve"> </w:t>
      </w:r>
      <w:r w:rsidR="00811DBA" w:rsidRPr="00811E85">
        <w:rPr>
          <w:rFonts w:asciiTheme="majorHAnsi" w:eastAsia="Calibri" w:hAnsiTheme="majorHAnsi" w:cs="Arial"/>
        </w:rPr>
        <w:tab/>
      </w:r>
      <w:r w:rsidR="00811E85" w:rsidRPr="00811E85">
        <w:rPr>
          <w:rFonts w:asciiTheme="majorHAnsi" w:eastAsia="Calibri" w:hAnsiTheme="majorHAnsi" w:cs="Arial"/>
        </w:rPr>
        <w:t>CZ6203221761</w:t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</w:p>
    <w:p w:rsidR="005F78C2" w:rsidRPr="00811E85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Zápis v obchodním rejstříku nebo v jiné evidenci </w:t>
      </w:r>
      <w:r w:rsidR="00811E85" w:rsidRPr="00811E85">
        <w:rPr>
          <w:rFonts w:asciiTheme="majorHAnsi" w:eastAsia="Calibri" w:hAnsiTheme="majorHAnsi" w:cs="Arial"/>
        </w:rPr>
        <w:t>– živnostenský rejstřík</w:t>
      </w:r>
    </w:p>
    <w:p w:rsidR="005E42C1" w:rsidRPr="00811E85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Číslo účtu: </w:t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</w:p>
    <w:p w:rsidR="005E42C1" w:rsidRPr="00811E85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Kontaktní osoba: </w:t>
      </w:r>
      <w:r w:rsidR="00811DBA"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  <w:r w:rsidRPr="00811E85">
        <w:rPr>
          <w:rFonts w:asciiTheme="majorHAnsi" w:eastAsia="Calibri" w:hAnsiTheme="majorHAnsi" w:cs="Arial"/>
        </w:rPr>
        <w:tab/>
      </w:r>
    </w:p>
    <w:p w:rsidR="005E42C1" w:rsidRPr="002C50D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811E85">
        <w:rPr>
          <w:rFonts w:asciiTheme="majorHAnsi" w:eastAsia="Calibri" w:hAnsiTheme="majorHAnsi" w:cs="Arial"/>
        </w:rPr>
        <w:t xml:space="preserve">Telefon: </w:t>
      </w:r>
      <w:r w:rsidR="00811DBA" w:rsidRPr="00811E85">
        <w:rPr>
          <w:rFonts w:asciiTheme="majorHAnsi" w:eastAsia="Calibri" w:hAnsiTheme="majorHAnsi" w:cs="Arial"/>
        </w:rPr>
        <w:tab/>
      </w:r>
      <w:r w:rsidR="00811DBA" w:rsidRPr="00811E85">
        <w:rPr>
          <w:rFonts w:asciiTheme="majorHAnsi" w:eastAsia="Calibri" w:hAnsiTheme="majorHAnsi" w:cs="Arial"/>
        </w:rPr>
        <w:tab/>
      </w:r>
    </w:p>
    <w:p w:rsidR="005E42C1" w:rsidRPr="005E42C1" w:rsidRDefault="005E42C1" w:rsidP="00447F59">
      <w:pPr>
        <w:tabs>
          <w:tab w:val="left" w:pos="0"/>
        </w:tabs>
        <w:rPr>
          <w:rFonts w:asciiTheme="majorHAnsi" w:eastAsia="Calibri" w:hAnsiTheme="majorHAnsi" w:cs="Arial"/>
        </w:rPr>
      </w:pPr>
      <w:r w:rsidRPr="002C50D9">
        <w:rPr>
          <w:rFonts w:asciiTheme="majorHAnsi" w:eastAsia="Calibri" w:hAnsiTheme="majorHAnsi" w:cs="Arial"/>
        </w:rPr>
        <w:t>Email:</w:t>
      </w:r>
      <w:r w:rsidR="00811DBA">
        <w:rPr>
          <w:rFonts w:asciiTheme="majorHAnsi" w:eastAsia="Calibri" w:hAnsiTheme="majorHAnsi" w:cs="Arial"/>
        </w:rPr>
        <w:tab/>
      </w:r>
      <w:r w:rsidR="00811DBA">
        <w:rPr>
          <w:rFonts w:asciiTheme="majorHAnsi" w:eastAsia="Calibri" w:hAnsiTheme="majorHAnsi" w:cs="Arial"/>
        </w:rPr>
        <w:tab/>
      </w:r>
      <w:r w:rsidR="00811DBA">
        <w:rPr>
          <w:rFonts w:asciiTheme="majorHAnsi" w:eastAsia="Calibri" w:hAnsiTheme="majorHAnsi" w:cs="Arial"/>
        </w:rPr>
        <w:tab/>
      </w:r>
      <w:r w:rsidRPr="005E42C1">
        <w:rPr>
          <w:rFonts w:asciiTheme="majorHAnsi" w:eastAsia="Calibri" w:hAnsiTheme="majorHAnsi" w:cs="Arial"/>
        </w:rPr>
        <w:tab/>
      </w:r>
    </w:p>
    <w:p w:rsidR="005E42C1" w:rsidRPr="005E42C1" w:rsidRDefault="005E42C1" w:rsidP="00447F59">
      <w:pPr>
        <w:spacing w:after="120"/>
        <w:rPr>
          <w:rFonts w:asciiTheme="majorHAnsi" w:eastAsia="Calibri" w:hAnsiTheme="majorHAnsi" w:cs="Arial"/>
          <w:b/>
        </w:rPr>
      </w:pPr>
      <w:r w:rsidRPr="005E42C1">
        <w:rPr>
          <w:rFonts w:asciiTheme="majorHAnsi" w:eastAsia="Calibri" w:hAnsiTheme="majorHAnsi" w:cs="Arial"/>
          <w:b/>
        </w:rPr>
        <w:t>(dále jen „Zhotovitel“)</w:t>
      </w:r>
    </w:p>
    <w:p w:rsidR="005E42C1" w:rsidRPr="005E42C1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Pr="007C77E9">
        <w:rPr>
          <w:rFonts w:asciiTheme="majorHAnsi" w:eastAsia="Calibri" w:hAnsiTheme="majorHAnsi" w:cs="Calibri"/>
        </w:rPr>
        <w:t xml:space="preserve">veřejné zakázky s názvem </w:t>
      </w:r>
      <w:r w:rsidR="009D152B" w:rsidRPr="009D152B">
        <w:rPr>
          <w:rFonts w:asciiTheme="majorHAnsi" w:hAnsiTheme="majorHAnsi" w:cs="Times New Roman"/>
          <w:b/>
        </w:rPr>
        <w:t>Obnova zeleně na nádvoří</w:t>
      </w:r>
      <w:r w:rsidR="009D152B">
        <w:rPr>
          <w:rFonts w:asciiTheme="majorHAnsi" w:hAnsiTheme="majorHAnsi" w:cs="Times New Roman"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9D152B" w:rsidRPr="009D152B">
        <w:rPr>
          <w:rFonts w:asciiTheme="majorHAnsi" w:eastAsia="Calibri" w:hAnsiTheme="majorHAnsi" w:cs="Arial"/>
          <w:b/>
        </w:rPr>
        <w:t>Přírodovědná laboratoř</w:t>
      </w:r>
      <w:r w:rsidR="00E44506" w:rsidRPr="007C77E9">
        <w:rPr>
          <w:rFonts w:asciiTheme="majorHAnsi" w:eastAsia="Calibri" w:hAnsiTheme="majorHAnsi" w:cs="Arial"/>
        </w:rPr>
        <w:t xml:space="preserve"> </w:t>
      </w:r>
      <w:r w:rsidRPr="007C77E9">
        <w:rPr>
          <w:rFonts w:asciiTheme="majorHAnsi" w:eastAsia="Calibri" w:hAnsiTheme="majorHAnsi" w:cs="Arial"/>
        </w:rPr>
        <w:t xml:space="preserve">(projekt spolufinancován z IROP, registrační číslo: </w:t>
      </w:r>
      <w:r w:rsidR="009D152B">
        <w:rPr>
          <w:rFonts w:asciiTheme="majorHAnsi" w:hAnsiTheme="majorHAnsi" w:cs="Arial"/>
        </w:rPr>
        <w:t>CZ.06.2.67/0.0/0.0/16_050/0001855)</w:t>
      </w:r>
      <w:r w:rsidRPr="007C77E9">
        <w:rPr>
          <w:rFonts w:asciiTheme="majorHAnsi" w:eastAsia="Calibri" w:hAnsiTheme="majorHAnsi" w:cs="Calibri"/>
        </w:rPr>
        <w:t xml:space="preserve"> smlouvu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veřejné zakázky</w:t>
      </w:r>
      <w:r w:rsidR="0082080E">
        <w:rPr>
          <w:rFonts w:asciiTheme="majorHAnsi" w:eastAsia="Calibri" w:hAnsiTheme="majorHAnsi" w:cs="Arial"/>
        </w:rPr>
        <w:t>.</w:t>
      </w:r>
    </w:p>
    <w:p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veřejné zakázky.</w:t>
      </w:r>
    </w:p>
    <w:p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veřejné zakázky.</w:t>
      </w:r>
    </w:p>
    <w:p w:rsidR="00763EC9" w:rsidRDefault="00A2131D" w:rsidP="00447F59">
      <w:pPr>
        <w:pStyle w:val="Nadpis1"/>
      </w:pPr>
      <w:r>
        <w:lastRenderedPageBreak/>
        <w:t>Článek IV</w:t>
      </w:r>
      <w:r w:rsidR="00763EC9" w:rsidRPr="00763EC9">
        <w:t>.</w:t>
      </w:r>
      <w:r w:rsidR="00E8493E">
        <w:br/>
      </w:r>
      <w:r w:rsidR="00763EC9">
        <w:t xml:space="preserve">Povinnosti </w:t>
      </w:r>
      <w:r w:rsidR="007C77E9">
        <w:t>Objednatel</w:t>
      </w:r>
      <w:r w:rsidR="00763EC9">
        <w:t>e</w:t>
      </w:r>
    </w:p>
    <w:p w:rsidR="00C962D0" w:rsidRDefault="00763EC9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82080E">
        <w:rPr>
          <w:rFonts w:asciiTheme="majorHAnsi" w:eastAsia="Calibri" w:hAnsiTheme="majorHAnsi" w:cs="Arial"/>
        </w:rPr>
        <w:t xml:space="preserve">Objednatel </w:t>
      </w:r>
      <w:r w:rsidR="00D97B26">
        <w:rPr>
          <w:rFonts w:asciiTheme="majorHAnsi" w:eastAsia="Calibri" w:hAnsiTheme="majorHAnsi" w:cs="Arial"/>
        </w:rPr>
        <w:t>se zavazuje poskytnout</w:t>
      </w:r>
      <w:r w:rsidR="0082080E" w:rsidRPr="0082080E">
        <w:rPr>
          <w:rFonts w:asciiTheme="majorHAnsi" w:eastAsia="Calibri" w:hAnsiTheme="majorHAnsi" w:cs="Arial"/>
        </w:rPr>
        <w:t xml:space="preserve"> </w:t>
      </w:r>
      <w:r w:rsidR="007C77E9">
        <w:rPr>
          <w:rFonts w:asciiTheme="majorHAnsi" w:eastAsia="Calibri" w:hAnsiTheme="majorHAnsi" w:cs="Arial"/>
        </w:rPr>
        <w:t>Zhotovitel</w:t>
      </w:r>
      <w:r w:rsidR="0082080E">
        <w:rPr>
          <w:rFonts w:asciiTheme="majorHAnsi" w:eastAsia="Calibri" w:hAnsiTheme="majorHAnsi" w:cs="Arial"/>
        </w:rPr>
        <w:t xml:space="preserve">i </w:t>
      </w:r>
      <w:r w:rsidR="00D97B26">
        <w:rPr>
          <w:rFonts w:asciiTheme="majorHAnsi" w:eastAsia="Calibri" w:hAnsiTheme="majorHAnsi" w:cs="Arial"/>
        </w:rPr>
        <w:t>pro zhotovení díla a pro činnost podle této smlouvy potřebnou součinnost.</w:t>
      </w:r>
      <w:r w:rsidR="00C962D0">
        <w:rPr>
          <w:rFonts w:asciiTheme="majorHAnsi" w:eastAsia="Calibri" w:hAnsiTheme="majorHAnsi" w:cs="Arial"/>
        </w:rPr>
        <w:t xml:space="preserve"> </w:t>
      </w:r>
    </w:p>
    <w:p w:rsidR="000A5CA4" w:rsidRDefault="00A2131D" w:rsidP="00447F59">
      <w:pPr>
        <w:pStyle w:val="Nadpis1"/>
      </w:pPr>
      <w:r>
        <w:t xml:space="preserve">Článek 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pověřit plněním této smlouvy jinou osobu, jestliže z povahy plnění nevyplývá </w:t>
      </w:r>
      <w:r w:rsidR="00C562B1">
        <w:rPr>
          <w:rFonts w:asciiTheme="majorHAnsi" w:eastAsia="Calibri" w:hAnsiTheme="majorHAnsi" w:cs="Arial"/>
        </w:rPr>
        <w:t xml:space="preserve">něco </w:t>
      </w:r>
      <w:r w:rsidRPr="00590EA0">
        <w:rPr>
          <w:rFonts w:asciiTheme="majorHAnsi" w:eastAsia="Calibri" w:hAnsiTheme="majorHAnsi" w:cs="Arial"/>
        </w:rPr>
        <w:t>jiného</w:t>
      </w:r>
      <w:r w:rsidR="00670E87">
        <w:rPr>
          <w:rFonts w:asciiTheme="majorHAnsi" w:eastAsia="Calibri" w:hAnsiTheme="majorHAnsi" w:cs="Arial"/>
        </w:rPr>
        <w:t>, a pouze za podmínek ujednaných v této smlouvě</w:t>
      </w:r>
      <w:r w:rsidRPr="00590EA0">
        <w:rPr>
          <w:rFonts w:asciiTheme="majorHAnsi" w:eastAsia="Calibri" w:hAnsiTheme="majorHAnsi" w:cs="Arial"/>
        </w:rPr>
        <w:t xml:space="preserve">. </w:t>
      </w:r>
      <w:r w:rsidR="00670E87">
        <w:rPr>
          <w:rFonts w:asciiTheme="majorHAnsi" w:eastAsia="Calibri" w:hAnsiTheme="majorHAnsi" w:cs="Arial"/>
        </w:rPr>
        <w:t xml:space="preserve">Není-li v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 zadávacím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 zadávacím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 pouze ze závažného důvodu. </w:t>
      </w:r>
    </w:p>
    <w:p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:rsidR="004E2692" w:rsidRPr="00F21E73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t xml:space="preserve">Zhotovitel je povinen poskytovat Objednateli veškerou potřebnou součinnost, kterou si Objednatel důvodně vyžádá, a to zejména v souvislosti s plněním jeho povinností veřejného zadavatele dle předpisů o zadávání veřejných zakázek, podle jiných právních předpisů či na základě smluvních a dalších dokumentů, které se vztahují k 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důvodně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="00A2131D">
        <w:rPr>
          <w:lang w:eastAsia="cs-CZ"/>
        </w:rPr>
        <w:t>I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:rsidR="005E42C1" w:rsidRPr="00FE0E21" w:rsidRDefault="005E42C1" w:rsidP="00447F59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t>P</w:t>
      </w:r>
      <w:r w:rsidRPr="00682C89">
        <w:rPr>
          <w:rFonts w:asciiTheme="majorHAnsi" w:eastAsia="Times New Roman" w:hAnsiTheme="majorHAnsi" w:cs="Arial"/>
          <w:lang w:eastAsia="cs-CZ"/>
        </w:rPr>
        <w:t xml:space="preserve">ředmětem díla je řádné </w:t>
      </w:r>
      <w:r w:rsidR="00D97B26" w:rsidRPr="00A15868">
        <w:rPr>
          <w:rFonts w:asciiTheme="majorHAnsi" w:eastAsia="Times New Roman" w:hAnsiTheme="majorHAnsi" w:cs="Arial"/>
          <w:lang w:eastAsia="cs-CZ"/>
        </w:rPr>
        <w:t>provedení zahradních úprav</w:t>
      </w:r>
      <w:r w:rsidRPr="00A15868">
        <w:rPr>
          <w:rFonts w:asciiTheme="majorHAnsi" w:eastAsia="Times New Roman" w:hAnsiTheme="majorHAnsi" w:cs="Arial"/>
          <w:lang w:eastAsia="cs-CZ"/>
        </w:rPr>
        <w:t xml:space="preserve"> (dále jen díl</w:t>
      </w:r>
      <w:r w:rsidR="00C562B1" w:rsidRPr="00A15868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D41C4C" w:rsidRPr="00D41C4C">
        <w:rPr>
          <w:rFonts w:asciiTheme="majorHAnsi" w:eastAsia="Calibri" w:hAnsiTheme="majorHAnsi" w:cs="Arial"/>
          <w:b/>
        </w:rPr>
        <w:t>Obnova zeleně na nádvoří</w:t>
      </w:r>
      <w:r w:rsidRPr="00FE0E21">
        <w:rPr>
          <w:rFonts w:asciiTheme="majorHAnsi" w:eastAsia="Times New Roman" w:hAnsiTheme="majorHAnsi" w:cs="Arial"/>
          <w:lang w:eastAsia="cs-CZ"/>
        </w:rPr>
        <w:t xml:space="preserve"> v rozsahu podle zadávací dokumentace </w:t>
      </w:r>
      <w:r w:rsidR="00C562B1" w:rsidRPr="00FE0E21">
        <w:rPr>
          <w:rFonts w:asciiTheme="majorHAnsi" w:eastAsia="Times New Roman" w:hAnsiTheme="majorHAnsi" w:cs="Arial"/>
          <w:lang w:eastAsia="cs-CZ"/>
        </w:rPr>
        <w:t xml:space="preserve">veřejné </w:t>
      </w:r>
      <w:r w:rsidRPr="00FE0E21">
        <w:rPr>
          <w:rFonts w:asciiTheme="majorHAnsi" w:eastAsia="Times New Roman" w:hAnsiTheme="majorHAnsi" w:cs="Arial"/>
          <w:lang w:eastAsia="cs-CZ"/>
        </w:rPr>
        <w:t>zakázky, kterou tvoří:</w:t>
      </w:r>
    </w:p>
    <w:p w:rsidR="005E42C1" w:rsidRPr="00D251F0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251F0">
        <w:rPr>
          <w:rFonts w:asciiTheme="majorHAnsi" w:eastAsia="Times New Roman" w:hAnsiTheme="majorHAnsi" w:cs="Arial"/>
          <w:lang w:eastAsia="cs-CZ"/>
        </w:rPr>
        <w:t>zadávací podmínky,</w:t>
      </w:r>
    </w:p>
    <w:p w:rsidR="005E42C1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samotná nabídka </w:t>
      </w:r>
      <w:r w:rsidR="00D41C4C">
        <w:rPr>
          <w:rFonts w:asciiTheme="majorHAnsi" w:eastAsia="Times New Roman" w:hAnsiTheme="majorHAnsi" w:cs="Arial"/>
          <w:lang w:eastAsia="cs-CZ"/>
        </w:rPr>
        <w:t>Zhotovitele.</w:t>
      </w:r>
    </w:p>
    <w:p w:rsidR="00FE0E21" w:rsidRPr="009E5312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6F16EA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6F16EA">
        <w:rPr>
          <w:rFonts w:asciiTheme="majorHAnsi" w:eastAsia="Times New Roman" w:hAnsiTheme="majorHAnsi" w:cs="Arial"/>
          <w:lang w:eastAsia="cs-CZ"/>
        </w:rPr>
        <w:t>smlouvy</w:t>
      </w:r>
      <w:r w:rsidRPr="006F16EA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</w:t>
      </w:r>
      <w:r w:rsidRPr="009E5312">
        <w:rPr>
          <w:rFonts w:asciiTheme="majorHAnsi" w:eastAsia="Times New Roman" w:hAnsiTheme="majorHAnsi" w:cs="Arial"/>
          <w:lang w:eastAsia="cs-CZ"/>
        </w:rPr>
        <w:t>povinnosti vyplývající ze zadávacích podmínek, tak i z této smlouvy.</w:t>
      </w:r>
    </w:p>
    <w:p w:rsidR="005E42C1" w:rsidRPr="009E5312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9E5312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9E5312">
        <w:rPr>
          <w:rFonts w:asciiTheme="majorHAnsi" w:eastAsia="Times New Roman" w:hAnsiTheme="majorHAnsi" w:cs="Arial"/>
          <w:lang w:eastAsia="cs-CZ"/>
        </w:rPr>
        <w:t>Objednatel</w:t>
      </w:r>
      <w:r w:rsidRPr="009E5312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9E5312">
        <w:rPr>
          <w:rFonts w:asciiTheme="majorHAnsi" w:eastAsia="Times New Roman" w:hAnsiTheme="majorHAnsi" w:cs="Arial"/>
          <w:lang w:eastAsia="cs-CZ"/>
        </w:rPr>
        <w:lastRenderedPageBreak/>
        <w:t>Objednatel</w:t>
      </w:r>
      <w:r w:rsidRPr="009E5312">
        <w:rPr>
          <w:rFonts w:asciiTheme="majorHAnsi" w:eastAsia="Times New Roman" w:hAnsiTheme="majorHAnsi" w:cs="Arial"/>
          <w:lang w:eastAsia="cs-CZ"/>
        </w:rPr>
        <w:t>e</w:t>
      </w:r>
      <w:r w:rsidR="00C562B1" w:rsidRPr="009E5312">
        <w:rPr>
          <w:rFonts w:asciiTheme="majorHAnsi" w:eastAsia="Times New Roman" w:hAnsiTheme="majorHAnsi" w:cs="Arial"/>
          <w:lang w:eastAsia="cs-CZ"/>
        </w:rPr>
        <w:t>,</w:t>
      </w:r>
      <w:r w:rsidRPr="009E5312">
        <w:rPr>
          <w:rFonts w:asciiTheme="majorHAnsi" w:eastAsia="Times New Roman" w:hAnsiTheme="majorHAnsi" w:cs="Arial"/>
          <w:lang w:eastAsia="cs-CZ"/>
        </w:rPr>
        <w:t xml:space="preserve"> a to v rozsahu a v souladu s</w:t>
      </w:r>
      <w:r w:rsidR="00D32F06" w:rsidRPr="009E5312">
        <w:rPr>
          <w:rFonts w:asciiTheme="majorHAnsi" w:eastAsia="Times New Roman" w:hAnsiTheme="majorHAnsi" w:cs="Arial"/>
          <w:lang w:eastAsia="cs-CZ"/>
        </w:rPr>
        <w:t xml:space="preserve"> položkovým rozpočtem. Definovaná smlouva </w:t>
      </w:r>
      <w:r w:rsidRPr="009E5312">
        <w:rPr>
          <w:rFonts w:asciiTheme="majorHAnsi" w:eastAsia="Times New Roman" w:hAnsiTheme="majorHAnsi" w:cs="Arial"/>
          <w:lang w:eastAsia="cs-CZ"/>
        </w:rPr>
        <w:t xml:space="preserve">je výsledkem </w:t>
      </w:r>
      <w:r w:rsidR="007C77E9" w:rsidRPr="009E5312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9E5312">
        <w:rPr>
          <w:rFonts w:asciiTheme="majorHAnsi" w:eastAsia="Times New Roman" w:hAnsiTheme="majorHAnsi" w:cs="Arial"/>
          <w:lang w:eastAsia="cs-CZ"/>
        </w:rPr>
        <w:t xml:space="preserve">řízení provedeného za účelem zadání </w:t>
      </w:r>
      <w:r w:rsidRPr="009E5312">
        <w:rPr>
          <w:rFonts w:asciiTheme="majorHAnsi" w:eastAsia="Times New Roman" w:hAnsiTheme="majorHAnsi" w:cs="Arial"/>
          <w:lang w:eastAsia="cs-CZ"/>
        </w:rPr>
        <w:t xml:space="preserve">veřejné zakázky </w:t>
      </w:r>
      <w:r w:rsidR="00857B36" w:rsidRPr="009E5312">
        <w:rPr>
          <w:rFonts w:asciiTheme="majorHAnsi" w:eastAsia="Calibri" w:hAnsiTheme="majorHAnsi" w:cs="Calibri"/>
        </w:rPr>
        <w:t xml:space="preserve">s názvem </w:t>
      </w:r>
      <w:r w:rsidR="00857B36" w:rsidRPr="009E5312">
        <w:rPr>
          <w:rFonts w:asciiTheme="majorHAnsi" w:hAnsiTheme="majorHAnsi" w:cs="Times New Roman"/>
          <w:b/>
        </w:rPr>
        <w:t>Obnova zeleně na nádvoří</w:t>
      </w:r>
      <w:r w:rsidR="00857B36" w:rsidRPr="009E5312">
        <w:rPr>
          <w:rFonts w:asciiTheme="majorHAnsi" w:hAnsiTheme="majorHAnsi" w:cs="Times New Roman"/>
        </w:rPr>
        <w:t xml:space="preserve"> </w:t>
      </w:r>
      <w:r w:rsidR="00857B36" w:rsidRPr="009E5312">
        <w:rPr>
          <w:rFonts w:asciiTheme="majorHAnsi" w:eastAsia="Calibri" w:hAnsiTheme="majorHAnsi" w:cs="Calibri"/>
        </w:rPr>
        <w:t xml:space="preserve">v rámci projektu </w:t>
      </w:r>
      <w:r w:rsidR="00857B36" w:rsidRPr="009E5312">
        <w:rPr>
          <w:rFonts w:asciiTheme="majorHAnsi" w:eastAsia="Calibri" w:hAnsiTheme="majorHAnsi" w:cs="Arial"/>
          <w:b/>
        </w:rPr>
        <w:t>Přírodovědná laboratoř</w:t>
      </w:r>
      <w:r w:rsidR="00857B36" w:rsidRPr="009E5312">
        <w:rPr>
          <w:rFonts w:asciiTheme="majorHAnsi" w:eastAsia="Calibri" w:hAnsiTheme="majorHAnsi" w:cs="Arial"/>
        </w:rPr>
        <w:t xml:space="preserve"> </w:t>
      </w:r>
      <w:r w:rsidR="00C30C7C" w:rsidRPr="009E5312">
        <w:rPr>
          <w:rFonts w:asciiTheme="majorHAnsi" w:eastAsia="Calibri" w:hAnsiTheme="majorHAnsi" w:cs="Arial"/>
        </w:rPr>
        <w:t xml:space="preserve">(projekt spolufinancován z IROP, registrační číslo: </w:t>
      </w:r>
      <w:r w:rsidR="00C45377" w:rsidRPr="009E5312">
        <w:rPr>
          <w:rFonts w:asciiTheme="majorHAnsi" w:hAnsiTheme="majorHAnsi" w:cs="Arial"/>
        </w:rPr>
        <w:t>CZ.06.2.67/0.0/0.0/16_050/0001855).</w:t>
      </w:r>
    </w:p>
    <w:p w:rsidR="005E42C1" w:rsidRPr="009E5312" w:rsidRDefault="005E42C1" w:rsidP="00447F59">
      <w:pPr>
        <w:numPr>
          <w:ilvl w:val="0"/>
          <w:numId w:val="6"/>
        </w:numPr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Předmět díla obecně vymezený v bodě 1 tohoto článku ve vztahu k projektu tvoří zejména:</w:t>
      </w:r>
    </w:p>
    <w:p w:rsidR="005E42C1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hloubení jam pro výsadbu</w:t>
      </w:r>
      <w:r>
        <w:rPr>
          <w:rFonts w:asciiTheme="majorHAnsi" w:eastAsia="Calibri" w:hAnsiTheme="majorHAnsi" w:cs="Times New Roman"/>
        </w:rPr>
        <w:t xml:space="preserve"> </w:t>
      </w:r>
      <w:r w:rsidRPr="009E5312">
        <w:rPr>
          <w:rFonts w:asciiTheme="majorHAnsi" w:eastAsia="Calibri" w:hAnsiTheme="majorHAnsi" w:cs="Times New Roman"/>
        </w:rPr>
        <w:t>dřevin</w:t>
      </w:r>
      <w:r>
        <w:rPr>
          <w:rFonts w:asciiTheme="majorHAnsi" w:eastAsia="Calibri" w:hAnsiTheme="majorHAnsi" w:cs="Times New Roman"/>
        </w:rPr>
        <w:t>;</w:t>
      </w:r>
    </w:p>
    <w:p w:rsidR="00D32F06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výsadba stromů a keřů</w:t>
      </w:r>
      <w:r>
        <w:rPr>
          <w:rFonts w:asciiTheme="majorHAnsi" w:eastAsia="Calibri" w:hAnsiTheme="majorHAnsi" w:cs="Times New Roman"/>
        </w:rPr>
        <w:t>;</w:t>
      </w:r>
    </w:p>
    <w:p w:rsidR="00F65EBB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založení záhonu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založení trávníku</w:t>
      </w:r>
      <w:r>
        <w:rPr>
          <w:rFonts w:asciiTheme="majorHAnsi" w:eastAsia="Calibri" w:hAnsiTheme="majorHAnsi" w:cs="Times New Roman"/>
        </w:rPr>
        <w:t>;</w:t>
      </w:r>
    </w:p>
    <w:p w:rsidR="00F65EBB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mulčování kůrou</w:t>
      </w:r>
      <w:r>
        <w:rPr>
          <w:rFonts w:asciiTheme="majorHAnsi" w:eastAsia="Calibri" w:hAnsiTheme="majorHAnsi" w:cs="Times New Roman"/>
        </w:rPr>
        <w:t>;</w:t>
      </w:r>
    </w:p>
    <w:p w:rsidR="00F65EBB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mulčování kačírkem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zálivka vodou včetně dovozu vody</w:t>
      </w:r>
      <w:r>
        <w:rPr>
          <w:rFonts w:asciiTheme="majorHAnsi" w:eastAsia="Calibri" w:hAnsiTheme="majorHAnsi" w:cs="Times New Roman"/>
        </w:rPr>
        <w:t>;</w:t>
      </w:r>
    </w:p>
    <w:p w:rsidR="00F65EBB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rostlin, hnojiv, mulčovací kůry, mulčovací folie, kačírku, zahradnického substrátu, zeminy</w:t>
      </w:r>
      <w:r>
        <w:rPr>
          <w:rFonts w:asciiTheme="majorHAnsi" w:eastAsia="Calibri" w:hAnsiTheme="majorHAnsi" w:cs="Times New Roman"/>
        </w:rPr>
        <w:t>;</w:t>
      </w:r>
    </w:p>
    <w:p w:rsidR="00F65EBB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a instalace přírodního valounu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a instalace kotvícího systému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a instalace laviček</w:t>
      </w:r>
      <w:r>
        <w:rPr>
          <w:rFonts w:asciiTheme="majorHAnsi" w:eastAsia="Calibri" w:hAnsiTheme="majorHAnsi" w:cs="Times New Roman"/>
        </w:rPr>
        <w:t>;</w:t>
      </w:r>
    </w:p>
    <w:p w:rsidR="00F65EBB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a instalace dlažeb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a instalace obrub záhonů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dodávka a instalace mobiliářů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 xml:space="preserve">likvidace stávajících </w:t>
      </w:r>
      <w:r>
        <w:rPr>
          <w:rFonts w:asciiTheme="majorHAnsi" w:eastAsia="Calibri" w:hAnsiTheme="majorHAnsi" w:cs="Times New Roman"/>
        </w:rPr>
        <w:t>T</w:t>
      </w:r>
      <w:r w:rsidRPr="009E5312">
        <w:rPr>
          <w:rFonts w:asciiTheme="majorHAnsi" w:eastAsia="Calibri" w:hAnsiTheme="majorHAnsi" w:cs="Times New Roman"/>
        </w:rPr>
        <w:t>hůjí a betonu</w:t>
      </w:r>
      <w:r>
        <w:rPr>
          <w:rFonts w:asciiTheme="majorHAnsi" w:eastAsia="Calibri" w:hAnsiTheme="majorHAnsi" w:cs="Times New Roman"/>
        </w:rPr>
        <w:t>;</w:t>
      </w:r>
    </w:p>
    <w:p w:rsidR="00363293" w:rsidRPr="009E5312" w:rsidRDefault="009E5312" w:rsidP="009E5312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9E5312">
        <w:rPr>
          <w:rFonts w:asciiTheme="majorHAnsi" w:eastAsia="Calibri" w:hAnsiTheme="majorHAnsi" w:cs="Times New Roman"/>
        </w:rPr>
        <w:t>dopra</w:t>
      </w:r>
      <w:r w:rsidR="00363293" w:rsidRPr="009E5312">
        <w:rPr>
          <w:rFonts w:asciiTheme="majorHAnsi" w:eastAsia="Calibri" w:hAnsiTheme="majorHAnsi" w:cs="Times New Roman"/>
        </w:rPr>
        <w:t>va</w:t>
      </w:r>
      <w:r>
        <w:rPr>
          <w:rFonts w:asciiTheme="majorHAnsi" w:eastAsia="Calibri" w:hAnsiTheme="majorHAnsi" w:cs="Times New Roman"/>
        </w:rPr>
        <w:t>;</w:t>
      </w:r>
    </w:p>
    <w:p w:rsidR="00954F3E" w:rsidRPr="00447F59" w:rsidRDefault="00447F59" w:rsidP="00447F59">
      <w:pPr>
        <w:pStyle w:val="Nadpis1"/>
      </w:pPr>
      <w:r>
        <w:t>Článek VI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:rsidR="00954F3E" w:rsidRPr="006F16EA" w:rsidRDefault="00954F3E" w:rsidP="00447F59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360A4F">
        <w:rPr>
          <w:rFonts w:asciiTheme="majorHAnsi" w:eastAsia="Calibri" w:hAnsiTheme="majorHAnsi" w:cs="Times New Roman"/>
        </w:rPr>
        <w:t xml:space="preserve">Místem plnění je </w:t>
      </w:r>
      <w:r w:rsidR="006E3F10">
        <w:rPr>
          <w:rFonts w:asciiTheme="majorHAnsi" w:eastAsia="Calibri" w:hAnsiTheme="majorHAnsi" w:cs="Times New Roman"/>
        </w:rPr>
        <w:t xml:space="preserve">venkovní </w:t>
      </w:r>
      <w:r w:rsidR="00177C16">
        <w:rPr>
          <w:rFonts w:asciiTheme="majorHAnsi" w:eastAsia="Calibri" w:hAnsiTheme="majorHAnsi" w:cs="Times New Roman"/>
        </w:rPr>
        <w:t>nádvoří</w:t>
      </w:r>
      <w:r w:rsidR="006E3F10">
        <w:rPr>
          <w:rFonts w:asciiTheme="majorHAnsi" w:eastAsia="Calibri" w:hAnsiTheme="majorHAnsi" w:cs="Times New Roman"/>
        </w:rPr>
        <w:t xml:space="preserve"> Gym</w:t>
      </w:r>
      <w:r w:rsidR="00177C16">
        <w:rPr>
          <w:rFonts w:asciiTheme="majorHAnsi" w:eastAsia="Calibri" w:hAnsiTheme="majorHAnsi" w:cs="Times New Roman"/>
        </w:rPr>
        <w:t xml:space="preserve">názia, Milevsko, Masarykova 183 na adrese </w:t>
      </w:r>
      <w:r w:rsidR="00177C16" w:rsidRPr="00C962D0">
        <w:rPr>
          <w:rFonts w:asciiTheme="majorHAnsi" w:hAnsiTheme="majorHAnsi" w:cs="Times New Roman"/>
        </w:rPr>
        <w:t>Masarykova 183, 399 01 Milevsko</w:t>
      </w:r>
      <w:r w:rsidR="00177C16">
        <w:rPr>
          <w:rFonts w:asciiTheme="majorHAnsi" w:eastAsia="Calibri" w:hAnsiTheme="majorHAnsi" w:cstheme="minorHAnsi"/>
        </w:rPr>
        <w:t>.</w:t>
      </w:r>
    </w:p>
    <w:p w:rsidR="005D3191" w:rsidRDefault="00954F3E" w:rsidP="005D3191">
      <w:pPr>
        <w:jc w:val="both"/>
        <w:rPr>
          <w:rFonts w:asciiTheme="majorHAnsi" w:hAnsiTheme="majorHAnsi"/>
        </w:rPr>
      </w:pPr>
      <w:r w:rsidRPr="006F16EA">
        <w:rPr>
          <w:rFonts w:asciiTheme="majorHAnsi" w:eastAsia="Calibri" w:hAnsiTheme="majorHAnsi" w:cs="Times New Roman"/>
        </w:rPr>
        <w:t xml:space="preserve">Zhotovitel je povinen provést </w:t>
      </w:r>
      <w:r w:rsidR="00FD71DA" w:rsidRPr="006F16EA">
        <w:rPr>
          <w:rFonts w:asciiTheme="majorHAnsi" w:eastAsia="Calibri" w:hAnsiTheme="majorHAnsi" w:cs="Times New Roman"/>
        </w:rPr>
        <w:t xml:space="preserve">dílo, tj. </w:t>
      </w:r>
      <w:r w:rsidR="00FD71DA" w:rsidRPr="00522D9F">
        <w:rPr>
          <w:rFonts w:asciiTheme="majorHAnsi" w:eastAsia="Calibri" w:hAnsiTheme="majorHAnsi" w:cs="Times New Roman"/>
        </w:rPr>
        <w:t xml:space="preserve">dílo dokončit a předat </w:t>
      </w:r>
      <w:r w:rsidR="007C77E9" w:rsidRPr="00522D9F">
        <w:rPr>
          <w:rFonts w:asciiTheme="majorHAnsi" w:eastAsia="Calibri" w:hAnsiTheme="majorHAnsi" w:cs="Times New Roman"/>
        </w:rPr>
        <w:t>Objednatel</w:t>
      </w:r>
      <w:r w:rsidR="00FD71DA" w:rsidRPr="00522D9F">
        <w:rPr>
          <w:rFonts w:asciiTheme="majorHAnsi" w:eastAsia="Calibri" w:hAnsiTheme="majorHAnsi" w:cs="Times New Roman"/>
        </w:rPr>
        <w:t xml:space="preserve">i nejpozději do </w:t>
      </w:r>
      <w:r w:rsidR="00522D9F" w:rsidRPr="00522D9F">
        <w:rPr>
          <w:rFonts w:asciiTheme="majorHAnsi" w:eastAsia="Calibri" w:hAnsiTheme="majorHAnsi" w:cs="Times New Roman"/>
        </w:rPr>
        <w:t xml:space="preserve">60 </w:t>
      </w:r>
      <w:r w:rsidR="001004AD" w:rsidRPr="00522D9F">
        <w:rPr>
          <w:rFonts w:asciiTheme="majorHAnsi" w:eastAsia="Calibri" w:hAnsiTheme="majorHAnsi" w:cs="Times New Roman"/>
        </w:rPr>
        <w:t xml:space="preserve">kalendářních dnů </w:t>
      </w:r>
      <w:r w:rsidR="005100D2" w:rsidRPr="00522D9F">
        <w:rPr>
          <w:rFonts w:asciiTheme="majorHAnsi" w:eastAsia="Calibri" w:hAnsiTheme="majorHAnsi" w:cs="Times New Roman"/>
        </w:rPr>
        <w:t>od vyzvání objednatelem</w:t>
      </w:r>
      <w:r w:rsidRPr="00177C16">
        <w:rPr>
          <w:rFonts w:asciiTheme="majorHAnsi" w:eastAsia="Calibri" w:hAnsiTheme="majorHAnsi" w:cs="Times New Roman"/>
        </w:rPr>
        <w:t>.</w:t>
      </w:r>
      <w:r w:rsidRPr="006F16EA">
        <w:rPr>
          <w:rFonts w:asciiTheme="majorHAnsi" w:eastAsia="Calibri" w:hAnsiTheme="majorHAnsi" w:cs="Times New Roman"/>
        </w:rPr>
        <w:t xml:space="preserve"> </w:t>
      </w:r>
      <w:r w:rsidR="005D3191" w:rsidRPr="00104F70">
        <w:rPr>
          <w:rFonts w:asciiTheme="majorHAnsi" w:hAnsiTheme="majorHAnsi"/>
        </w:rPr>
        <w:t>Výzva bude zaslána nejdříve 15</w:t>
      </w:r>
      <w:r w:rsidR="005D3191">
        <w:rPr>
          <w:rFonts w:asciiTheme="majorHAnsi" w:hAnsiTheme="majorHAnsi"/>
        </w:rPr>
        <w:t xml:space="preserve"> kalendářních dní, nejpozději 9</w:t>
      </w:r>
      <w:r w:rsidR="005D3191" w:rsidRPr="00104F70">
        <w:rPr>
          <w:rFonts w:asciiTheme="majorHAnsi" w:hAnsiTheme="majorHAnsi"/>
        </w:rPr>
        <w:t>0 kalendářních dní</w:t>
      </w:r>
      <w:r w:rsidR="005D3191" w:rsidRPr="0077035D">
        <w:rPr>
          <w:rFonts w:asciiTheme="majorHAnsi" w:hAnsiTheme="majorHAnsi"/>
        </w:rPr>
        <w:t xml:space="preserve"> od</w:t>
      </w:r>
      <w:r w:rsidR="005D3191">
        <w:rPr>
          <w:rFonts w:asciiTheme="majorHAnsi" w:hAnsiTheme="majorHAnsi"/>
        </w:rPr>
        <w:t xml:space="preserve"> účinnosti smlouvy, a to písemnou formou na email Zhotovitele uvedený ve smlouvě o dílo.</w:t>
      </w:r>
    </w:p>
    <w:p w:rsidR="00590EA0" w:rsidRPr="006F16EA" w:rsidRDefault="00590EA0" w:rsidP="005D3191">
      <w:pPr>
        <w:spacing w:after="120"/>
        <w:ind w:left="360"/>
        <w:jc w:val="both"/>
        <w:rPr>
          <w:rFonts w:asciiTheme="majorHAnsi" w:eastAsia="Calibri" w:hAnsiTheme="majorHAnsi" w:cs="Times New Roman"/>
        </w:rPr>
      </w:pPr>
    </w:p>
    <w:p w:rsidR="000D671F" w:rsidRPr="006F16EA" w:rsidRDefault="000D671F" w:rsidP="00447F59">
      <w:pPr>
        <w:pStyle w:val="Nadpis1"/>
      </w:pPr>
      <w:r w:rsidRPr="006F16EA">
        <w:t>Článek V</w:t>
      </w:r>
      <w:r w:rsidR="00447F59" w:rsidRPr="006F16EA">
        <w:t>I</w:t>
      </w:r>
      <w:r w:rsidRPr="006F16EA">
        <w:t>I</w:t>
      </w:r>
      <w:r w:rsidR="00A2131D" w:rsidRPr="006F16EA">
        <w:t>I</w:t>
      </w:r>
      <w:r w:rsidRPr="006F16EA">
        <w:t>.</w:t>
      </w:r>
      <w:r w:rsidR="00E8493E" w:rsidRPr="006F16EA">
        <w:br/>
      </w:r>
      <w:r w:rsidRPr="006F16EA">
        <w:t>Cena díla</w:t>
      </w:r>
    </w:p>
    <w:p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6F16EA">
        <w:rPr>
          <w:rFonts w:asciiTheme="majorHAnsi" w:eastAsia="Calibri" w:hAnsiTheme="majorHAnsi" w:cs="Times New Roman"/>
        </w:rPr>
        <w:t>Celková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 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:rsidR="000D671F" w:rsidRPr="000D671F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:rsidR="000D671F" w:rsidRPr="00D300A9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0D671F">
        <w:rPr>
          <w:rFonts w:asciiTheme="majorHAnsi" w:eastAsia="Calibri" w:hAnsiTheme="majorHAnsi" w:cs="Times New Roman"/>
        </w:rPr>
        <w:t xml:space="preserve">Cena </w:t>
      </w:r>
      <w:r w:rsidR="00966633">
        <w:rPr>
          <w:rFonts w:asciiTheme="majorHAnsi" w:eastAsia="Calibri" w:hAnsiTheme="majorHAnsi" w:cs="Times New Roman"/>
        </w:rPr>
        <w:t xml:space="preserve">díla </w:t>
      </w:r>
      <w:r w:rsidRPr="000D671F">
        <w:rPr>
          <w:rFonts w:asciiTheme="majorHAnsi" w:eastAsia="Calibri" w:hAnsiTheme="majorHAnsi" w:cs="Times New Roman"/>
        </w:rPr>
        <w:t>celkem je stanovena takto:</w:t>
      </w:r>
    </w:p>
    <w:p w:rsidR="000D671F" w:rsidRPr="00811E85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3F5790">
        <w:rPr>
          <w:rFonts w:asciiTheme="majorHAnsi" w:eastAsia="Calibri" w:hAnsiTheme="majorHAnsi" w:cs="Times New Roman"/>
        </w:rPr>
        <w:t xml:space="preserve">Cena celkem bez </w:t>
      </w:r>
      <w:r w:rsidRPr="00811E85">
        <w:rPr>
          <w:rFonts w:asciiTheme="majorHAnsi" w:eastAsia="Calibri" w:hAnsiTheme="majorHAnsi" w:cs="Times New Roman"/>
        </w:rPr>
        <w:t>DPH</w:t>
      </w:r>
      <w:r w:rsidRPr="00811E85">
        <w:rPr>
          <w:rFonts w:asciiTheme="majorHAnsi" w:eastAsia="Calibri" w:hAnsiTheme="majorHAnsi" w:cs="Times New Roman"/>
        </w:rPr>
        <w:tab/>
      </w:r>
      <w:r w:rsidR="00811E85" w:rsidRPr="00811E85">
        <w:rPr>
          <w:rFonts w:asciiTheme="majorHAnsi" w:eastAsia="Calibri" w:hAnsiTheme="majorHAnsi" w:cs="Times New Roman"/>
        </w:rPr>
        <w:t xml:space="preserve">398 031,- </w:t>
      </w:r>
      <w:r w:rsidRPr="00811E85">
        <w:rPr>
          <w:rFonts w:asciiTheme="majorHAnsi" w:eastAsia="Calibri" w:hAnsiTheme="majorHAnsi" w:cs="Times New Roman"/>
        </w:rPr>
        <w:t>Kč</w:t>
      </w:r>
    </w:p>
    <w:p w:rsidR="000D671F" w:rsidRPr="00811E85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811E85">
        <w:rPr>
          <w:rFonts w:asciiTheme="majorHAnsi" w:eastAsia="Calibri" w:hAnsiTheme="majorHAnsi" w:cs="Times New Roman"/>
        </w:rPr>
        <w:t>DPH (sazba 21%)</w:t>
      </w:r>
      <w:r w:rsidRPr="00811E85">
        <w:rPr>
          <w:rFonts w:asciiTheme="majorHAnsi" w:eastAsia="Calibri" w:hAnsiTheme="majorHAnsi" w:cs="Times New Roman"/>
        </w:rPr>
        <w:tab/>
      </w:r>
      <w:r w:rsidRPr="00811E85">
        <w:rPr>
          <w:rFonts w:asciiTheme="majorHAnsi" w:eastAsia="Calibri" w:hAnsiTheme="majorHAnsi" w:cs="Times New Roman"/>
        </w:rPr>
        <w:tab/>
      </w:r>
      <w:r w:rsidR="00811E85" w:rsidRPr="00811E85">
        <w:rPr>
          <w:rFonts w:asciiTheme="majorHAnsi" w:eastAsia="Calibri" w:hAnsiTheme="majorHAnsi" w:cs="Times New Roman"/>
        </w:rPr>
        <w:t xml:space="preserve">83 586 </w:t>
      </w:r>
      <w:r w:rsidRPr="00811E85">
        <w:rPr>
          <w:rFonts w:asciiTheme="majorHAnsi" w:eastAsia="Calibri" w:hAnsiTheme="majorHAnsi" w:cs="Times New Roman"/>
        </w:rPr>
        <w:t>Kč</w:t>
      </w:r>
    </w:p>
    <w:p w:rsidR="000D671F" w:rsidRPr="000D671F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811E85">
        <w:rPr>
          <w:rFonts w:asciiTheme="majorHAnsi" w:eastAsia="Calibri" w:hAnsiTheme="majorHAnsi" w:cs="Times New Roman"/>
        </w:rPr>
        <w:t>Cena celkem včetně DPH</w:t>
      </w:r>
      <w:r w:rsidRPr="00811E85">
        <w:rPr>
          <w:rFonts w:asciiTheme="majorHAnsi" w:eastAsia="Calibri" w:hAnsiTheme="majorHAnsi" w:cs="Times New Roman"/>
        </w:rPr>
        <w:tab/>
      </w:r>
      <w:r w:rsidR="00811E85" w:rsidRPr="00811E85">
        <w:rPr>
          <w:rFonts w:asciiTheme="majorHAnsi" w:eastAsia="Calibri" w:hAnsiTheme="majorHAnsi" w:cs="Times New Roman"/>
        </w:rPr>
        <w:t xml:space="preserve">481 617 </w:t>
      </w:r>
      <w:r w:rsidRPr="00811E85">
        <w:rPr>
          <w:rFonts w:asciiTheme="majorHAnsi" w:eastAsia="Calibri" w:hAnsiTheme="majorHAnsi" w:cs="Times New Roman"/>
        </w:rPr>
        <w:t>Kč</w:t>
      </w:r>
    </w:p>
    <w:p w:rsidR="000D671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lastRenderedPageBreak/>
        <w:t xml:space="preserve">Cena za celé </w:t>
      </w:r>
      <w:r w:rsidR="00966633">
        <w:rPr>
          <w:rFonts w:asciiTheme="majorHAnsi" w:eastAsia="Calibri" w:hAnsiTheme="majorHAnsi" w:cs="Times New Roman"/>
        </w:rPr>
        <w:t>dokončené</w:t>
      </w:r>
      <w:r w:rsidRPr="000D671F">
        <w:rPr>
          <w:rFonts w:asciiTheme="majorHAnsi" w:eastAsia="Calibri" w:hAnsiTheme="majorHAnsi" w:cs="Times New Roman"/>
        </w:rPr>
        <w:t xml:space="preserve"> a předané dílo </w:t>
      </w:r>
      <w:r w:rsidR="00D5203A">
        <w:rPr>
          <w:rFonts w:asciiTheme="majorHAnsi" w:eastAsia="Calibri" w:hAnsiTheme="majorHAnsi" w:cs="Times New Roman"/>
        </w:rPr>
        <w:t>uvedená v</w:t>
      </w:r>
      <w:r w:rsidR="007A02B3">
        <w:rPr>
          <w:rFonts w:asciiTheme="majorHAnsi" w:eastAsia="Calibri" w:hAnsiTheme="majorHAnsi" w:cs="Times New Roman"/>
        </w:rPr>
        <w:t xml:space="preserve"> </w:t>
      </w:r>
      <w:r w:rsidR="00D5203A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="00C45B9E">
        <w:rPr>
          <w:rFonts w:asciiTheme="majorHAnsi" w:eastAsia="Calibri" w:hAnsiTheme="majorHAnsi" w:cs="Times New Roman"/>
        </w:rPr>
        <w:t xml:space="preserve"> </w:t>
      </w:r>
      <w:r w:rsidRPr="000D671F">
        <w:rPr>
          <w:rFonts w:asciiTheme="majorHAnsi" w:eastAsia="Calibri" w:hAnsiTheme="majorHAnsi" w:cs="Times New Roman"/>
        </w:rPr>
        <w:t>zahrnuje veškeré ná</w:t>
      </w:r>
      <w:r w:rsidR="00C45B9E">
        <w:rPr>
          <w:rFonts w:asciiTheme="majorHAnsi" w:eastAsia="Calibri" w:hAnsiTheme="majorHAnsi" w:cs="Times New Roman"/>
        </w:rPr>
        <w:t>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C45B9E">
        <w:rPr>
          <w:rFonts w:asciiTheme="majorHAnsi" w:eastAsia="Calibri" w:hAnsiTheme="majorHAnsi" w:cs="Times New Roman"/>
        </w:rPr>
        <w:t xml:space="preserve">e související se zhotovením </w:t>
      </w:r>
      <w:r w:rsidRPr="000D671F">
        <w:rPr>
          <w:rFonts w:asciiTheme="majorHAnsi" w:eastAsia="Calibri" w:hAnsiTheme="majorHAnsi" w:cs="Times New Roman"/>
        </w:rPr>
        <w:t>díla</w:t>
      </w:r>
      <w:r w:rsidR="00A15868">
        <w:rPr>
          <w:rFonts w:asciiTheme="majorHAnsi" w:eastAsia="Calibri" w:hAnsiTheme="majorHAnsi" w:cs="Times New Roman"/>
        </w:rPr>
        <w:t xml:space="preserve">. </w:t>
      </w:r>
      <w:r w:rsidR="00C45B9E" w:rsidRPr="00C45B9E">
        <w:rPr>
          <w:rFonts w:asciiTheme="majorHAnsi" w:eastAsia="Calibri" w:hAnsiTheme="majorHAnsi" w:cs="Times New Roman"/>
        </w:rPr>
        <w:t>Sjednané jednotkové ceny jsou cenou konečnou, nejvýše přípustnou, která nemůže být změněna.</w:t>
      </w:r>
    </w:p>
    <w:p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:rsidR="000D671F" w:rsidRPr="000D671F" w:rsidRDefault="00A2131D" w:rsidP="00E8493E">
      <w:pPr>
        <w:pStyle w:val="Nadpis1"/>
      </w:pPr>
      <w:r>
        <w:t>Článek IX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dodávky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Neprovedené práce budou z ceny díla </w:t>
      </w:r>
      <w:r w:rsidRPr="004F4FCA">
        <w:rPr>
          <w:rFonts w:asciiTheme="majorHAnsi" w:eastAsia="Calibri" w:hAnsiTheme="majorHAnsi" w:cs="Times New Roman"/>
        </w:rPr>
        <w:t>odečteny, přičemž hodnota méněprací bude vypočtena na základě jednotkových cen uvedených v</w:t>
      </w:r>
      <w:r w:rsidR="00D5203A" w:rsidRPr="004F4FCA">
        <w:rPr>
          <w:rFonts w:asciiTheme="majorHAnsi" w:eastAsia="Calibri" w:hAnsiTheme="majorHAnsi" w:cs="Times New Roman"/>
        </w:rPr>
        <w:t>e vy</w:t>
      </w:r>
      <w:r w:rsidR="007A02B3" w:rsidRPr="004F4FCA">
        <w:rPr>
          <w:rFonts w:asciiTheme="majorHAnsi" w:eastAsia="Calibri" w:hAnsiTheme="majorHAnsi" w:cs="Times New Roman"/>
        </w:rPr>
        <w:t>soutěženém položkovém rozpočtu</w:t>
      </w:r>
      <w:r w:rsidR="007C77E9" w:rsidRPr="004F4FCA">
        <w:rPr>
          <w:rFonts w:asciiTheme="majorHAnsi" w:eastAsia="Calibri" w:hAnsiTheme="majorHAnsi" w:cs="Times New Roman"/>
        </w:rPr>
        <w:t xml:space="preserve"> Zhotovitel</w:t>
      </w:r>
      <w:r w:rsidR="007A02B3" w:rsidRPr="004F4FCA">
        <w:rPr>
          <w:rFonts w:asciiTheme="majorHAnsi" w:eastAsia="Calibri" w:hAnsiTheme="majorHAnsi" w:cs="Times New Roman"/>
        </w:rPr>
        <w:t xml:space="preserve">e </w:t>
      </w:r>
      <w:r w:rsidRPr="004F4FCA">
        <w:rPr>
          <w:rFonts w:asciiTheme="majorHAnsi" w:eastAsia="Calibri" w:hAnsiTheme="majorHAnsi" w:cs="Times New Roman"/>
        </w:rPr>
        <w:t xml:space="preserve">– příloha č. </w:t>
      </w:r>
      <w:r w:rsidR="002C50D9" w:rsidRPr="004F4FCA">
        <w:rPr>
          <w:rFonts w:asciiTheme="majorHAnsi" w:eastAsia="Calibri" w:hAnsiTheme="majorHAnsi" w:cs="Times New Roman"/>
        </w:rPr>
        <w:t>1</w:t>
      </w:r>
      <w:r w:rsidRPr="004F4FCA">
        <w:rPr>
          <w:rFonts w:asciiTheme="majorHAnsi" w:eastAsia="Calibri" w:hAnsiTheme="majorHAnsi" w:cs="Times New Roman"/>
        </w:rPr>
        <w:t xml:space="preserve"> této smlouvy.</w:t>
      </w:r>
      <w:r w:rsidR="00610C25" w:rsidRPr="004F4FCA">
        <w:rPr>
          <w:rFonts w:asciiTheme="majorHAnsi" w:eastAsia="Calibri" w:hAnsiTheme="majorHAnsi" w:cs="Times New Roman"/>
        </w:rPr>
        <w:t xml:space="preserve"> </w:t>
      </w:r>
      <w:r w:rsidR="00750BF5" w:rsidRPr="004F4FCA">
        <w:rPr>
          <w:rFonts w:asciiTheme="majorHAnsi" w:eastAsia="Calibri" w:hAnsiTheme="majorHAnsi" w:cs="Times New Roman"/>
        </w:rPr>
        <w:t>Cena</w:t>
      </w:r>
      <w:r w:rsidR="00610C25" w:rsidRPr="004F4FCA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 w:rsidRPr="004F4FCA">
        <w:rPr>
          <w:rFonts w:asciiTheme="majorHAnsi" w:eastAsia="Calibri" w:hAnsiTheme="majorHAnsi" w:cs="Times New Roman"/>
        </w:rPr>
        <w:t>Objednatel</w:t>
      </w:r>
      <w:r w:rsidR="00610C25" w:rsidRPr="004F4FCA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 w:rsidRPr="004F4FCA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 w:rsidRPr="004F4FCA">
        <w:rPr>
          <w:rFonts w:asciiTheme="majorHAnsi" w:eastAsia="Calibri" w:hAnsiTheme="majorHAnsi" w:cs="Times New Roman"/>
        </w:rPr>
        <w:t xml:space="preserve"> Zhotovitel</w:t>
      </w:r>
      <w:r w:rsidR="00750BF5" w:rsidRPr="004F4FCA">
        <w:rPr>
          <w:rFonts w:asciiTheme="majorHAnsi" w:eastAsia="Calibri" w:hAnsiTheme="majorHAnsi" w:cs="Times New Roman"/>
        </w:rPr>
        <w:t>em</w:t>
      </w:r>
      <w:r w:rsidR="004F4FCA" w:rsidRPr="004F4FCA">
        <w:rPr>
          <w:rFonts w:asciiTheme="majorHAnsi" w:eastAsia="Calibri" w:hAnsiTheme="majorHAnsi" w:cs="Times New Roman"/>
        </w:rPr>
        <w:t>. Z</w:t>
      </w:r>
      <w:r w:rsidR="00610C25" w:rsidRPr="004F4FCA">
        <w:rPr>
          <w:rFonts w:asciiTheme="majorHAnsi" w:eastAsia="Calibri" w:hAnsiTheme="majorHAnsi" w:cs="Times New Roman"/>
        </w:rPr>
        <w:t xml:space="preserve">působ sjednání ceny nesmí být v rozporu </w:t>
      </w:r>
      <w:r w:rsidR="00750BF5" w:rsidRPr="004F4FCA">
        <w:rPr>
          <w:rFonts w:asciiTheme="majorHAnsi" w:eastAsia="Calibri" w:hAnsiTheme="majorHAnsi" w:cs="Times New Roman"/>
        </w:rPr>
        <w:t>se zákonem o zadávání veřejných zakázek nebo s Metodickým pokynem pro oblast zadávání zak</w:t>
      </w:r>
      <w:r w:rsidR="00360A4F" w:rsidRPr="004F4FCA">
        <w:rPr>
          <w:rFonts w:asciiTheme="majorHAnsi" w:eastAsia="Calibri" w:hAnsiTheme="majorHAnsi" w:cs="Times New Roman"/>
        </w:rPr>
        <w:t>ázek pro programové období 2014–</w:t>
      </w:r>
      <w:r w:rsidR="00750BF5" w:rsidRPr="004F4FCA">
        <w:rPr>
          <w:rFonts w:asciiTheme="majorHAnsi" w:eastAsia="Calibri" w:hAnsiTheme="majorHAnsi" w:cs="Times New Roman"/>
        </w:rPr>
        <w:t>2020</w:t>
      </w:r>
      <w:r w:rsidR="00610C25" w:rsidRPr="004F4FCA">
        <w:rPr>
          <w:rFonts w:asciiTheme="majorHAnsi" w:eastAsia="Calibri" w:hAnsiTheme="majorHAnsi" w:cs="Times New Roman"/>
        </w:rPr>
        <w:t>.</w:t>
      </w:r>
      <w:r w:rsidR="00610C25">
        <w:rPr>
          <w:rFonts w:asciiTheme="majorHAnsi" w:eastAsia="Calibri" w:hAnsiTheme="majorHAnsi" w:cs="Times New Roman"/>
        </w:rPr>
        <w:t xml:space="preserve"> </w:t>
      </w:r>
    </w:p>
    <w:p w:rsidR="00610C25" w:rsidRPr="001C60EE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1C60EE">
        <w:rPr>
          <w:lang w:eastAsia="cs-CZ"/>
        </w:rPr>
        <w:t>Platební podmínky</w:t>
      </w:r>
    </w:p>
    <w:p w:rsidR="00610C25" w:rsidRPr="001C60EE" w:rsidRDefault="00E9242B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1004AD">
        <w:rPr>
          <w:rFonts w:asciiTheme="majorHAnsi" w:eastAsia="Times New Roman" w:hAnsiTheme="majorHAnsi" w:cs="Arial"/>
          <w:lang w:eastAsia="cs-CZ"/>
        </w:rPr>
        <w:t>Cena díla bude hrazena</w:t>
      </w:r>
      <w:r w:rsidR="001004AD" w:rsidRPr="001004AD">
        <w:rPr>
          <w:rFonts w:asciiTheme="majorHAnsi" w:eastAsia="Times New Roman" w:hAnsiTheme="majorHAnsi" w:cs="Arial"/>
          <w:lang w:eastAsia="cs-CZ"/>
        </w:rPr>
        <w:t>,</w:t>
      </w:r>
      <w:r w:rsidRPr="001004AD">
        <w:rPr>
          <w:rFonts w:asciiTheme="majorHAnsi" w:eastAsia="Times New Roman" w:hAnsiTheme="majorHAnsi" w:cs="Arial"/>
          <w:lang w:eastAsia="cs-CZ"/>
        </w:rPr>
        <w:t xml:space="preserve"> s výjimkou objektivně odůvodněných případů</w:t>
      </w:r>
      <w:r w:rsidR="001004AD" w:rsidRPr="001004AD">
        <w:rPr>
          <w:rFonts w:asciiTheme="majorHAnsi" w:eastAsia="Times New Roman" w:hAnsiTheme="majorHAnsi" w:cs="Arial"/>
          <w:lang w:eastAsia="cs-CZ"/>
        </w:rPr>
        <w:t>,</w:t>
      </w:r>
      <w:r w:rsidRPr="001004AD">
        <w:rPr>
          <w:rFonts w:asciiTheme="majorHAnsi" w:eastAsia="Times New Roman" w:hAnsiTheme="majorHAnsi" w:cs="Arial"/>
          <w:lang w:eastAsia="cs-CZ"/>
        </w:rPr>
        <w:t xml:space="preserve"> na základě daňov</w:t>
      </w:r>
      <w:r w:rsidR="0055052A" w:rsidRPr="001004AD">
        <w:rPr>
          <w:rFonts w:asciiTheme="majorHAnsi" w:eastAsia="Times New Roman" w:hAnsiTheme="majorHAnsi" w:cs="Arial"/>
          <w:lang w:eastAsia="cs-CZ"/>
        </w:rPr>
        <w:t>ého dokladu</w:t>
      </w:r>
      <w:r w:rsidRPr="001004AD">
        <w:rPr>
          <w:rFonts w:asciiTheme="majorHAnsi" w:eastAsia="Times New Roman" w:hAnsiTheme="majorHAnsi" w:cs="Arial"/>
          <w:lang w:eastAsia="cs-CZ"/>
        </w:rPr>
        <w:t xml:space="preserve"> (faktur</w:t>
      </w:r>
      <w:r w:rsidR="0055052A" w:rsidRPr="001004AD">
        <w:rPr>
          <w:rFonts w:asciiTheme="majorHAnsi" w:eastAsia="Times New Roman" w:hAnsiTheme="majorHAnsi" w:cs="Arial"/>
          <w:lang w:eastAsia="cs-CZ"/>
        </w:rPr>
        <w:t>y) vystavené</w:t>
      </w:r>
      <w:r w:rsidR="007C77E9" w:rsidRPr="001004AD">
        <w:rPr>
          <w:rFonts w:asciiTheme="majorHAnsi" w:eastAsia="Times New Roman" w:hAnsiTheme="majorHAnsi" w:cs="Arial"/>
          <w:lang w:eastAsia="cs-CZ"/>
        </w:rPr>
        <w:t xml:space="preserve"> Zhotovitel</w:t>
      </w:r>
      <w:r w:rsidR="0055052A" w:rsidRPr="001004AD">
        <w:rPr>
          <w:rFonts w:asciiTheme="majorHAnsi" w:eastAsia="Times New Roman" w:hAnsiTheme="majorHAnsi" w:cs="Arial"/>
          <w:lang w:eastAsia="cs-CZ"/>
        </w:rPr>
        <w:t xml:space="preserve">em </w:t>
      </w:r>
      <w:r w:rsidR="001C60EE" w:rsidRPr="001004AD">
        <w:rPr>
          <w:rFonts w:asciiTheme="majorHAnsi" w:eastAsia="Times New Roman" w:hAnsiTheme="majorHAnsi" w:cs="Arial"/>
          <w:lang w:eastAsia="cs-CZ"/>
        </w:rPr>
        <w:t>při předání díla</w:t>
      </w:r>
      <w:r w:rsidR="00F61AE6" w:rsidRPr="001004AD">
        <w:rPr>
          <w:rFonts w:asciiTheme="majorHAnsi" w:eastAsia="Times New Roman" w:hAnsiTheme="majorHAnsi" w:cs="Arial"/>
          <w:lang w:eastAsia="cs-CZ"/>
        </w:rPr>
        <w:t>.</w:t>
      </w:r>
      <w:r w:rsidR="00907F99" w:rsidRPr="001C60EE">
        <w:rPr>
          <w:rFonts w:asciiTheme="majorHAnsi" w:eastAsia="Times New Roman" w:hAnsiTheme="majorHAnsi" w:cs="Arial"/>
          <w:lang w:eastAsia="cs-CZ"/>
        </w:rPr>
        <w:t xml:space="preserve"> Fakturovány budou provedené a vzájemně odsouhlasené práce, dodávky a</w:t>
      </w:r>
      <w:r w:rsidR="001C60EE" w:rsidRPr="001C60EE">
        <w:rPr>
          <w:rFonts w:asciiTheme="majorHAnsi" w:eastAsia="Times New Roman" w:hAnsiTheme="majorHAnsi" w:cs="Arial"/>
          <w:lang w:eastAsia="cs-CZ"/>
        </w:rPr>
        <w:t xml:space="preserve"> služby (dále také jen „práce“). P</w:t>
      </w:r>
      <w:r w:rsidR="00907F99" w:rsidRPr="001C60EE">
        <w:rPr>
          <w:rFonts w:asciiTheme="majorHAnsi" w:eastAsia="Times New Roman" w:hAnsiTheme="majorHAnsi" w:cs="Arial"/>
          <w:lang w:eastAsia="cs-CZ"/>
        </w:rPr>
        <w:t>ráce budou fakturovány dle položkového rozpočtu tvořícího přílohu č. 1 této smlouvy.</w:t>
      </w:r>
    </w:p>
    <w:p w:rsidR="00C45377" w:rsidRPr="00C45377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5377">
        <w:rPr>
          <w:rFonts w:asciiTheme="majorHAnsi" w:eastAsia="Times New Roman" w:hAnsiTheme="majorHAnsi" w:cs="Arial"/>
          <w:lang w:eastAsia="cs-CZ"/>
        </w:rPr>
        <w:t xml:space="preserve">Podkladem pro úhradu ceny </w:t>
      </w:r>
      <w:r w:rsidR="00E9242B" w:rsidRPr="00C45377">
        <w:rPr>
          <w:rFonts w:asciiTheme="majorHAnsi" w:eastAsia="Times New Roman" w:hAnsiTheme="majorHAnsi" w:cs="Arial"/>
          <w:lang w:eastAsia="cs-CZ"/>
        </w:rPr>
        <w:t>díla</w:t>
      </w:r>
      <w:r w:rsidRPr="00C45377">
        <w:rPr>
          <w:rFonts w:asciiTheme="majorHAnsi" w:eastAsia="Times New Roman" w:hAnsiTheme="majorHAnsi" w:cs="Arial"/>
          <w:lang w:eastAsia="cs-CZ"/>
        </w:rPr>
        <w:t xml:space="preserve"> bude faktura, která musí mít náležitosti daňového dokladu podle platného zákona č. 235/2004 Sb., o dani z přidané hodnoty, ve znění pozdějších předpisů.</w:t>
      </w:r>
      <w:r w:rsidR="001C72B6">
        <w:rPr>
          <w:rFonts w:asciiTheme="majorHAnsi" w:eastAsia="Times New Roman" w:hAnsiTheme="majorHAnsi" w:cs="Arial"/>
          <w:lang w:eastAsia="cs-CZ"/>
        </w:rPr>
        <w:t xml:space="preserve"> </w:t>
      </w:r>
      <w:r w:rsidR="00C45B9E" w:rsidRPr="00C45377">
        <w:rPr>
          <w:rFonts w:asciiTheme="majorHAnsi" w:eastAsia="Times New Roman" w:hAnsiTheme="majorHAnsi" w:cs="Arial"/>
          <w:lang w:eastAsia="cs-CZ"/>
        </w:rPr>
        <w:t xml:space="preserve">Každá faktura musí být označena </w:t>
      </w:r>
      <w:r w:rsidR="00360A4F" w:rsidRPr="00C45377">
        <w:rPr>
          <w:rFonts w:asciiTheme="majorHAnsi" w:eastAsia="Times New Roman" w:hAnsiTheme="majorHAnsi" w:cs="Arial"/>
          <w:lang w:eastAsia="cs-CZ"/>
        </w:rPr>
        <w:t xml:space="preserve">registračním </w:t>
      </w:r>
      <w:r w:rsidR="00C45B9E" w:rsidRPr="00C45377">
        <w:rPr>
          <w:rFonts w:asciiTheme="majorHAnsi" w:eastAsia="Times New Roman" w:hAnsiTheme="majorHAnsi" w:cs="Arial"/>
          <w:lang w:eastAsia="cs-CZ"/>
        </w:rPr>
        <w:t>číslem projektu</w:t>
      </w:r>
      <w:r w:rsidR="00360A4F" w:rsidRPr="00C45377">
        <w:rPr>
          <w:rFonts w:asciiTheme="majorHAnsi" w:eastAsia="Times New Roman" w:hAnsiTheme="majorHAnsi" w:cs="Arial"/>
          <w:lang w:eastAsia="cs-CZ"/>
        </w:rPr>
        <w:t xml:space="preserve"> </w:t>
      </w:r>
      <w:r w:rsidR="00C45377">
        <w:rPr>
          <w:rFonts w:asciiTheme="majorHAnsi" w:eastAsia="Times New Roman" w:hAnsiTheme="majorHAnsi" w:cs="Arial"/>
          <w:lang w:eastAsia="cs-CZ"/>
        </w:rPr>
        <w:t>(</w:t>
      </w:r>
      <w:r w:rsidR="00C45377">
        <w:rPr>
          <w:rFonts w:asciiTheme="majorHAnsi" w:hAnsiTheme="majorHAnsi" w:cs="Arial"/>
        </w:rPr>
        <w:t>CZ.06.2.67/0.0/0.0/16_050/0001855).</w:t>
      </w:r>
    </w:p>
    <w:p w:rsidR="00610C25" w:rsidRPr="00C45377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5377">
        <w:rPr>
          <w:rFonts w:asciiTheme="majorHAnsi" w:eastAsia="Times New Roman" w:hAnsiTheme="majorHAnsi" w:cs="Arial"/>
          <w:lang w:eastAsia="cs-CZ"/>
        </w:rPr>
        <w:t xml:space="preserve">Lhůta splatnosti </w:t>
      </w:r>
      <w:r w:rsidR="00C45B9E" w:rsidRPr="00C45377">
        <w:rPr>
          <w:rFonts w:asciiTheme="majorHAnsi" w:eastAsia="Times New Roman" w:hAnsiTheme="majorHAnsi" w:cs="Arial"/>
          <w:lang w:eastAsia="cs-CZ"/>
        </w:rPr>
        <w:t>faktur</w:t>
      </w:r>
      <w:r w:rsidRPr="00C45377">
        <w:rPr>
          <w:rFonts w:asciiTheme="majorHAnsi" w:eastAsia="Times New Roman" w:hAnsiTheme="majorHAnsi" w:cs="Arial"/>
          <w:lang w:eastAsia="cs-CZ"/>
        </w:rPr>
        <w:t xml:space="preserve"> činí 3</w:t>
      </w:r>
      <w:r w:rsidRPr="00C45377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 w:rsidRPr="00C45377">
        <w:rPr>
          <w:rFonts w:asciiTheme="majorHAnsi" w:eastAsia="Times New Roman" w:hAnsiTheme="majorHAnsi" w:cs="Arial"/>
          <w:lang w:eastAsia="cs-CZ"/>
        </w:rPr>
        <w:t xml:space="preserve"> od jejich</w:t>
      </w:r>
      <w:r w:rsidRPr="00C45377">
        <w:rPr>
          <w:rFonts w:asciiTheme="majorHAnsi" w:eastAsia="Times New Roman" w:hAnsiTheme="majorHAnsi" w:cs="Arial"/>
          <w:lang w:eastAsia="cs-CZ"/>
        </w:rPr>
        <w:t xml:space="preserve"> pr</w:t>
      </w:r>
      <w:r w:rsidR="00C45B9E" w:rsidRPr="00C45377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 w:rsidRPr="00C45377">
        <w:rPr>
          <w:rFonts w:asciiTheme="majorHAnsi" w:eastAsia="Times New Roman" w:hAnsiTheme="majorHAnsi" w:cs="Arial"/>
          <w:lang w:eastAsia="cs-CZ"/>
        </w:rPr>
        <w:t>Objednatel</w:t>
      </w:r>
      <w:r w:rsidR="00C45B9E" w:rsidRPr="00C45377">
        <w:rPr>
          <w:rFonts w:asciiTheme="majorHAnsi" w:eastAsia="Times New Roman" w:hAnsiTheme="majorHAnsi" w:cs="Arial"/>
          <w:lang w:eastAsia="cs-CZ"/>
        </w:rPr>
        <w:t>i</w:t>
      </w:r>
      <w:r w:rsidRPr="00C45377">
        <w:rPr>
          <w:rFonts w:asciiTheme="majorHAnsi" w:eastAsia="Times New Roman" w:hAnsiTheme="majorHAnsi" w:cs="Arial"/>
          <w:lang w:eastAsia="cs-CZ"/>
        </w:rPr>
        <w:t xml:space="preserve">. </w:t>
      </w:r>
    </w:p>
    <w:p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:rsidR="000D671F" w:rsidRPr="00741A0C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:rsidR="00DF217C" w:rsidRDefault="00970893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="00A22146">
        <w:rPr>
          <w:rFonts w:asciiTheme="majorHAnsi" w:eastAsia="Times New Roman" w:hAnsiTheme="majorHAnsi" w:cs="Arial"/>
          <w:lang w:eastAsia="cs-CZ"/>
        </w:rPr>
        <w:t>provedených</w:t>
      </w:r>
      <w:r w:rsidRPr="00DF217C">
        <w:rPr>
          <w:rFonts w:asciiTheme="majorHAnsi" w:eastAsia="Times New Roman" w:hAnsiTheme="majorHAnsi" w:cs="Arial"/>
          <w:lang w:eastAsia="cs-CZ"/>
        </w:rPr>
        <w:t xml:space="preserve"> prací, které jsou předmětem předání a převzetí,</w:t>
      </w:r>
    </w:p>
    <w:p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odmítnout převzít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>, pokud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-li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nedodělky, musí protokol obsahovat i tyto náležitosti:</w:t>
      </w:r>
    </w:p>
    <w:p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soupis zjištěných vad a nedodělků včetně určení, které vady a nedodělky brání, a které ne</w:t>
      </w:r>
      <w:r w:rsidR="00AB0655">
        <w:rPr>
          <w:rFonts w:asciiTheme="majorHAnsi" w:eastAsia="Times New Roman" w:hAnsiTheme="majorHAnsi" w:cs="Arial"/>
          <w:lang w:eastAsia="cs-CZ"/>
        </w:rPr>
        <w:t xml:space="preserve">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AB0655">
        <w:rPr>
          <w:rFonts w:asciiTheme="majorHAnsi" w:eastAsia="Times New Roman" w:hAnsiTheme="majorHAnsi" w:cs="Arial"/>
          <w:lang w:eastAsia="cs-CZ"/>
        </w:rPr>
        <w:t xml:space="preserve">užívání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em, </w:t>
      </w:r>
    </w:p>
    <w:p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 xml:space="preserve">t, ačkoli k tomu byl </w:t>
      </w:r>
      <w:r w:rsidR="00C7475C" w:rsidRPr="003950BC">
        <w:rPr>
          <w:rFonts w:asciiTheme="majorHAnsi" w:eastAsia="Times New Roman" w:hAnsiTheme="majorHAnsi" w:cs="Arial"/>
          <w:lang w:eastAsia="cs-CZ"/>
        </w:rPr>
        <w:t xml:space="preserve">dle odst. </w:t>
      </w:r>
      <w:r w:rsidR="003950BC" w:rsidRPr="003950BC">
        <w:rPr>
          <w:rFonts w:asciiTheme="majorHAnsi" w:eastAsia="Times New Roman" w:hAnsiTheme="majorHAnsi" w:cs="Arial"/>
          <w:lang w:eastAsia="cs-CZ"/>
        </w:rPr>
        <w:t>2</w:t>
      </w:r>
      <w:r w:rsidR="00AB0655" w:rsidRPr="003950BC">
        <w:rPr>
          <w:rFonts w:asciiTheme="majorHAnsi" w:eastAsia="Times New Roman" w:hAnsiTheme="majorHAnsi" w:cs="Arial"/>
          <w:lang w:eastAsia="cs-CZ"/>
        </w:rPr>
        <w:t xml:space="preserve"> tohoto</w:t>
      </w:r>
      <w:r w:rsidR="00AB0655">
        <w:rPr>
          <w:rFonts w:asciiTheme="majorHAnsi" w:eastAsia="Times New Roman" w:hAnsiTheme="majorHAnsi" w:cs="Arial"/>
          <w:lang w:eastAsia="cs-CZ"/>
        </w:rPr>
        <w:t xml:space="preserve">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:rsidR="00DF217C" w:rsidRPr="0070165F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 xml:space="preserve">i v českém jazyce veškeré </w:t>
      </w:r>
      <w:r w:rsidR="008973B9">
        <w:rPr>
          <w:rFonts w:asciiTheme="majorHAnsi" w:eastAsia="Times New Roman" w:hAnsiTheme="majorHAnsi" w:cs="Arial"/>
          <w:lang w:eastAsia="cs-CZ"/>
        </w:rPr>
        <w:t>d</w:t>
      </w:r>
      <w:r w:rsidRPr="0070165F">
        <w:rPr>
          <w:rFonts w:asciiTheme="majorHAnsi" w:eastAsia="Times New Roman" w:hAnsiTheme="majorHAnsi" w:cs="Arial"/>
          <w:lang w:eastAsia="cs-CZ"/>
        </w:rPr>
        <w:t>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="00444895">
        <w:rPr>
          <w:rFonts w:asciiTheme="majorHAnsi" w:eastAsia="Times New Roman" w:hAnsiTheme="majorHAnsi" w:cs="Arial"/>
          <w:lang w:eastAsia="cs-CZ"/>
        </w:rPr>
        <w:t>.</w:t>
      </w:r>
    </w:p>
    <w:p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t>Článek</w:t>
      </w:r>
      <w:r w:rsidR="00970893">
        <w:rPr>
          <w:lang w:eastAsia="cs-CZ"/>
        </w:rPr>
        <w:t xml:space="preserve"> XII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:rsidR="00740228" w:rsidRPr="00444895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444895">
        <w:rPr>
          <w:rFonts w:asciiTheme="majorHAnsi" w:eastAsia="Times New Roman" w:hAnsiTheme="majorHAnsi" w:cs="Arial"/>
          <w:bCs/>
          <w:lang w:eastAsia="cs-CZ"/>
        </w:rPr>
        <w:t xml:space="preserve">Zhotovitel poskytuje </w:t>
      </w:r>
      <w:r w:rsidR="007C77E9" w:rsidRPr="00444895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444895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 w:rsidRPr="00444895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444895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444895" w:rsidRPr="00444895">
        <w:rPr>
          <w:rFonts w:asciiTheme="majorHAnsi" w:eastAsia="Times New Roman" w:hAnsiTheme="majorHAnsi" w:cs="Arial"/>
          <w:bCs/>
          <w:lang w:eastAsia="cs-CZ"/>
        </w:rPr>
        <w:t xml:space="preserve">24 </w:t>
      </w:r>
      <w:r w:rsidR="00B744A2" w:rsidRPr="00444895">
        <w:rPr>
          <w:rFonts w:asciiTheme="majorHAnsi" w:eastAsia="Times New Roman" w:hAnsiTheme="majorHAnsi" w:cs="Arial"/>
          <w:bCs/>
          <w:lang w:eastAsia="cs-CZ"/>
        </w:rPr>
        <w:t xml:space="preserve">měsíců ode dne </w:t>
      </w:r>
      <w:r w:rsidR="005F78C2" w:rsidRPr="00444895">
        <w:rPr>
          <w:rFonts w:asciiTheme="majorHAnsi" w:eastAsia="Times New Roman" w:hAnsiTheme="majorHAnsi" w:cs="Arial"/>
          <w:bCs/>
          <w:lang w:eastAsia="cs-CZ"/>
        </w:rPr>
        <w:t xml:space="preserve">předání díla, a je-li dílo předáno s vadami a nedodělky, pak v délce záruční doby </w:t>
      </w:r>
      <w:r w:rsidR="00444895" w:rsidRPr="00444895">
        <w:rPr>
          <w:rFonts w:asciiTheme="majorHAnsi" w:eastAsia="Times New Roman" w:hAnsiTheme="majorHAnsi" w:cs="Arial"/>
          <w:bCs/>
          <w:lang w:eastAsia="cs-CZ"/>
        </w:rPr>
        <w:t>24</w:t>
      </w:r>
      <w:r w:rsidR="005F78C2" w:rsidRPr="00444895">
        <w:rPr>
          <w:rFonts w:asciiTheme="majorHAnsi" w:eastAsia="Times New Roman" w:hAnsiTheme="majorHAnsi" w:cs="Arial"/>
          <w:bCs/>
          <w:lang w:eastAsia="cs-CZ"/>
        </w:rPr>
        <w:t xml:space="preserve"> měsíců ode dne odstranění všech vad a nedodělků</w:t>
      </w:r>
      <w:r w:rsidR="00B744A2" w:rsidRPr="00444895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444895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 w:rsidRPr="00444895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 w:rsidRPr="00444895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444895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:rsidR="00A01712" w:rsidRPr="00A01712" w:rsidRDefault="00A01712" w:rsidP="00806DD0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Objednatel je povinen ve lhůtě 14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dnů od převzetí </w:t>
      </w:r>
      <w:r w:rsidR="005F78C2">
        <w:rPr>
          <w:rFonts w:asciiTheme="majorHAnsi" w:eastAsia="Times New Roman" w:hAnsiTheme="majorHAnsi" w:cs="Arial"/>
          <w:bCs/>
          <w:lang w:eastAsia="cs-CZ"/>
        </w:rPr>
        <w:t>díla, a je-li dílo předáno s vadami a nedodělky</w:t>
      </w:r>
      <w:r w:rsidR="00BE2900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pak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ve lhůtě 14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dnů </w:t>
      </w:r>
      <w:r w:rsidR="005F78C2">
        <w:rPr>
          <w:rFonts w:asciiTheme="majorHAnsi" w:eastAsia="Times New Roman" w:hAnsiTheme="majorHAnsi" w:cs="Arial"/>
          <w:bCs/>
          <w:lang w:eastAsia="cs-CZ"/>
        </w:rPr>
        <w:t>ode dne odstranění všech vad a nedodělků</w:t>
      </w:r>
      <w:r w:rsidR="008D7904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zkontrolovat </w:t>
      </w:r>
      <w:r w:rsidR="00BE2900">
        <w:rPr>
          <w:rFonts w:asciiTheme="majorHAnsi" w:eastAsia="Times New Roman" w:hAnsiTheme="majorHAnsi" w:cs="Arial"/>
          <w:bCs/>
          <w:lang w:eastAsia="cs-CZ"/>
        </w:rPr>
        <w:t>dílo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s odbornou péčí. Jakékoliv zjištěn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é zjevné vady či nedostatky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="00AB0655">
        <w:rPr>
          <w:rFonts w:asciiTheme="majorHAnsi" w:eastAsia="Times New Roman" w:hAnsiTheme="majorHAnsi" w:cs="Arial"/>
          <w:bCs/>
          <w:lang w:eastAsia="cs-CZ"/>
        </w:rPr>
        <w:t>v této lhůtě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i. Zhotovitel odpovídá za zjišt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ěné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zjevné 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vady či nedostatky, jež mu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oznámil v této lhůtě.</w:t>
      </w:r>
    </w:p>
    <w:p w:rsidR="007C77E9" w:rsidRDefault="00A01712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v rámci </w:t>
      </w:r>
      <w:r w:rsidR="00EF4A12">
        <w:rPr>
          <w:rFonts w:asciiTheme="majorHAnsi" w:eastAsia="Times New Roman" w:hAnsiTheme="majorHAnsi" w:cs="Arial"/>
          <w:bCs/>
          <w:lang w:eastAsia="cs-CZ"/>
        </w:rPr>
        <w:t>povinností z</w:t>
      </w:r>
      <w:r w:rsidR="00B94B77">
        <w:rPr>
          <w:rFonts w:asciiTheme="majorHAnsi" w:eastAsia="Times New Roman" w:hAnsiTheme="majorHAnsi" w:cs="Arial"/>
          <w:bCs/>
          <w:lang w:eastAsia="cs-CZ"/>
        </w:rPr>
        <w:t> </w:t>
      </w:r>
      <w:r w:rsidR="00EF4A12">
        <w:rPr>
          <w:rFonts w:asciiTheme="majorHAnsi" w:eastAsia="Times New Roman" w:hAnsiTheme="majorHAnsi" w:cs="Arial"/>
          <w:bCs/>
          <w:lang w:eastAsia="cs-CZ"/>
        </w:rPr>
        <w:t>vad</w:t>
      </w:r>
      <w:r w:rsidR="00B94B77">
        <w:rPr>
          <w:rFonts w:asciiTheme="majorHAnsi" w:eastAsia="Times New Roman" w:hAnsiTheme="majorHAnsi" w:cs="Arial"/>
          <w:bCs/>
          <w:lang w:eastAsia="cs-CZ"/>
        </w:rPr>
        <w:t xml:space="preserve"> díla </w:t>
      </w:r>
      <w:r w:rsidRPr="00A01712">
        <w:rPr>
          <w:rFonts w:asciiTheme="majorHAnsi" w:eastAsia="Times New Roman" w:hAnsiTheme="majorHAnsi" w:cs="Arial"/>
          <w:bCs/>
          <w:lang w:eastAsia="cs-CZ"/>
        </w:rPr>
        <w:t>odpovídá za vady, které m</w:t>
      </w:r>
      <w:r w:rsidR="005F78C2">
        <w:rPr>
          <w:rFonts w:asciiTheme="majorHAnsi" w:eastAsia="Times New Roman" w:hAnsiTheme="majorHAnsi" w:cs="Arial"/>
          <w:bCs/>
          <w:lang w:eastAsia="cs-CZ"/>
        </w:rPr>
        <w:t>á dílo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v okamžiku jeh</w:t>
      </w:r>
      <w:r w:rsidR="005F78C2">
        <w:rPr>
          <w:rFonts w:asciiTheme="majorHAnsi" w:eastAsia="Times New Roman" w:hAnsiTheme="majorHAnsi" w:cs="Arial"/>
          <w:bCs/>
          <w:lang w:eastAsia="cs-CZ"/>
        </w:rPr>
        <w:t>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převzetí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>em, i když se vada stane zjevnou až po této době. Zhotovitel odpovídá rovněž za jakoukoli vadu, jež vznikne po ok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amžiku převzetí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em, jestliže je </w:t>
      </w:r>
      <w:r w:rsidR="00AB0655">
        <w:rPr>
          <w:rFonts w:asciiTheme="majorHAnsi" w:eastAsia="Times New Roman" w:hAnsiTheme="majorHAnsi" w:cs="Arial"/>
          <w:bCs/>
          <w:lang w:eastAsia="cs-CZ"/>
        </w:rPr>
        <w:lastRenderedPageBreak/>
        <w:t>způsobena porušením povinnosti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e. Objednatel je povin</w:t>
      </w:r>
      <w:r w:rsidR="00AB0655">
        <w:rPr>
          <w:rFonts w:asciiTheme="majorHAnsi" w:eastAsia="Times New Roman" w:hAnsiTheme="majorHAnsi" w:cs="Arial"/>
          <w:bCs/>
          <w:lang w:eastAsia="cs-CZ"/>
        </w:rPr>
        <w:t>en takto zjištěné vady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i nejpozději do 30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>dnů od jejich zjištění.</w:t>
      </w:r>
    </w:p>
    <w:p w:rsidR="00A258FF" w:rsidRPr="007C77E9" w:rsidRDefault="008D7904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C77E9">
        <w:rPr>
          <w:rFonts w:asciiTheme="majorHAnsi" w:eastAsia="Times New Roman" w:hAnsiTheme="majorHAnsi" w:cs="Arial"/>
          <w:bCs/>
          <w:lang w:eastAsia="cs-CZ"/>
        </w:rPr>
        <w:t xml:space="preserve">Objednateli náleží z vadného plnění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7C77E9">
        <w:rPr>
          <w:rFonts w:asciiTheme="majorHAnsi" w:eastAsia="Times New Roman" w:hAnsiTheme="majorHAnsi" w:cs="Arial"/>
          <w:bCs/>
          <w:lang w:eastAsia="cs-CZ"/>
        </w:rPr>
        <w:t>práva dle občanského zákoníku. Pokud je uplatněno právo na odstranění vady,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(záruční vady) 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>v</w:t>
      </w:r>
      <w:r w:rsidRPr="007C77E9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4C2088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dnů od oznámení</w:t>
      </w:r>
      <w:r w:rsidRPr="007C77E9">
        <w:rPr>
          <w:rFonts w:asciiTheme="majorHAnsi" w:eastAsia="Times New Roman" w:hAnsiTheme="majorHAnsi" w:cs="Arial"/>
          <w:bCs/>
          <w:lang w:eastAsia="cs-CZ"/>
        </w:rPr>
        <w:t xml:space="preserve"> vad</w:t>
      </w:r>
      <w:r w:rsidR="00B94B77" w:rsidRPr="007C77E9">
        <w:rPr>
          <w:rFonts w:asciiTheme="majorHAnsi" w:eastAsia="Times New Roman" w:hAnsiTheme="majorHAnsi" w:cs="Arial"/>
          <w:bCs/>
          <w:lang w:eastAsia="cs-CZ"/>
        </w:rPr>
        <w:t>y Objednatelem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 xml:space="preserve">Uplatněním </w:t>
      </w:r>
      <w:r w:rsidR="00B94B77">
        <w:rPr>
          <w:rFonts w:asciiTheme="majorHAnsi" w:hAnsiTheme="majorHAnsi" w:cs="Arial"/>
          <w:sz w:val="22"/>
          <w:szCs w:val="22"/>
        </w:rPr>
        <w:t>práv z vad</w:t>
      </w:r>
      <w:r w:rsidR="00444895">
        <w:rPr>
          <w:rFonts w:asciiTheme="majorHAnsi" w:hAnsiTheme="majorHAnsi" w:cs="Arial"/>
          <w:sz w:val="22"/>
          <w:szCs w:val="22"/>
        </w:rPr>
        <w:t xml:space="preserve">ného plnění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970893">
        <w:rPr>
          <w:lang w:eastAsia="cs-CZ"/>
        </w:rPr>
        <w:t>III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t xml:space="preserve">V případě prodlení </w:t>
      </w:r>
      <w:r w:rsidR="007C77E9" w:rsidRPr="004C2088">
        <w:rPr>
          <w:rFonts w:asciiTheme="majorHAnsi" w:eastAsia="Times New Roman" w:hAnsiTheme="majorHAnsi" w:cs="Arial"/>
          <w:bCs/>
          <w:lang w:eastAsia="cs-CZ"/>
        </w:rPr>
        <w:t>Objednatel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4C2088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faktury činí úrok z prodlení 0,015 % z dlužné částky za každý den prodlení. </w:t>
      </w:r>
    </w:p>
    <w:p w:rsidR="00B744A2" w:rsidRDefault="00970893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>
        <w:rPr>
          <w:lang w:eastAsia="cs-CZ"/>
        </w:rPr>
        <w:t>V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:rsidR="00B744A2" w:rsidRPr="005E42C1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4C09CC">
        <w:rPr>
          <w:rFonts w:asciiTheme="majorHAnsi" w:eastAsia="Calibri" w:hAnsiTheme="majorHAnsi" w:cs="Arial"/>
          <w:lang w:eastAsia="cs-CZ"/>
        </w:rPr>
        <w:t>V</w:t>
      </w:r>
      <w:r w:rsidRPr="004C09CC">
        <w:rPr>
          <w:rFonts w:asciiTheme="majorHAnsi" w:eastAsia="Calibri" w:hAnsiTheme="majorHAnsi" w:cs="Arial"/>
        </w:rPr>
        <w:t xml:space="preserve"> případě</w:t>
      </w:r>
      <w:r w:rsidRPr="005E42C1">
        <w:rPr>
          <w:rFonts w:asciiTheme="majorHAnsi" w:eastAsia="Calibri" w:hAnsiTheme="majorHAnsi" w:cs="Arial"/>
        </w:rPr>
        <w:t xml:space="preserve">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5E42C1">
        <w:rPr>
          <w:rFonts w:asciiTheme="majorHAnsi" w:eastAsia="Calibri" w:hAnsiTheme="majorHAnsi" w:cs="Arial"/>
        </w:rPr>
        <w:t xml:space="preserve"> povinen uhradi</w:t>
      </w:r>
      <w:r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Pr="005E42C1">
        <w:rPr>
          <w:rFonts w:asciiTheme="majorHAnsi" w:eastAsia="Calibri" w:hAnsiTheme="majorHAnsi" w:cs="Arial"/>
        </w:rPr>
        <w:t>i smluvní pokutu ve v</w:t>
      </w:r>
      <w:r>
        <w:rPr>
          <w:rFonts w:asciiTheme="majorHAnsi" w:eastAsia="Calibri" w:hAnsiTheme="majorHAnsi" w:cs="Arial"/>
        </w:rPr>
        <w:t>ýši 0,</w:t>
      </w:r>
      <w:r w:rsidR="00806DD0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% z</w:t>
      </w:r>
      <w:r w:rsidR="005D5217">
        <w:rPr>
          <w:rFonts w:asciiTheme="majorHAnsi" w:eastAsia="Calibri" w:hAnsiTheme="majorHAnsi" w:cs="Arial"/>
        </w:rPr>
        <w:t xml:space="preserve"> celkové sjednané </w:t>
      </w:r>
      <w:r>
        <w:rPr>
          <w:rFonts w:asciiTheme="majorHAnsi" w:eastAsia="Calibri" w:hAnsiTheme="majorHAnsi" w:cs="Arial"/>
        </w:rPr>
        <w:t>ceny díla</w:t>
      </w:r>
      <w:r w:rsidRPr="005E42C1">
        <w:rPr>
          <w:rFonts w:asciiTheme="majorHAnsi" w:eastAsia="Calibri" w:hAnsiTheme="majorHAnsi" w:cs="Arial"/>
        </w:rPr>
        <w:t xml:space="preserve"> </w:t>
      </w:r>
      <w:r w:rsidR="008A68CB">
        <w:rPr>
          <w:rFonts w:asciiTheme="majorHAnsi" w:eastAsia="Calibri" w:hAnsiTheme="majorHAnsi" w:cs="Arial"/>
        </w:rPr>
        <w:t xml:space="preserve">bez DPH </w:t>
      </w:r>
      <w:r w:rsidRPr="005E42C1">
        <w:rPr>
          <w:rFonts w:asciiTheme="majorHAnsi" w:eastAsia="Calibri" w:hAnsiTheme="majorHAnsi" w:cs="Arial"/>
        </w:rPr>
        <w:t xml:space="preserve">za každý </w:t>
      </w:r>
      <w:r>
        <w:rPr>
          <w:rFonts w:asciiTheme="majorHAnsi" w:eastAsia="Calibri" w:hAnsiTheme="majorHAnsi" w:cs="Arial"/>
        </w:rPr>
        <w:t xml:space="preserve">i započatý </w:t>
      </w:r>
      <w:r w:rsidRPr="005E42C1">
        <w:rPr>
          <w:rFonts w:asciiTheme="majorHAnsi" w:eastAsia="Calibri" w:hAnsiTheme="majorHAnsi" w:cs="Arial"/>
        </w:rPr>
        <w:t xml:space="preserve">den prodlení. </w:t>
      </w:r>
    </w:p>
    <w:p w:rsidR="00447F59" w:rsidRPr="008973B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 w:rsidRPr="008973B9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 w:rsidRPr="008973B9">
        <w:rPr>
          <w:rFonts w:asciiTheme="majorHAnsi" w:eastAsia="Times New Roman" w:hAnsiTheme="majorHAnsi" w:cs="Arial"/>
          <w:lang w:eastAsia="cs-CZ"/>
        </w:rPr>
        <w:t>s</w:t>
      </w:r>
      <w:r w:rsidRPr="008973B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 w:rsidRPr="008973B9">
        <w:rPr>
          <w:rFonts w:asciiTheme="majorHAnsi" w:eastAsia="Times New Roman" w:hAnsiTheme="majorHAnsi" w:cs="Arial"/>
          <w:lang w:eastAsia="cs-CZ"/>
        </w:rPr>
        <w:t>m</w:t>
      </w:r>
      <w:r w:rsidRPr="008973B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 w:rsidRPr="008973B9">
        <w:rPr>
          <w:rFonts w:asciiTheme="majorHAnsi" w:eastAsia="Times New Roman" w:hAnsiTheme="majorHAnsi" w:cs="Arial"/>
          <w:lang w:eastAsia="cs-CZ"/>
        </w:rPr>
        <w:t>y</w:t>
      </w:r>
      <w:r w:rsidRPr="008973B9">
        <w:rPr>
          <w:rFonts w:asciiTheme="majorHAnsi" w:eastAsia="Times New Roman" w:hAnsiTheme="majorHAnsi" w:cs="Arial"/>
          <w:lang w:eastAsia="cs-CZ"/>
        </w:rPr>
        <w:t>.</w:t>
      </w:r>
    </w:p>
    <w:p w:rsidR="005F78C2" w:rsidRPr="008973B9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:rsidR="002A52A6" w:rsidRPr="008973B9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 w:rsidRPr="008973B9">
        <w:rPr>
          <w:rFonts w:asciiTheme="majorHAnsi" w:eastAsia="Times New Roman" w:hAnsiTheme="majorHAnsi" w:cs="Arial"/>
          <w:lang w:eastAsia="cs-CZ"/>
        </w:rPr>
        <w:t xml:space="preserve">nijak </w:t>
      </w:r>
      <w:r w:rsidRPr="008973B9"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 w:rsidRPr="008973B9">
        <w:rPr>
          <w:rFonts w:asciiTheme="majorHAnsi" w:eastAsia="Times New Roman" w:hAnsiTheme="majorHAnsi" w:cs="Arial"/>
          <w:lang w:eastAsia="cs-CZ"/>
        </w:rPr>
        <w:t>O</w:t>
      </w:r>
      <w:r w:rsidRPr="008973B9"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 w:rsidRPr="008973B9">
        <w:rPr>
          <w:rFonts w:asciiTheme="majorHAnsi" w:eastAsia="Times New Roman" w:hAnsiTheme="majorHAnsi" w:cs="Arial"/>
          <w:lang w:eastAsia="cs-CZ"/>
        </w:rPr>
        <w:t xml:space="preserve">po </w:t>
      </w:r>
      <w:r w:rsidR="000C5A8E" w:rsidRPr="008973B9">
        <w:rPr>
          <w:rFonts w:asciiTheme="majorHAnsi" w:eastAsia="Times New Roman" w:hAnsiTheme="majorHAnsi" w:cs="Arial"/>
          <w:lang w:eastAsia="cs-CZ"/>
        </w:rPr>
        <w:t>Z</w:t>
      </w:r>
      <w:r w:rsidR="008252E9" w:rsidRPr="008973B9">
        <w:rPr>
          <w:rFonts w:asciiTheme="majorHAnsi" w:eastAsia="Times New Roman" w:hAnsiTheme="majorHAnsi" w:cs="Arial"/>
          <w:lang w:eastAsia="cs-CZ"/>
        </w:rPr>
        <w:t xml:space="preserve">hotoviteli </w:t>
      </w:r>
      <w:r w:rsidRPr="008973B9"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 w:rsidRPr="008973B9">
        <w:rPr>
          <w:rFonts w:asciiTheme="majorHAnsi" w:eastAsia="Times New Roman" w:hAnsiTheme="majorHAnsi" w:cs="Arial"/>
          <w:lang w:eastAsia="cs-CZ"/>
        </w:rPr>
        <w:t>é</w:t>
      </w:r>
      <w:r w:rsidRPr="008973B9"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 w:rsidRPr="008973B9">
        <w:rPr>
          <w:rFonts w:asciiTheme="majorHAnsi" w:eastAsia="Times New Roman" w:hAnsiTheme="majorHAnsi" w:cs="Arial"/>
          <w:lang w:eastAsia="cs-CZ"/>
        </w:rPr>
        <w:t>,</w:t>
      </w:r>
      <w:r w:rsidRPr="008973B9">
        <w:rPr>
          <w:rFonts w:asciiTheme="majorHAnsi" w:eastAsia="Times New Roman" w:hAnsiTheme="majorHAnsi" w:cs="Arial"/>
          <w:lang w:eastAsia="cs-CZ"/>
        </w:rPr>
        <w:t xml:space="preserve"> i </w:t>
      </w:r>
      <w:r w:rsidR="005F78C2" w:rsidRPr="008973B9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 w:rsidRPr="008973B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 w:rsidRPr="008973B9">
        <w:rPr>
          <w:rFonts w:asciiTheme="majorHAnsi" w:eastAsia="Times New Roman" w:hAnsiTheme="majorHAnsi" w:cs="Arial"/>
          <w:lang w:eastAsia="cs-CZ"/>
        </w:rPr>
        <w:t>přesahuje sjednanou smluvní pokutu</w:t>
      </w:r>
      <w:r w:rsidRPr="008973B9">
        <w:rPr>
          <w:rFonts w:asciiTheme="majorHAnsi" w:eastAsia="Times New Roman" w:hAnsiTheme="majorHAnsi" w:cs="Arial"/>
          <w:lang w:eastAsia="cs-CZ"/>
        </w:rPr>
        <w:t xml:space="preserve">. </w:t>
      </w:r>
    </w:p>
    <w:p w:rsidR="00447F59" w:rsidRPr="008973B9" w:rsidRDefault="0055052A" w:rsidP="00447F59">
      <w:pPr>
        <w:pStyle w:val="Nadpis1"/>
      </w:pPr>
      <w:r w:rsidRPr="008973B9">
        <w:t>Článek XV</w:t>
      </w:r>
      <w:r w:rsidR="00447F59" w:rsidRPr="008973B9">
        <w:t>.</w:t>
      </w:r>
      <w:r w:rsidR="004C2088" w:rsidRPr="008973B9">
        <w:br/>
      </w:r>
      <w:r w:rsidR="00447F59" w:rsidRPr="008973B9">
        <w:t>Závěrečná ujednání</w:t>
      </w:r>
    </w:p>
    <w:p w:rsidR="00C46A4E" w:rsidRPr="008973B9" w:rsidRDefault="007F3138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hAnsiTheme="majorHAnsi"/>
        </w:rPr>
        <w:t xml:space="preserve">Smlouva nabývá platnosti dnem podpisu obou smluvních stran a účinnosti dnem zveřejnění v Registru smluv dle § 5 zákona č. 340/2015 Sb., o zvláštních podmínkách účinnosti některých smluv, uveřejňování těchto smluv a o registru smluv. 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 porušeny podmínky zadání veřejné zakázky</w:t>
      </w:r>
      <w:r w:rsidR="000C5A8E" w:rsidRPr="008973B9">
        <w:rPr>
          <w:rFonts w:asciiTheme="majorHAnsi" w:eastAsia="Times New Roman" w:hAnsiTheme="majorHAnsi" w:cs="Arial"/>
          <w:lang w:eastAsia="cs-CZ"/>
        </w:rPr>
        <w:t>, předpisy o zadávání veřejných zakázek</w:t>
      </w:r>
      <w:r w:rsidRPr="008973B9">
        <w:rPr>
          <w:rFonts w:asciiTheme="majorHAnsi" w:eastAsia="Times New Roman" w:hAnsiTheme="majorHAnsi" w:cs="Arial"/>
          <w:lang w:eastAsia="cs-CZ"/>
        </w:rPr>
        <w:t xml:space="preserve"> a </w:t>
      </w:r>
      <w:r w:rsidR="000C5A8E" w:rsidRPr="008973B9">
        <w:rPr>
          <w:rFonts w:asciiTheme="majorHAnsi" w:eastAsia="Times New Roman" w:hAnsiTheme="majorHAnsi" w:cs="Arial"/>
          <w:lang w:eastAsia="cs-CZ"/>
        </w:rPr>
        <w:t xml:space="preserve">ustanovení </w:t>
      </w:r>
      <w:r w:rsidRPr="008973B9">
        <w:rPr>
          <w:rFonts w:asciiTheme="majorHAnsi" w:eastAsia="Times New Roman" w:hAnsiTheme="majorHAnsi" w:cs="Arial"/>
          <w:lang w:eastAsia="cs-CZ"/>
        </w:rPr>
        <w:t>Metodického pokynu pro oblast zadávání zakázek pro programové období 2014-2020</w:t>
      </w:r>
      <w:r w:rsidRPr="008973B9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8973B9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 w:rsidR="00AB0655" w:rsidRPr="008973B9">
        <w:rPr>
          <w:rFonts w:asciiTheme="majorHAnsi" w:eastAsia="Times New Roman" w:hAnsiTheme="majorHAnsi" w:cs="Arial"/>
          <w:lang w:eastAsia="cs-CZ"/>
        </w:rPr>
        <w:t>písemnou dohodou. Objednatel a</w:t>
      </w:r>
      <w:r w:rsidR="007C77E9" w:rsidRPr="008973B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8973B9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>Zhotovitel je povinen uchovávat veškerou dokumentaci související s realizací projektu</w:t>
      </w:r>
      <w:r w:rsidR="008A68CB" w:rsidRPr="008973B9">
        <w:rPr>
          <w:rFonts w:asciiTheme="majorHAnsi" w:eastAsia="Times New Roman" w:hAnsiTheme="majorHAnsi" w:cs="Arial"/>
          <w:lang w:eastAsia="cs-CZ"/>
        </w:rPr>
        <w:t xml:space="preserve"> a s plněním této smlouvy</w:t>
      </w:r>
      <w:r w:rsidRPr="008973B9">
        <w:rPr>
          <w:rFonts w:asciiTheme="majorHAnsi" w:eastAsia="Times New Roman" w:hAnsiTheme="majorHAnsi" w:cs="Arial"/>
          <w:lang w:eastAsia="cs-CZ"/>
        </w:rPr>
        <w:t xml:space="preserve"> včetně účetních dokladů minimálně do konce roku 2028. Pokud je v českých právních předpisech stanovena lhůta delší, musí</w:t>
      </w:r>
      <w:r w:rsidR="007C77E9" w:rsidRPr="008973B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8973B9">
        <w:rPr>
          <w:rFonts w:asciiTheme="majorHAnsi" w:eastAsia="Times New Roman" w:hAnsiTheme="majorHAnsi" w:cs="Arial"/>
          <w:lang w:eastAsia="cs-CZ"/>
        </w:rPr>
        <w:t xml:space="preserve"> uchovat tuto dokumentaci dle této lhůty.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>Zhotovitel je povinen minimálně do konce roku 2028 poskytovat požadované infor</w:t>
      </w:r>
      <w:r w:rsidR="00AB0655" w:rsidRPr="008973B9">
        <w:rPr>
          <w:rFonts w:asciiTheme="majorHAnsi" w:eastAsia="Times New Roman" w:hAnsiTheme="majorHAnsi" w:cs="Arial"/>
          <w:lang w:eastAsia="cs-CZ"/>
        </w:rPr>
        <w:t xml:space="preserve">mace a </w:t>
      </w:r>
      <w:r w:rsidR="00AB0655" w:rsidRPr="008973B9">
        <w:rPr>
          <w:rFonts w:asciiTheme="majorHAnsi" w:eastAsia="Times New Roman" w:hAnsiTheme="majorHAnsi" w:cs="Arial"/>
          <w:lang w:eastAsia="cs-CZ"/>
        </w:rPr>
        <w:lastRenderedPageBreak/>
        <w:t>dokumentaci související</w:t>
      </w:r>
      <w:r w:rsidRPr="008973B9">
        <w:rPr>
          <w:rFonts w:asciiTheme="majorHAnsi" w:eastAsia="Times New Roman" w:hAnsiTheme="majorHAnsi" w:cs="Arial"/>
          <w:lang w:eastAsia="cs-CZ"/>
        </w:rPr>
        <w:t xml:space="preserve"> s realizací projektu </w:t>
      </w:r>
      <w:r w:rsidR="008A68CB" w:rsidRPr="008973B9">
        <w:rPr>
          <w:rFonts w:asciiTheme="majorHAnsi" w:eastAsia="Times New Roman" w:hAnsiTheme="majorHAnsi" w:cs="Arial"/>
          <w:lang w:eastAsia="cs-CZ"/>
        </w:rPr>
        <w:t xml:space="preserve">a s plněním této smlouvy </w:t>
      </w:r>
      <w:r w:rsidRPr="008973B9">
        <w:rPr>
          <w:rFonts w:asciiTheme="majorHAnsi" w:eastAsia="Times New Roman" w:hAnsiTheme="majorHAnsi" w:cs="Arial"/>
          <w:lang w:eastAsia="cs-CZ"/>
        </w:rPr>
        <w:t xml:space="preserve"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</w:t>
      </w:r>
      <w:r w:rsidR="000C5A8E" w:rsidRPr="008973B9"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8973B9">
        <w:rPr>
          <w:rFonts w:asciiTheme="majorHAnsi" w:eastAsia="Times New Roman" w:hAnsiTheme="majorHAnsi" w:cs="Arial"/>
          <w:lang w:eastAsia="cs-CZ"/>
        </w:rPr>
        <w:t>součinnost.</w:t>
      </w:r>
      <w:r w:rsidR="000F5F15" w:rsidRPr="008973B9"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:rsidR="00447F59" w:rsidRPr="008973B9" w:rsidRDefault="00AB0655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 xml:space="preserve">Zhotovitel a </w:t>
      </w:r>
      <w:r w:rsidR="007C77E9" w:rsidRPr="008973B9">
        <w:rPr>
          <w:rFonts w:asciiTheme="majorHAnsi" w:eastAsia="Times New Roman" w:hAnsiTheme="majorHAnsi" w:cs="Arial"/>
          <w:lang w:eastAsia="cs-CZ"/>
        </w:rPr>
        <w:t>Objednatel</w:t>
      </w:r>
      <w:r w:rsidR="00447F59" w:rsidRPr="008973B9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 w:rsidR="00DA7017" w:rsidRPr="008973B9">
        <w:rPr>
          <w:rFonts w:asciiTheme="majorHAnsi" w:eastAsia="Times New Roman" w:hAnsiTheme="majorHAnsi" w:cs="Arial"/>
          <w:lang w:eastAsia="cs-CZ"/>
        </w:rPr>
        <w:t xml:space="preserve">a </w:t>
      </w:r>
      <w:r w:rsidR="00447F59" w:rsidRPr="008973B9">
        <w:rPr>
          <w:rFonts w:asciiTheme="majorHAnsi" w:eastAsia="Times New Roman" w:hAnsiTheme="majorHAnsi" w:cs="Arial"/>
          <w:lang w:eastAsia="cs-CZ"/>
        </w:rPr>
        <w:t>po předchozí dohodě.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 xml:space="preserve">Případná neplatnost </w:t>
      </w:r>
      <w:r w:rsidR="00DA7017" w:rsidRPr="008973B9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8973B9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 w:rsidR="00DA7017" w:rsidRPr="008973B9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8973B9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 w:rsidR="00DA7017" w:rsidRPr="008973B9"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8973B9">
        <w:rPr>
          <w:rFonts w:asciiTheme="majorHAnsi" w:eastAsia="Times New Roman" w:hAnsiTheme="majorHAnsi" w:cs="Arial"/>
          <w:lang w:eastAsia="cs-CZ"/>
        </w:rPr>
        <w:t xml:space="preserve">. 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="00587788" w:rsidRPr="008973B9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8973B9">
        <w:rPr>
          <w:rFonts w:asciiTheme="majorHAnsi" w:eastAsia="Times New Roman" w:hAnsiTheme="majorHAnsi" w:cs="Arial"/>
          <w:lang w:eastAsia="cs-CZ"/>
        </w:rPr>
        <w:t>, což stvrzují svými podpisy.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Arial"/>
          <w:lang w:eastAsia="cs-CZ"/>
        </w:rPr>
        <w:t>Zhotovitel bezvýhradně souhlasí</w:t>
      </w:r>
      <w:r w:rsidRPr="008973B9">
        <w:rPr>
          <w:rFonts w:asciiTheme="majorHAnsi" w:eastAsia="Times New Roman" w:hAnsiTheme="majorHAnsi" w:cs="Calibri"/>
          <w:lang w:eastAsia="cs-CZ"/>
        </w:rPr>
        <w:t xml:space="preserve"> se zveřejněním plného znění smlouvy </w:t>
      </w:r>
      <w:r w:rsidRPr="008973B9">
        <w:rPr>
          <w:rFonts w:asciiTheme="majorHAnsi" w:eastAsia="Times New Roman" w:hAnsiTheme="majorHAnsi" w:cs="Times New Roman"/>
          <w:lang w:eastAsia="cs-CZ"/>
        </w:rPr>
        <w:t>dle ustanovení § 219 zákona č. 134/2016, o zadávání veřejných zakázek.</w:t>
      </w:r>
      <w:r w:rsidR="004C2088" w:rsidRPr="008973B9">
        <w:rPr>
          <w:rFonts w:asciiTheme="majorHAnsi" w:eastAsia="Times New Roman" w:hAnsiTheme="majorHAnsi" w:cs="Times New Roman"/>
          <w:lang w:eastAsia="cs-CZ"/>
        </w:rPr>
        <w:t xml:space="preserve"> </w:t>
      </w:r>
      <w:r w:rsidR="006F16EA" w:rsidRPr="008973B9">
        <w:rPr>
          <w:rFonts w:asciiTheme="majorHAnsi" w:eastAsia="Times New Roman" w:hAnsiTheme="majorHAnsi" w:cs="Times New Roman"/>
          <w:lang w:eastAsia="cs-CZ"/>
        </w:rPr>
        <w:t>Zhotovitel bezvýhradně souhlasí se zveřejněním plného znění smlouvy dle § 5 zákona č. 340/2015 Sb., o zvláštních podmínkách účinnosti některých smluv, uveřejňování těchto smluv a o registru smluv. Obě zveřejnění zajistí Objednatel.</w:t>
      </w:r>
    </w:p>
    <w:p w:rsidR="00447F59" w:rsidRPr="008973B9" w:rsidRDefault="00447F59" w:rsidP="00447F59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8973B9">
        <w:rPr>
          <w:rFonts w:asciiTheme="majorHAnsi" w:eastAsia="Times New Roman" w:hAnsiTheme="majorHAnsi" w:cs="Calibri"/>
          <w:lang w:eastAsia="cs-CZ"/>
        </w:rPr>
        <w:t>Součástí této smlouvy jsou následující přílohy:</w:t>
      </w:r>
    </w:p>
    <w:p w:rsidR="00447F59" w:rsidRPr="008973B9" w:rsidRDefault="00360A4F" w:rsidP="004F53FD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 w:rsidRPr="008973B9">
        <w:rPr>
          <w:rFonts w:asciiTheme="majorHAnsi" w:eastAsia="Calibri" w:hAnsiTheme="majorHAnsi" w:cs="Arial"/>
        </w:rPr>
        <w:t>Vyplněný p</w:t>
      </w:r>
      <w:r w:rsidR="007A02B3" w:rsidRPr="008973B9">
        <w:rPr>
          <w:rFonts w:asciiTheme="majorHAnsi" w:eastAsia="Calibri" w:hAnsiTheme="majorHAnsi" w:cs="Arial"/>
        </w:rPr>
        <w:t>oložkový rozpočet</w:t>
      </w:r>
      <w:r w:rsidRPr="008973B9">
        <w:rPr>
          <w:rFonts w:asciiTheme="majorHAnsi" w:eastAsia="Calibri" w:hAnsiTheme="majorHAnsi" w:cs="Arial"/>
        </w:rPr>
        <w:t xml:space="preserve"> z nabídky Zhotovitele</w:t>
      </w:r>
    </w:p>
    <w:p w:rsidR="00B811E6" w:rsidRPr="008973B9" w:rsidRDefault="00B811E6" w:rsidP="00B811E6">
      <w:pPr>
        <w:spacing w:after="120"/>
        <w:rPr>
          <w:rFonts w:ascii="Cambria" w:eastAsia="Calibri" w:hAnsi="Cambria" w:cs="Arial"/>
        </w:rPr>
      </w:pPr>
    </w:p>
    <w:p w:rsidR="00B811E6" w:rsidRPr="00811E85" w:rsidRDefault="00B811E6" w:rsidP="00B811E6">
      <w:pPr>
        <w:spacing w:after="120"/>
        <w:rPr>
          <w:rFonts w:ascii="Cambria" w:eastAsia="Calibri" w:hAnsi="Cambria" w:cs="Arial"/>
        </w:rPr>
      </w:pPr>
      <w:r w:rsidRPr="00811E85">
        <w:rPr>
          <w:rFonts w:ascii="Cambria" w:eastAsia="Calibri" w:hAnsi="Cambria" w:cs="Arial"/>
        </w:rPr>
        <w:t>Dne__________</w:t>
      </w:r>
      <w:r w:rsidRPr="00811E85">
        <w:rPr>
          <w:rFonts w:ascii="Cambria" w:eastAsia="Calibri" w:hAnsi="Cambria" w:cs="Arial"/>
        </w:rPr>
        <w:softHyphen/>
        <w:t>_______ v _________________________</w:t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  <w:t>Dne__________</w:t>
      </w:r>
      <w:r w:rsidRPr="00811E85">
        <w:rPr>
          <w:rFonts w:ascii="Cambria" w:eastAsia="Calibri" w:hAnsi="Cambria" w:cs="Arial"/>
        </w:rPr>
        <w:softHyphen/>
        <w:t>_______ v _________________________</w:t>
      </w:r>
    </w:p>
    <w:p w:rsidR="00B811E6" w:rsidRPr="00811E85" w:rsidRDefault="00B811E6" w:rsidP="00B811E6">
      <w:pPr>
        <w:spacing w:after="120"/>
        <w:rPr>
          <w:rFonts w:ascii="Cambria" w:eastAsia="Calibri" w:hAnsi="Cambria" w:cs="Arial"/>
        </w:rPr>
      </w:pPr>
    </w:p>
    <w:p w:rsidR="00B811E6" w:rsidRPr="00811E85" w:rsidRDefault="00B811E6" w:rsidP="00B811E6">
      <w:pPr>
        <w:spacing w:after="120"/>
        <w:rPr>
          <w:rFonts w:ascii="Cambria" w:eastAsia="Calibri" w:hAnsi="Cambria" w:cs="Arial"/>
        </w:rPr>
      </w:pPr>
      <w:r w:rsidRPr="00811E85">
        <w:rPr>
          <w:rFonts w:ascii="Cambria" w:eastAsia="Calibri" w:hAnsi="Cambria" w:cs="Arial"/>
        </w:rPr>
        <w:t>_________________________________________________</w:t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  <w:t>_________________________________________________</w:t>
      </w:r>
    </w:p>
    <w:p w:rsidR="00B811E6" w:rsidRPr="00B811E6" w:rsidRDefault="00B811E6" w:rsidP="00B811E6">
      <w:pPr>
        <w:spacing w:after="120"/>
        <w:rPr>
          <w:rFonts w:ascii="Cambria" w:eastAsia="Calibri" w:hAnsi="Cambria" w:cs="Arial"/>
        </w:rPr>
      </w:pPr>
      <w:r w:rsidRPr="00811E85">
        <w:rPr>
          <w:rFonts w:ascii="Cambria" w:eastAsia="Calibri" w:hAnsi="Cambria" w:cs="Arial"/>
        </w:rPr>
        <w:t xml:space="preserve">Objednatel </w:t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</w:r>
      <w:r w:rsidRPr="00811E85">
        <w:rPr>
          <w:rFonts w:ascii="Cambria" w:eastAsia="Calibri" w:hAnsi="Cambria" w:cs="Arial"/>
        </w:rPr>
        <w:tab/>
        <w:t>Zhotovitel</w:t>
      </w:r>
    </w:p>
    <w:p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p w:rsidR="008954C9" w:rsidRDefault="008954C9" w:rsidP="008954C9">
      <w:pPr>
        <w:tabs>
          <w:tab w:val="left" w:pos="0"/>
        </w:tabs>
        <w:spacing w:after="120"/>
        <w:jc w:val="right"/>
        <w:rPr>
          <w:rFonts w:asciiTheme="majorHAnsi" w:eastAsia="Times New Roman" w:hAnsiTheme="majorHAnsi" w:cs="Arial"/>
          <w:b/>
          <w:bCs/>
          <w:lang w:eastAsia="cs-CZ"/>
        </w:rPr>
      </w:pPr>
      <w:r>
        <w:rPr>
          <w:rFonts w:asciiTheme="majorHAnsi" w:eastAsia="Times New Roman" w:hAnsiTheme="majorHAnsi" w:cs="Arial"/>
          <w:b/>
          <w:bCs/>
          <w:lang w:eastAsia="cs-CZ"/>
        </w:rPr>
        <w:lastRenderedPageBreak/>
        <w:t>Příloha č. 1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3766"/>
        <w:gridCol w:w="992"/>
        <w:gridCol w:w="1418"/>
        <w:gridCol w:w="850"/>
        <w:gridCol w:w="1276"/>
      </w:tblGrid>
      <w:tr w:rsidR="008954C9" w:rsidRPr="008954C9" w:rsidTr="00430F3F">
        <w:trPr>
          <w:trHeight w:val="41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430F3F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33"/>
                <w:lang w:eastAsia="cs-CZ"/>
              </w:rPr>
            </w:pPr>
            <w:r w:rsidRPr="00430F3F">
              <w:rPr>
                <w:rFonts w:ascii="Cambria" w:eastAsia="Times New Roman" w:hAnsi="Cambria" w:cs="Arial"/>
                <w:b/>
                <w:bCs/>
                <w:sz w:val="28"/>
                <w:szCs w:val="33"/>
                <w:lang w:eastAsia="cs-CZ"/>
              </w:rPr>
              <w:t>Položkový rozpočet</w:t>
            </w:r>
          </w:p>
        </w:tc>
      </w:tr>
      <w:tr w:rsidR="008954C9" w:rsidRPr="008954C9" w:rsidTr="00430F3F">
        <w:trPr>
          <w:trHeight w:val="41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430F3F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33"/>
                <w:lang w:eastAsia="cs-CZ"/>
              </w:rPr>
            </w:pPr>
            <w:r w:rsidRPr="00430F3F">
              <w:rPr>
                <w:rFonts w:ascii="Cambria" w:eastAsia="Times New Roman" w:hAnsi="Cambria" w:cs="Arial"/>
                <w:b/>
                <w:bCs/>
                <w:sz w:val="28"/>
                <w:szCs w:val="33"/>
                <w:lang w:eastAsia="cs-CZ"/>
              </w:rPr>
              <w:t>Obnova zeleně na nádvoří</w:t>
            </w:r>
          </w:p>
        </w:tc>
      </w:tr>
      <w:tr w:rsidR="008954C9" w:rsidRPr="008954C9" w:rsidTr="00430F3F">
        <w:trPr>
          <w:trHeight w:val="32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Popis pracovní operace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Hloubení jam pro výsadbu dřeviny přes 0,4-1,0 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, s výměnou půdy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550,00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10 450 Kč</w:t>
            </w:r>
          </w:p>
        </w:tc>
      </w:tr>
      <w:tr w:rsidR="008954C9" w:rsidRPr="008954C9" w:rsidTr="00430F3F">
        <w:trPr>
          <w:trHeight w:val="397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Výsadba stromu do předem vyhloubené jámy včetně kotvení (3ks kůl/strom), mulčování kůrou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850,00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16 150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Hloubení jam pro výsadbu dřeviny přes 0,05-0,125 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, s výměnou půdy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5 300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Výsadba keře do předem vyhloubené jámy, mulčování kůrou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6 360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Založení smíšeného trvalkového záhonu, mulčování kůrou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85,00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2 720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Platanus acerifolia ''Alphens Globe'', vel. min. 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4 500,00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18 000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Prunus fruticosa ''Globosa'', vel. min. 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4 500,00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9 000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Taxus media ''Hicksii'', vel. min.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1 600,00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20 800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Ilex aquifolium ''Pyramidalis''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Picea abies ''Remontii''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Rhododendron yakushimanum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650,00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1 950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Physocarpus opulifolius ''Diabolo'', vel. min. 60-80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Spiraea japonica ''Goldflame'', vel. min. 40-60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35,00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455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Euonymus fortunei ''Emerald Gaiety'', vel. min. 20-40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35,00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Juniperus horizontalis ''Glauca''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130,00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910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Rosa The Fairy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880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Hydrangea macrophylla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450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Paeonia lactiflora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180,00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540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Miscanthus sinensis ''Gracilimus''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Heliotrichon sempervirens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Berberis thunbergii ''Aurea''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Sedum telephium ''Herbsfreude''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240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Hemerocalis citrina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35,00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315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Přírodní valoun výška min. 40 x 60 cm (v x š), (včetně dodávky a instalace)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12 000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Zálivka vodou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800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Dovoz vody pro zálivku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Tabletové hnojivo (1ks/keř, 4ks/strom)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1,10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131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 xml:space="preserve">Mulčovací kůra drcená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950,00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2 850 Kč</w:t>
            </w:r>
          </w:p>
        </w:tc>
      </w:tr>
      <w:tr w:rsidR="008954C9" w:rsidRPr="008954C9" w:rsidTr="000045DB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Mulčovací folie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18,00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1 530 Kč</w:t>
            </w:r>
          </w:p>
        </w:tc>
      </w:tr>
      <w:tr w:rsidR="008954C9" w:rsidRPr="008954C9" w:rsidTr="000045DB">
        <w:trPr>
          <w:trHeight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Kačírek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7 200 Kč</w:t>
            </w:r>
          </w:p>
        </w:tc>
      </w:tr>
      <w:tr w:rsidR="008954C9" w:rsidRPr="008954C9" w:rsidTr="000045DB">
        <w:trPr>
          <w:trHeight w:val="289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Mulčování kačírkem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75,00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3 600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lastRenderedPageBreak/>
              <w:t>32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Kotvící systém (3ks frézovaný kůl, 3ks příčka, vázací popruh/strom)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340,00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2 040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Zahradnický substrát (bag o objemu 300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 bag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420,00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6 300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Zemina pro výsadby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Lavička parková rovná, dřevěná (délka min. 2 m, bez opěry)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8 000,00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56 000 Kč</w:t>
            </w:r>
          </w:p>
        </w:tc>
      </w:tr>
      <w:tr w:rsidR="008954C9" w:rsidRPr="008954C9" w:rsidTr="00430F3F">
        <w:trPr>
          <w:trHeight w:val="52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Lavička parková - tvar L (délka 2 x 2 m, sedací plocha osazena dřevěným hranolem, kovová konstrukce)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12 000,00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36 000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Dodávka a instalace dlažeb (dlažební kostka-přírodní kámen)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2 100,00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63 000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Dodávka a instalace obruby záhonů (dlažební kostka-přírodní kámen)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34 000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Dodávka a instalace mobiliáře (parkové lavičky)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600,00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5 400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Založení trávníku výsevem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4 500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Likvidace stávajících zeravů (4 ks výcekmenných jedinců o výšce 5 - 6 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22 000,00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22 000 Kč</w:t>
            </w:r>
          </w:p>
        </w:tc>
      </w:tr>
      <w:tr w:rsidR="008954C9" w:rsidRPr="008954C9" w:rsidTr="00430F3F">
        <w:trPr>
          <w:trHeight w:val="289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Likvidace betonu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m</w:t>
            </w:r>
            <w:r w:rsidRPr="008954C9">
              <w:rPr>
                <w:rFonts w:ascii="Cambria" w:eastAsia="Times New Roman" w:hAnsi="Cambria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15 000 Kč</w:t>
            </w:r>
          </w:p>
        </w:tc>
      </w:tr>
      <w:tr w:rsidR="008954C9" w:rsidRPr="008954C9" w:rsidTr="00430F3F">
        <w:trPr>
          <w:trHeight w:val="264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4C9" w:rsidRPr="008954C9" w:rsidRDefault="008954C9" w:rsidP="008954C9">
            <w:pPr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sz w:val="20"/>
                <w:szCs w:val="20"/>
                <w:lang w:eastAsia="cs-CZ"/>
              </w:rPr>
              <w:t>15 000 Kč</w:t>
            </w:r>
          </w:p>
        </w:tc>
      </w:tr>
      <w:tr w:rsidR="008954C9" w:rsidRPr="008954C9" w:rsidTr="00430F3F">
        <w:trPr>
          <w:trHeight w:val="277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Cena celkem bez 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398 031 Kč</w:t>
            </w:r>
          </w:p>
        </w:tc>
      </w:tr>
      <w:tr w:rsidR="008954C9" w:rsidRPr="008954C9" w:rsidTr="00430F3F">
        <w:trPr>
          <w:trHeight w:val="277"/>
        </w:trPr>
        <w:tc>
          <w:tcPr>
            <w:tcW w:w="7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83 586 Kč</w:t>
            </w:r>
          </w:p>
        </w:tc>
      </w:tr>
      <w:tr w:rsidR="008954C9" w:rsidRPr="008954C9" w:rsidTr="00430F3F">
        <w:trPr>
          <w:trHeight w:val="277"/>
        </w:trPr>
        <w:tc>
          <w:tcPr>
            <w:tcW w:w="7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954C9" w:rsidRPr="008954C9" w:rsidRDefault="008954C9" w:rsidP="008954C9">
            <w:pPr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Cena celkem včetně  DPH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954C9" w:rsidRPr="008954C9" w:rsidRDefault="008954C9" w:rsidP="008954C9">
            <w:pPr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</w:pPr>
            <w:r w:rsidRPr="008954C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cs-CZ"/>
              </w:rPr>
              <w:t>481 617 Kč</w:t>
            </w:r>
          </w:p>
        </w:tc>
      </w:tr>
    </w:tbl>
    <w:p w:rsidR="008954C9" w:rsidRDefault="008954C9" w:rsidP="008954C9">
      <w:pPr>
        <w:tabs>
          <w:tab w:val="left" w:pos="0"/>
        </w:tabs>
        <w:spacing w:after="120"/>
        <w:jc w:val="right"/>
        <w:rPr>
          <w:rFonts w:asciiTheme="majorHAnsi" w:eastAsia="Times New Roman" w:hAnsiTheme="majorHAnsi" w:cs="Arial"/>
          <w:b/>
          <w:bCs/>
          <w:lang w:eastAsia="cs-CZ"/>
        </w:rPr>
      </w:pPr>
    </w:p>
    <w:sectPr w:rsidR="008954C9" w:rsidSect="007D48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16" w:rsidRDefault="00211D16" w:rsidP="00E879E7">
      <w:r>
        <w:separator/>
      </w:r>
    </w:p>
  </w:endnote>
  <w:endnote w:type="continuationSeparator" w:id="0">
    <w:p w:rsidR="00211D16" w:rsidRDefault="00211D16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2A" w:rsidRDefault="005505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55052A" w:rsidRPr="003724A7" w:rsidRDefault="0055052A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="00043DFB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="00043DFB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AC2F37">
              <w:rPr>
                <w:rFonts w:asciiTheme="majorHAnsi" w:hAnsiTheme="majorHAnsi"/>
                <w:b/>
                <w:noProof/>
                <w:sz w:val="20"/>
                <w:szCs w:val="20"/>
              </w:rPr>
              <w:t>2</w:t>
            </w:r>
            <w:r w:rsidR="00043DFB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="00043DFB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="00043DFB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AC2F37">
              <w:rPr>
                <w:rFonts w:asciiTheme="majorHAnsi" w:hAnsiTheme="majorHAnsi"/>
                <w:b/>
                <w:noProof/>
                <w:sz w:val="20"/>
                <w:szCs w:val="20"/>
              </w:rPr>
              <w:t>9</w:t>
            </w:r>
            <w:r w:rsidR="00043DFB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5052A" w:rsidRPr="003724A7" w:rsidRDefault="0055052A" w:rsidP="007D4894">
    <w:pPr>
      <w:pStyle w:val="Zpat"/>
      <w:rPr>
        <w:szCs w:val="16"/>
      </w:rPr>
    </w:pPr>
  </w:p>
  <w:p w:rsidR="0055052A" w:rsidRDefault="005505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2A" w:rsidRDefault="00550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16" w:rsidRDefault="00211D16" w:rsidP="00E879E7">
      <w:r>
        <w:separator/>
      </w:r>
    </w:p>
  </w:footnote>
  <w:footnote w:type="continuationSeparator" w:id="0">
    <w:p w:rsidR="00211D16" w:rsidRDefault="00211D16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2A" w:rsidRDefault="005505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759450" cy="946150"/>
          <wp:effectExtent l="19050" t="0" r="0" b="0"/>
          <wp:wrapTopAndBottom/>
          <wp:docPr id="3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:rsidR="0055052A" w:rsidRDefault="0055052A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:rsidR="0055052A" w:rsidRDefault="0055052A" w:rsidP="007D4894">
    <w:pPr>
      <w:pStyle w:val="Zhlav"/>
    </w:pPr>
  </w:p>
  <w:p w:rsidR="0055052A" w:rsidRDefault="005505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2A" w:rsidRDefault="005505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68844C83"/>
    <w:multiLevelType w:val="hybridMultilevel"/>
    <w:tmpl w:val="6CEE690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C6342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</w:num>
  <w:num w:numId="6">
    <w:abstractNumId w:val="6"/>
  </w:num>
  <w:num w:numId="7">
    <w:abstractNumId w:val="26"/>
  </w:num>
  <w:num w:numId="8">
    <w:abstractNumId w:val="25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6"/>
  </w:num>
  <w:num w:numId="12">
    <w:abstractNumId w:val="32"/>
  </w:num>
  <w:num w:numId="13">
    <w:abstractNumId w:val="7"/>
  </w:num>
  <w:num w:numId="14">
    <w:abstractNumId w:val="8"/>
  </w:num>
  <w:num w:numId="15">
    <w:abstractNumId w:val="39"/>
  </w:num>
  <w:num w:numId="16">
    <w:abstractNumId w:val="9"/>
  </w:num>
  <w:num w:numId="17">
    <w:abstractNumId w:val="38"/>
  </w:num>
  <w:num w:numId="18">
    <w:abstractNumId w:val="40"/>
  </w:num>
  <w:num w:numId="19">
    <w:abstractNumId w:val="10"/>
  </w:num>
  <w:num w:numId="20">
    <w:abstractNumId w:val="20"/>
  </w:num>
  <w:num w:numId="21">
    <w:abstractNumId w:val="15"/>
  </w:num>
  <w:num w:numId="22">
    <w:abstractNumId w:val="36"/>
  </w:num>
  <w:num w:numId="23">
    <w:abstractNumId w:val="14"/>
  </w:num>
  <w:num w:numId="24">
    <w:abstractNumId w:val="12"/>
  </w:num>
  <w:num w:numId="25">
    <w:abstractNumId w:val="0"/>
  </w:num>
  <w:num w:numId="26">
    <w:abstractNumId w:val="34"/>
  </w:num>
  <w:num w:numId="27">
    <w:abstractNumId w:val="13"/>
  </w:num>
  <w:num w:numId="28">
    <w:abstractNumId w:val="4"/>
  </w:num>
  <w:num w:numId="29">
    <w:abstractNumId w:val="11"/>
  </w:num>
  <w:num w:numId="30">
    <w:abstractNumId w:val="5"/>
  </w:num>
  <w:num w:numId="31">
    <w:abstractNumId w:val="27"/>
  </w:num>
  <w:num w:numId="32">
    <w:abstractNumId w:val="3"/>
  </w:num>
  <w:num w:numId="33">
    <w:abstractNumId w:val="2"/>
  </w:num>
  <w:num w:numId="34">
    <w:abstractNumId w:val="30"/>
  </w:num>
  <w:num w:numId="35">
    <w:abstractNumId w:val="29"/>
  </w:num>
  <w:num w:numId="36">
    <w:abstractNumId w:val="23"/>
  </w:num>
  <w:num w:numId="37">
    <w:abstractNumId w:val="22"/>
  </w:num>
  <w:num w:numId="38">
    <w:abstractNumId w:val="28"/>
  </w:num>
  <w:num w:numId="39">
    <w:abstractNumId w:val="1"/>
  </w:num>
  <w:num w:numId="40">
    <w:abstractNumId w:val="19"/>
  </w:num>
  <w:num w:numId="41">
    <w:abstractNumId w:val="2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C1"/>
    <w:rsid w:val="000045DB"/>
    <w:rsid w:val="00040A53"/>
    <w:rsid w:val="00043DFB"/>
    <w:rsid w:val="00067A2C"/>
    <w:rsid w:val="00092FFA"/>
    <w:rsid w:val="000A5CA4"/>
    <w:rsid w:val="000B391A"/>
    <w:rsid w:val="000C5A8E"/>
    <w:rsid w:val="000C63F1"/>
    <w:rsid w:val="000C7997"/>
    <w:rsid w:val="000D671F"/>
    <w:rsid w:val="000E08D0"/>
    <w:rsid w:val="000E297D"/>
    <w:rsid w:val="000F4405"/>
    <w:rsid w:val="000F5F15"/>
    <w:rsid w:val="001004AD"/>
    <w:rsid w:val="00120788"/>
    <w:rsid w:val="001402AF"/>
    <w:rsid w:val="00140B5D"/>
    <w:rsid w:val="0014440D"/>
    <w:rsid w:val="00150977"/>
    <w:rsid w:val="00177C16"/>
    <w:rsid w:val="0018428F"/>
    <w:rsid w:val="001861DA"/>
    <w:rsid w:val="00191CE9"/>
    <w:rsid w:val="00192443"/>
    <w:rsid w:val="001A37CE"/>
    <w:rsid w:val="001C60EE"/>
    <w:rsid w:val="001C72B6"/>
    <w:rsid w:val="002113E6"/>
    <w:rsid w:val="00211D16"/>
    <w:rsid w:val="00234001"/>
    <w:rsid w:val="002478CD"/>
    <w:rsid w:val="00261915"/>
    <w:rsid w:val="00280FF6"/>
    <w:rsid w:val="00281548"/>
    <w:rsid w:val="00285C25"/>
    <w:rsid w:val="00294884"/>
    <w:rsid w:val="002A52A6"/>
    <w:rsid w:val="002B1B76"/>
    <w:rsid w:val="002C17C6"/>
    <w:rsid w:val="002C47F9"/>
    <w:rsid w:val="002C50D9"/>
    <w:rsid w:val="002D3F63"/>
    <w:rsid w:val="002D4C1D"/>
    <w:rsid w:val="002D6876"/>
    <w:rsid w:val="003014A3"/>
    <w:rsid w:val="0030468D"/>
    <w:rsid w:val="0031484D"/>
    <w:rsid w:val="00322B48"/>
    <w:rsid w:val="00324A74"/>
    <w:rsid w:val="00326143"/>
    <w:rsid w:val="00334B9D"/>
    <w:rsid w:val="00360A4F"/>
    <w:rsid w:val="00363293"/>
    <w:rsid w:val="0037122B"/>
    <w:rsid w:val="0038086A"/>
    <w:rsid w:val="003849A5"/>
    <w:rsid w:val="00384DC2"/>
    <w:rsid w:val="003950BC"/>
    <w:rsid w:val="003B7D74"/>
    <w:rsid w:val="003F5790"/>
    <w:rsid w:val="004051B9"/>
    <w:rsid w:val="00430F3F"/>
    <w:rsid w:val="004351E7"/>
    <w:rsid w:val="00444895"/>
    <w:rsid w:val="00447F59"/>
    <w:rsid w:val="0046535C"/>
    <w:rsid w:val="00476833"/>
    <w:rsid w:val="004A23EB"/>
    <w:rsid w:val="004C09CC"/>
    <w:rsid w:val="004C2088"/>
    <w:rsid w:val="004C3D87"/>
    <w:rsid w:val="004D66F0"/>
    <w:rsid w:val="004E1C90"/>
    <w:rsid w:val="004E2692"/>
    <w:rsid w:val="004F28AC"/>
    <w:rsid w:val="004F2A60"/>
    <w:rsid w:val="004F4FCA"/>
    <w:rsid w:val="004F53FD"/>
    <w:rsid w:val="004F68FD"/>
    <w:rsid w:val="005100D2"/>
    <w:rsid w:val="00522D9F"/>
    <w:rsid w:val="0055052A"/>
    <w:rsid w:val="00565324"/>
    <w:rsid w:val="005744C2"/>
    <w:rsid w:val="005803DF"/>
    <w:rsid w:val="00587788"/>
    <w:rsid w:val="00590EA0"/>
    <w:rsid w:val="005D3191"/>
    <w:rsid w:val="005D3671"/>
    <w:rsid w:val="005D5217"/>
    <w:rsid w:val="005E42C1"/>
    <w:rsid w:val="005F45CC"/>
    <w:rsid w:val="005F78C2"/>
    <w:rsid w:val="00610C25"/>
    <w:rsid w:val="0061360B"/>
    <w:rsid w:val="00613963"/>
    <w:rsid w:val="00634304"/>
    <w:rsid w:val="00640DB2"/>
    <w:rsid w:val="00670E87"/>
    <w:rsid w:val="00682C89"/>
    <w:rsid w:val="006A3AE3"/>
    <w:rsid w:val="006C6EFF"/>
    <w:rsid w:val="006E3F10"/>
    <w:rsid w:val="006F16EA"/>
    <w:rsid w:val="006F1F87"/>
    <w:rsid w:val="006F69E9"/>
    <w:rsid w:val="006F7A1E"/>
    <w:rsid w:val="0070165F"/>
    <w:rsid w:val="00711E8E"/>
    <w:rsid w:val="007277F2"/>
    <w:rsid w:val="00734789"/>
    <w:rsid w:val="00740228"/>
    <w:rsid w:val="00741A0C"/>
    <w:rsid w:val="00750BF5"/>
    <w:rsid w:val="00763EC9"/>
    <w:rsid w:val="00773B01"/>
    <w:rsid w:val="007A02B3"/>
    <w:rsid w:val="007A7982"/>
    <w:rsid w:val="007C77E9"/>
    <w:rsid w:val="007D2AD3"/>
    <w:rsid w:val="007D4894"/>
    <w:rsid w:val="007F139A"/>
    <w:rsid w:val="007F25FE"/>
    <w:rsid w:val="007F3138"/>
    <w:rsid w:val="00806DD0"/>
    <w:rsid w:val="00811DBA"/>
    <w:rsid w:val="00811E85"/>
    <w:rsid w:val="008151BB"/>
    <w:rsid w:val="0082080E"/>
    <w:rsid w:val="008252E9"/>
    <w:rsid w:val="00847056"/>
    <w:rsid w:val="00857B36"/>
    <w:rsid w:val="008625E6"/>
    <w:rsid w:val="008751E5"/>
    <w:rsid w:val="008954C9"/>
    <w:rsid w:val="00896772"/>
    <w:rsid w:val="008973B9"/>
    <w:rsid w:val="008A0696"/>
    <w:rsid w:val="008A4BAD"/>
    <w:rsid w:val="008A68CB"/>
    <w:rsid w:val="008B5F86"/>
    <w:rsid w:val="008D7904"/>
    <w:rsid w:val="0090702F"/>
    <w:rsid w:val="00907F99"/>
    <w:rsid w:val="00932118"/>
    <w:rsid w:val="00932517"/>
    <w:rsid w:val="00947AAF"/>
    <w:rsid w:val="00953BC3"/>
    <w:rsid w:val="00954F3E"/>
    <w:rsid w:val="00966633"/>
    <w:rsid w:val="00970893"/>
    <w:rsid w:val="00981641"/>
    <w:rsid w:val="00995AAF"/>
    <w:rsid w:val="009B571D"/>
    <w:rsid w:val="009D152B"/>
    <w:rsid w:val="009D7235"/>
    <w:rsid w:val="009E5312"/>
    <w:rsid w:val="009F5C2B"/>
    <w:rsid w:val="00A01712"/>
    <w:rsid w:val="00A064AB"/>
    <w:rsid w:val="00A15868"/>
    <w:rsid w:val="00A2131D"/>
    <w:rsid w:val="00A22146"/>
    <w:rsid w:val="00A24E2A"/>
    <w:rsid w:val="00A252F3"/>
    <w:rsid w:val="00A258FF"/>
    <w:rsid w:val="00A46350"/>
    <w:rsid w:val="00A54567"/>
    <w:rsid w:val="00A703C5"/>
    <w:rsid w:val="00A717EA"/>
    <w:rsid w:val="00A75CA3"/>
    <w:rsid w:val="00A87A1B"/>
    <w:rsid w:val="00AB0655"/>
    <w:rsid w:val="00AC2F37"/>
    <w:rsid w:val="00AE61B3"/>
    <w:rsid w:val="00B307C1"/>
    <w:rsid w:val="00B514DA"/>
    <w:rsid w:val="00B52787"/>
    <w:rsid w:val="00B658E9"/>
    <w:rsid w:val="00B663B9"/>
    <w:rsid w:val="00B737D5"/>
    <w:rsid w:val="00B744A2"/>
    <w:rsid w:val="00B75CC2"/>
    <w:rsid w:val="00B811E6"/>
    <w:rsid w:val="00B94B77"/>
    <w:rsid w:val="00BB35C7"/>
    <w:rsid w:val="00BC2F61"/>
    <w:rsid w:val="00BE2900"/>
    <w:rsid w:val="00C30C7C"/>
    <w:rsid w:val="00C43424"/>
    <w:rsid w:val="00C45377"/>
    <w:rsid w:val="00C45B9E"/>
    <w:rsid w:val="00C46A4E"/>
    <w:rsid w:val="00C5530A"/>
    <w:rsid w:val="00C562B1"/>
    <w:rsid w:val="00C57C66"/>
    <w:rsid w:val="00C71B92"/>
    <w:rsid w:val="00C7475C"/>
    <w:rsid w:val="00C74890"/>
    <w:rsid w:val="00C962D0"/>
    <w:rsid w:val="00CA5BA8"/>
    <w:rsid w:val="00CF791D"/>
    <w:rsid w:val="00D11281"/>
    <w:rsid w:val="00D1645B"/>
    <w:rsid w:val="00D251F0"/>
    <w:rsid w:val="00D300A9"/>
    <w:rsid w:val="00D32F06"/>
    <w:rsid w:val="00D41C4C"/>
    <w:rsid w:val="00D5203A"/>
    <w:rsid w:val="00D72995"/>
    <w:rsid w:val="00D87536"/>
    <w:rsid w:val="00D97B26"/>
    <w:rsid w:val="00DA7017"/>
    <w:rsid w:val="00DC6A68"/>
    <w:rsid w:val="00DE6706"/>
    <w:rsid w:val="00DF217C"/>
    <w:rsid w:val="00E1043F"/>
    <w:rsid w:val="00E334BB"/>
    <w:rsid w:val="00E44506"/>
    <w:rsid w:val="00E634F0"/>
    <w:rsid w:val="00E72EAA"/>
    <w:rsid w:val="00E8493E"/>
    <w:rsid w:val="00E879E7"/>
    <w:rsid w:val="00E9242B"/>
    <w:rsid w:val="00EB44CC"/>
    <w:rsid w:val="00ED5299"/>
    <w:rsid w:val="00EF2505"/>
    <w:rsid w:val="00EF3CB8"/>
    <w:rsid w:val="00EF4A12"/>
    <w:rsid w:val="00F00EB5"/>
    <w:rsid w:val="00F04174"/>
    <w:rsid w:val="00F14931"/>
    <w:rsid w:val="00F21E73"/>
    <w:rsid w:val="00F306E5"/>
    <w:rsid w:val="00F61AE6"/>
    <w:rsid w:val="00F65EBB"/>
    <w:rsid w:val="00FC74BC"/>
    <w:rsid w:val="00FD71D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77ABA-E0B7-47CF-899A-43B72A39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3042</Words>
  <Characters>17953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2018-04-20T06:32:00Z</dcterms:created>
  <dcterms:modified xsi:type="dcterms:W3CDTF">2018-04-20T06:32:00Z</dcterms:modified>
</cp:coreProperties>
</file>