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4D" w:rsidRDefault="00D74451">
      <w:pPr>
        <w:widowControl w:val="0"/>
        <w:outlineLvl w:val="0"/>
        <w:rPr>
          <w:b/>
        </w:rPr>
      </w:pPr>
      <w:r>
        <w:rPr>
          <w:b/>
        </w:rPr>
        <w:t>Československá obchodní banka, a. s.</w:t>
      </w:r>
    </w:p>
    <w:p w:rsidR="00CB104D" w:rsidRDefault="00D74451">
      <w:pPr>
        <w:widowControl w:val="0"/>
        <w:tabs>
          <w:tab w:val="left" w:pos="2268"/>
        </w:tabs>
        <w:ind w:firstLine="426"/>
        <w:rPr>
          <w:color w:val="000000"/>
        </w:rPr>
      </w:pPr>
      <w:r>
        <w:t>se sídlem:</w:t>
      </w:r>
      <w:r>
        <w:tab/>
      </w:r>
      <w:r>
        <w:rPr>
          <w:color w:val="000000"/>
          <w:szCs w:val="22"/>
        </w:rPr>
        <w:t>Radlická 333/150, 150 57 Praha 5</w:t>
      </w:r>
    </w:p>
    <w:p w:rsidR="00CB104D" w:rsidRDefault="003C3F82">
      <w:pPr>
        <w:widowControl w:val="0"/>
        <w:tabs>
          <w:tab w:val="left" w:pos="2268"/>
        </w:tabs>
        <w:ind w:left="426"/>
        <w:outlineLvl w:val="0"/>
      </w:pPr>
      <w:r>
        <w:t>IČO:</w:t>
      </w:r>
      <w:r w:rsidR="00D74451">
        <w:tab/>
        <w:t>00001350</w:t>
      </w:r>
    </w:p>
    <w:p w:rsidR="00CB104D" w:rsidRDefault="00D74451">
      <w:pPr>
        <w:widowControl w:val="0"/>
        <w:tabs>
          <w:tab w:val="left" w:pos="1701"/>
        </w:tabs>
        <w:ind w:left="426"/>
      </w:pPr>
      <w:r>
        <w:t>zapsaná v obchodním rejstříku vedeném Městským soudem v Praze, oddíl B: XXXVI, vložka 46</w:t>
      </w:r>
    </w:p>
    <w:p w:rsidR="00CB104D" w:rsidRDefault="00D74451">
      <w:pPr>
        <w:widowControl w:val="0"/>
      </w:pPr>
      <w:r>
        <w:t>(dále jen "Banka")</w:t>
      </w:r>
    </w:p>
    <w:p w:rsidR="00CB104D" w:rsidRDefault="00D74451">
      <w:pPr>
        <w:tabs>
          <w:tab w:val="left" w:pos="2268"/>
        </w:tabs>
        <w:ind w:left="426"/>
      </w:pPr>
      <w:r>
        <w:t>za Banku:</w:t>
      </w:r>
      <w:r>
        <w:tab/>
      </w:r>
      <w:r w:rsidR="002C2ACC">
        <w:rPr>
          <w:szCs w:val="22"/>
        </w:rPr>
        <w:t>XXXXXXXXXXXXXXXXXX</w:t>
      </w:r>
    </w:p>
    <w:p w:rsidR="00CB104D" w:rsidRDefault="00D74451">
      <w:pPr>
        <w:tabs>
          <w:tab w:val="left" w:pos="2268"/>
        </w:tabs>
        <w:ind w:left="426"/>
      </w:pPr>
      <w:r>
        <w:tab/>
      </w:r>
      <w:r w:rsidR="002C2ACC">
        <w:rPr>
          <w:szCs w:val="22"/>
        </w:rPr>
        <w:t>XXXXXXXXXXXXXXXXXX</w:t>
      </w:r>
    </w:p>
    <w:p w:rsidR="00CB104D" w:rsidRDefault="00D74451">
      <w:pPr>
        <w:tabs>
          <w:tab w:val="left" w:pos="2268"/>
        </w:tabs>
        <w:ind w:left="2268" w:hanging="1843"/>
        <w:rPr>
          <w:szCs w:val="22"/>
        </w:rPr>
      </w:pPr>
      <w:r>
        <w:t>pobočka:</w:t>
      </w:r>
      <w:r>
        <w:tab/>
      </w:r>
      <w:r>
        <w:rPr>
          <w:szCs w:val="22"/>
        </w:rPr>
        <w:t>Náchod, Karlovo nám. 177, PSČ 547 01</w:t>
      </w:r>
    </w:p>
    <w:p w:rsidR="00CB104D" w:rsidRDefault="00D74451">
      <w:pPr>
        <w:widowControl w:val="0"/>
      </w:pPr>
      <w:r>
        <w:t>a</w:t>
      </w:r>
    </w:p>
    <w:p w:rsidR="00CB104D" w:rsidRDefault="00D74451">
      <w:pPr>
        <w:widowControl w:val="0"/>
        <w:rPr>
          <w:b/>
        </w:rPr>
      </w:pPr>
      <w:r>
        <w:rPr>
          <w:b/>
          <w:szCs w:val="22"/>
        </w:rPr>
        <w:t>MĚSTO BROUMOV</w:t>
      </w:r>
    </w:p>
    <w:p w:rsidR="00CB104D" w:rsidRDefault="00D74451">
      <w:pPr>
        <w:widowControl w:val="0"/>
        <w:tabs>
          <w:tab w:val="left" w:pos="2268"/>
        </w:tabs>
        <w:ind w:left="2268" w:hanging="1843"/>
      </w:pPr>
      <w:r>
        <w:t>se sídlem:</w:t>
      </w:r>
      <w:r>
        <w:tab/>
      </w:r>
      <w:r>
        <w:rPr>
          <w:szCs w:val="22"/>
        </w:rPr>
        <w:t>Třída Masarykova 239, 550 01 Broumov</w:t>
      </w:r>
    </w:p>
    <w:p w:rsidR="00CB104D" w:rsidRDefault="003C3F82">
      <w:pPr>
        <w:widowControl w:val="0"/>
        <w:tabs>
          <w:tab w:val="left" w:pos="2268"/>
        </w:tabs>
        <w:ind w:left="426"/>
        <w:outlineLvl w:val="0"/>
      </w:pPr>
      <w:r>
        <w:t>IČO:</w:t>
      </w:r>
      <w:r w:rsidR="00D74451">
        <w:tab/>
      </w:r>
      <w:r w:rsidR="00D74451">
        <w:rPr>
          <w:szCs w:val="22"/>
        </w:rPr>
        <w:t>00272523</w:t>
      </w:r>
    </w:p>
    <w:p w:rsidR="00CB104D" w:rsidRDefault="00D74451">
      <w:pPr>
        <w:widowControl w:val="0"/>
      </w:pPr>
      <w:r>
        <w:t>(dále jen "Klient")</w:t>
      </w:r>
    </w:p>
    <w:p w:rsidR="00CB104D" w:rsidRDefault="00D74451">
      <w:pPr>
        <w:tabs>
          <w:tab w:val="left" w:pos="2268"/>
        </w:tabs>
        <w:ind w:left="2268" w:hanging="1843"/>
      </w:pPr>
      <w:r>
        <w:t>za Klienta:</w:t>
      </w:r>
      <w:r>
        <w:tab/>
      </w:r>
      <w:r w:rsidR="002C2ACC">
        <w:rPr>
          <w:szCs w:val="22"/>
        </w:rPr>
        <w:t>XXXXXXXXXXXXXXXXXXX</w:t>
      </w:r>
    </w:p>
    <w:p w:rsidR="00CB104D" w:rsidRDefault="00CB104D"/>
    <w:p w:rsidR="00A07194" w:rsidRDefault="00A07194" w:rsidP="00A07194">
      <w:pPr>
        <w:widowControl w:val="0"/>
        <w:jc w:val="center"/>
      </w:pPr>
      <w:r>
        <w:t>(Banka a Klient společně dále též "Smluvní strany") uzavírají</w:t>
      </w:r>
    </w:p>
    <w:p w:rsidR="00A07194" w:rsidRDefault="00A07194" w:rsidP="00A07194">
      <w:pPr>
        <w:widowControl w:val="0"/>
        <w:jc w:val="center"/>
      </w:pPr>
      <w:r>
        <w:t>podle příslušných ustanovení zákona č. 89/2012 Sb., občanský zákoník ve znění změn a doplňků</w:t>
      </w:r>
    </w:p>
    <w:p w:rsidR="00CB104D" w:rsidRDefault="00A07194" w:rsidP="00A07194">
      <w:pPr>
        <w:widowControl w:val="0"/>
        <w:jc w:val="center"/>
      </w:pPr>
      <w:r>
        <w:t>(dále jen "Občanský zákoník"), následující</w:t>
      </w:r>
    </w:p>
    <w:p w:rsidR="00CB104D" w:rsidRDefault="00CB104D"/>
    <w:p w:rsidR="00CB104D" w:rsidRDefault="00D74451">
      <w:pPr>
        <w:jc w:val="center"/>
        <w:rPr>
          <w:b/>
          <w:sz w:val="26"/>
          <w:szCs w:val="26"/>
        </w:rPr>
      </w:pPr>
      <w:r>
        <w:rPr>
          <w:b/>
          <w:sz w:val="26"/>
          <w:szCs w:val="26"/>
        </w:rPr>
        <w:t>Smlouvu o úvěru č. </w:t>
      </w:r>
      <w:r>
        <w:rPr>
          <w:b/>
          <w:sz w:val="26"/>
        </w:rPr>
        <w:t>0568/18/5650</w:t>
      </w:r>
    </w:p>
    <w:p w:rsidR="00CB104D" w:rsidRDefault="00D74451">
      <w:pPr>
        <w:jc w:val="center"/>
      </w:pPr>
      <w:r>
        <w:t>(dále jen "Smlouva").</w:t>
      </w:r>
    </w:p>
    <w:p w:rsidR="00CB104D" w:rsidRDefault="00CB104D"/>
    <w:p w:rsidR="006F6C10" w:rsidRDefault="00A07194" w:rsidP="006F6C10">
      <w:pPr>
        <w:rPr>
          <w:szCs w:val="22"/>
        </w:rPr>
      </w:pPr>
      <w:r>
        <w:rPr>
          <w:szCs w:val="22"/>
        </w:rPr>
        <w:t>Součástí Smlouvy jsou Úvěrové obchodní podmínky ČSOB ze dne 1.1.2014 (dále jen "ÚOP"), které tvoří Přílohu č. 2 Smlouvy. Odchylná ustanovení Smlouvy mají přednost před zněním ÚOP. Klient prohlašuje a stvrzuje podpisem Smlouvy, že byl s ÚOP seznámen, rozumí jim a s jejich zněním souhlasí. Klient bere na vědomí, že Smluvní strany jsou vázány nejen touto Smlouvou, ale mají rovněž práva a povinnosti obsažené v ÚOP a že nesplnění povinností uvedených v ÚOP má stejné právní následky jako nesplnění povinností vyplývajících ze Smlouvy, která na ně odkazuje.</w:t>
      </w:r>
    </w:p>
    <w:p w:rsidR="00CB104D" w:rsidRDefault="00CB104D"/>
    <w:p w:rsidR="00CB104D" w:rsidRDefault="00D74451">
      <w:pPr>
        <w:keepNext/>
        <w:jc w:val="center"/>
        <w:rPr>
          <w:b/>
        </w:rPr>
      </w:pPr>
      <w:r>
        <w:rPr>
          <w:b/>
        </w:rPr>
        <w:t>Článek I.</w:t>
      </w:r>
    </w:p>
    <w:p w:rsidR="00CB104D" w:rsidRDefault="00D74451">
      <w:pPr>
        <w:keepNext/>
        <w:jc w:val="center"/>
        <w:rPr>
          <w:b/>
        </w:rPr>
      </w:pPr>
      <w:r>
        <w:rPr>
          <w:b/>
          <w:u w:val="single"/>
        </w:rPr>
        <w:t>Výše, účel a podmínky čerpání úvěru</w:t>
      </w:r>
    </w:p>
    <w:p w:rsidR="00EC642A" w:rsidRPr="00A321B7" w:rsidRDefault="00D74451" w:rsidP="00EC642A">
      <w:pPr>
        <w:numPr>
          <w:ilvl w:val="0"/>
          <w:numId w:val="30"/>
        </w:numPr>
        <w:ind w:left="567" w:hanging="567"/>
      </w:pPr>
      <w:r w:rsidRPr="00705F79">
        <w:rPr>
          <w:szCs w:val="22"/>
        </w:rPr>
        <w:t>Banka poskytne Klientovi peněžní prostředky formou účelového úvěru do výše úvěrového limitu =16.200.000,</w:t>
      </w:r>
      <w:r w:rsidRPr="00705F79">
        <w:rPr>
          <w:szCs w:val="22"/>
        </w:rPr>
        <w:noBreakHyphen/>
        <w:t xml:space="preserve">Kč (dále jen "Úvěrový limit"). Úvěr může být čerpán do 30.4.2019. </w:t>
      </w:r>
      <w:r w:rsidR="00EC642A" w:rsidRPr="00A321B7">
        <w:t xml:space="preserve">Úvěr je částečně financován ze strany Rozvojové banky Rady Evropy (dále jen </w:t>
      </w:r>
      <w:r w:rsidR="00EC642A" w:rsidRPr="00A321B7">
        <w:rPr>
          <w:szCs w:val="22"/>
        </w:rPr>
        <w:t>"</w:t>
      </w:r>
      <w:r w:rsidR="00EC642A" w:rsidRPr="00CF09E3">
        <w:t>CEDB</w:t>
      </w:r>
      <w:r w:rsidR="00EC642A" w:rsidRPr="00A321B7">
        <w:rPr>
          <w:szCs w:val="22"/>
        </w:rPr>
        <w:t>"</w:t>
      </w:r>
      <w:r w:rsidR="00EC642A" w:rsidRPr="00A321B7">
        <w:t xml:space="preserve">) v rámci jejího programu zaměřeného na </w:t>
      </w:r>
      <w:r w:rsidR="00EC642A" w:rsidRPr="00EC642A">
        <w:t>zlepšení životních podmínek v městských a venkovských oblastech</w:t>
      </w:r>
      <w:r w:rsidR="00EC642A" w:rsidRPr="00A321B7">
        <w:t xml:space="preserve"> (dále jen </w:t>
      </w:r>
      <w:r w:rsidR="00EC642A" w:rsidRPr="00A321B7">
        <w:rPr>
          <w:szCs w:val="22"/>
        </w:rPr>
        <w:t>"</w:t>
      </w:r>
      <w:r w:rsidR="00EC642A" w:rsidRPr="00CF09E3">
        <w:t>Program CEDB</w:t>
      </w:r>
      <w:r w:rsidR="00EC642A" w:rsidRPr="00A321B7">
        <w:rPr>
          <w:szCs w:val="22"/>
        </w:rPr>
        <w:t>"</w:t>
      </w:r>
      <w:r w:rsidR="00EC642A" w:rsidRPr="00A321B7">
        <w:t>). Podrobnější informace k Programu CE</w:t>
      </w:r>
      <w:r w:rsidR="00EC642A">
        <w:t>D</w:t>
      </w:r>
      <w:r w:rsidR="00EC642A" w:rsidRPr="00A321B7">
        <w:t xml:space="preserve">B jsou uvedeny v Příloze č. </w:t>
      </w:r>
      <w:r w:rsidR="00EC642A">
        <w:t xml:space="preserve">3 </w:t>
      </w:r>
      <w:r w:rsidR="00EC642A" w:rsidRPr="00A321B7">
        <w:t>- „Zvláštní podmínky vyplývající ze zahrnutí financování Projektu do Programu CE</w:t>
      </w:r>
      <w:r w:rsidR="00EC642A">
        <w:t>D</w:t>
      </w:r>
      <w:r w:rsidR="00EC642A" w:rsidRPr="00A321B7">
        <w:t xml:space="preserve">B“ Smlouvy. </w:t>
      </w:r>
    </w:p>
    <w:p w:rsidR="00705F79" w:rsidRPr="00705F79" w:rsidRDefault="00D74451" w:rsidP="00705F79">
      <w:pPr>
        <w:pStyle w:val="Default"/>
        <w:numPr>
          <w:ilvl w:val="0"/>
          <w:numId w:val="30"/>
        </w:numPr>
        <w:ind w:left="567" w:hanging="567"/>
        <w:jc w:val="both"/>
        <w:rPr>
          <w:rFonts w:ascii="Times New Roman" w:hAnsi="Times New Roman" w:cs="Times New Roman"/>
          <w:sz w:val="22"/>
          <w:szCs w:val="22"/>
        </w:rPr>
      </w:pPr>
      <w:r w:rsidRPr="00705F79">
        <w:rPr>
          <w:rFonts w:ascii="Times New Roman" w:hAnsi="Times New Roman" w:cs="Times New Roman"/>
          <w:sz w:val="22"/>
          <w:szCs w:val="22"/>
        </w:rPr>
        <w:t>Banka poskytuje úvěr Klientovi na </w:t>
      </w:r>
      <w:r w:rsidR="00705F79" w:rsidRPr="00705F79">
        <w:rPr>
          <w:rFonts w:ascii="Times New Roman" w:hAnsi="Times New Roman" w:cs="Times New Roman"/>
          <w:sz w:val="22"/>
          <w:szCs w:val="22"/>
        </w:rPr>
        <w:t xml:space="preserve">financování </w:t>
      </w:r>
      <w:r w:rsidR="003A0528">
        <w:rPr>
          <w:rFonts w:ascii="Times New Roman" w:hAnsi="Times New Roman" w:cs="Times New Roman"/>
          <w:sz w:val="22"/>
          <w:szCs w:val="22"/>
        </w:rPr>
        <w:t xml:space="preserve">a refinancování </w:t>
      </w:r>
      <w:r w:rsidR="00705F79" w:rsidRPr="00705F79">
        <w:rPr>
          <w:rFonts w:ascii="Times New Roman" w:hAnsi="Times New Roman" w:cs="Times New Roman"/>
          <w:sz w:val="22"/>
          <w:szCs w:val="22"/>
        </w:rPr>
        <w:t>veřejné zakázky "</w:t>
      </w:r>
      <w:r w:rsidR="00705F79">
        <w:rPr>
          <w:rFonts w:ascii="Times New Roman" w:hAnsi="Times New Roman" w:cs="Times New Roman"/>
          <w:sz w:val="22"/>
          <w:szCs w:val="22"/>
        </w:rPr>
        <w:t>Poskytování úvěru na financování nemovitostí a rekonstrukce budovy CPR</w:t>
      </w:r>
      <w:r w:rsidR="00705F79" w:rsidRPr="00705F79">
        <w:rPr>
          <w:rFonts w:ascii="Times New Roman" w:hAnsi="Times New Roman" w:cs="Times New Roman"/>
          <w:sz w:val="22"/>
          <w:szCs w:val="22"/>
        </w:rPr>
        <w:t xml:space="preserve">" a to: </w:t>
      </w:r>
    </w:p>
    <w:p w:rsidR="00333144" w:rsidRDefault="00705F79" w:rsidP="00705F79">
      <w:pPr>
        <w:pStyle w:val="Default"/>
        <w:ind w:firstLine="567"/>
        <w:rPr>
          <w:rFonts w:ascii="Times New Roman" w:hAnsi="Times New Roman" w:cs="Times New Roman"/>
          <w:color w:val="auto"/>
          <w:sz w:val="22"/>
          <w:szCs w:val="22"/>
        </w:rPr>
      </w:pPr>
      <w:r>
        <w:rPr>
          <w:rFonts w:ascii="Times New Roman" w:hAnsi="Times New Roman" w:cs="Times New Roman"/>
          <w:color w:val="auto"/>
          <w:sz w:val="22"/>
          <w:szCs w:val="22"/>
        </w:rPr>
        <w:t>a)</w:t>
      </w:r>
      <w:r w:rsidRPr="009E793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020085">
        <w:rPr>
          <w:rFonts w:ascii="Times New Roman" w:hAnsi="Times New Roman" w:cs="Times New Roman"/>
          <w:color w:val="auto"/>
          <w:sz w:val="22"/>
          <w:szCs w:val="22"/>
        </w:rPr>
        <w:tab/>
      </w:r>
      <w:r>
        <w:rPr>
          <w:rFonts w:ascii="Times New Roman" w:hAnsi="Times New Roman" w:cs="Times New Roman"/>
          <w:color w:val="auto"/>
          <w:sz w:val="22"/>
          <w:szCs w:val="22"/>
        </w:rPr>
        <w:t xml:space="preserve">investiční akce </w:t>
      </w:r>
      <w:r w:rsidR="00300391" w:rsidRPr="00705F79">
        <w:rPr>
          <w:rFonts w:ascii="Times New Roman" w:hAnsi="Times New Roman" w:cs="Times New Roman"/>
          <w:sz w:val="22"/>
          <w:szCs w:val="22"/>
        </w:rPr>
        <w:t>"</w:t>
      </w:r>
      <w:r>
        <w:rPr>
          <w:rFonts w:ascii="Times New Roman" w:hAnsi="Times New Roman" w:cs="Times New Roman"/>
          <w:color w:val="auto"/>
          <w:sz w:val="22"/>
          <w:szCs w:val="22"/>
        </w:rPr>
        <w:t>Komunitní centrum Broumov</w:t>
      </w:r>
      <w:r w:rsidR="00300391" w:rsidRPr="00705F79">
        <w:rPr>
          <w:rFonts w:ascii="Times New Roman" w:hAnsi="Times New Roman" w:cs="Times New Roman"/>
          <w:sz w:val="22"/>
          <w:szCs w:val="22"/>
        </w:rPr>
        <w:t>"</w:t>
      </w:r>
      <w:r w:rsidR="00300391">
        <w:rPr>
          <w:rFonts w:ascii="Times New Roman" w:hAnsi="Times New Roman" w:cs="Times New Roman"/>
          <w:color w:val="auto"/>
          <w:sz w:val="22"/>
          <w:szCs w:val="22"/>
        </w:rPr>
        <w:t xml:space="preserve"> </w:t>
      </w:r>
    </w:p>
    <w:p w:rsidR="00705F79" w:rsidRDefault="00300391" w:rsidP="00705F79">
      <w:pPr>
        <w:pStyle w:val="Default"/>
        <w:ind w:firstLine="567"/>
        <w:rPr>
          <w:rFonts w:ascii="Times New Roman" w:hAnsi="Times New Roman" w:cs="Times New Roman"/>
          <w:color w:val="auto"/>
          <w:sz w:val="22"/>
          <w:szCs w:val="22"/>
        </w:rPr>
      </w:pPr>
      <w:r w:rsidRPr="00705F79">
        <w:rPr>
          <w:rFonts w:ascii="Times New Roman" w:hAnsi="Times New Roman" w:cs="Times New Roman"/>
          <w:sz w:val="22"/>
          <w:szCs w:val="22"/>
        </w:rPr>
        <w:t>(dále jen "</w:t>
      </w:r>
      <w:r w:rsidR="00EC642A" w:rsidRPr="00EC642A">
        <w:rPr>
          <w:rFonts w:ascii="Times New Roman" w:hAnsi="Times New Roman" w:cs="Times New Roman"/>
          <w:sz w:val="22"/>
          <w:szCs w:val="22"/>
        </w:rPr>
        <w:t xml:space="preserve"> </w:t>
      </w:r>
      <w:r w:rsidR="00EC642A" w:rsidRPr="00705F79">
        <w:rPr>
          <w:rFonts w:ascii="Times New Roman" w:hAnsi="Times New Roman" w:cs="Times New Roman"/>
          <w:sz w:val="22"/>
          <w:szCs w:val="22"/>
        </w:rPr>
        <w:t>Investiční akce</w:t>
      </w:r>
      <w:r w:rsidRPr="00705F79">
        <w:rPr>
          <w:rFonts w:ascii="Times New Roman" w:hAnsi="Times New Roman" w:cs="Times New Roman"/>
          <w:sz w:val="22"/>
          <w:szCs w:val="22"/>
        </w:rPr>
        <w:t>")</w:t>
      </w:r>
    </w:p>
    <w:p w:rsidR="00705F79" w:rsidRDefault="00705F79" w:rsidP="00705F79">
      <w:pPr>
        <w:pStyle w:val="Default"/>
        <w:ind w:left="567"/>
        <w:jc w:val="both"/>
        <w:rPr>
          <w:rFonts w:ascii="Times New Roman" w:hAnsi="Times New Roman" w:cs="Times New Roman"/>
          <w:sz w:val="22"/>
          <w:szCs w:val="22"/>
        </w:rPr>
      </w:pPr>
      <w:r>
        <w:rPr>
          <w:rFonts w:ascii="Times New Roman" w:hAnsi="Times New Roman" w:cs="Times New Roman"/>
          <w:sz w:val="22"/>
          <w:szCs w:val="22"/>
        </w:rPr>
        <w:t>b)</w:t>
      </w:r>
      <w:r w:rsidRPr="009E793E">
        <w:rPr>
          <w:rFonts w:ascii="Times New Roman" w:hAnsi="Times New Roman" w:cs="Times New Roman"/>
          <w:sz w:val="22"/>
          <w:szCs w:val="22"/>
        </w:rPr>
        <w:t xml:space="preserve"> </w:t>
      </w:r>
      <w:r w:rsidR="00020085">
        <w:rPr>
          <w:rFonts w:ascii="Times New Roman" w:hAnsi="Times New Roman" w:cs="Times New Roman"/>
          <w:sz w:val="22"/>
          <w:szCs w:val="22"/>
        </w:rPr>
        <w:tab/>
      </w:r>
      <w:r>
        <w:rPr>
          <w:rFonts w:ascii="Times New Roman" w:hAnsi="Times New Roman" w:cs="Times New Roman"/>
          <w:sz w:val="22"/>
          <w:szCs w:val="22"/>
        </w:rPr>
        <w:t>k</w:t>
      </w:r>
      <w:r w:rsidRPr="009E793E">
        <w:rPr>
          <w:rFonts w:ascii="Times New Roman" w:hAnsi="Times New Roman" w:cs="Times New Roman"/>
          <w:sz w:val="22"/>
          <w:szCs w:val="22"/>
        </w:rPr>
        <w:t>oupě</w:t>
      </w:r>
    </w:p>
    <w:p w:rsidR="00705F79" w:rsidRDefault="00705F79" w:rsidP="00705F79">
      <w:pPr>
        <w:pStyle w:val="Default"/>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020085">
        <w:rPr>
          <w:rFonts w:ascii="Times New Roman" w:hAnsi="Times New Roman" w:cs="Times New Roman"/>
          <w:sz w:val="22"/>
          <w:szCs w:val="22"/>
        </w:rPr>
        <w:tab/>
      </w:r>
      <w:r>
        <w:rPr>
          <w:rFonts w:ascii="Times New Roman" w:hAnsi="Times New Roman" w:cs="Times New Roman"/>
          <w:sz w:val="22"/>
          <w:szCs w:val="22"/>
        </w:rPr>
        <w:t>-</w:t>
      </w:r>
      <w:r w:rsidR="00020085">
        <w:rPr>
          <w:rFonts w:ascii="Times New Roman" w:hAnsi="Times New Roman" w:cs="Times New Roman"/>
          <w:sz w:val="22"/>
          <w:szCs w:val="22"/>
        </w:rPr>
        <w:t xml:space="preserve">        </w:t>
      </w:r>
      <w:r w:rsidRPr="009E793E">
        <w:rPr>
          <w:rFonts w:ascii="Times New Roman" w:hAnsi="Times New Roman" w:cs="Times New Roman"/>
          <w:sz w:val="22"/>
          <w:szCs w:val="22"/>
        </w:rPr>
        <w:t xml:space="preserve">pozemku </w:t>
      </w:r>
      <w:r w:rsidR="00300391">
        <w:rPr>
          <w:rFonts w:ascii="Times New Roman" w:hAnsi="Times New Roman" w:cs="Times New Roman"/>
          <w:sz w:val="22"/>
          <w:szCs w:val="22"/>
        </w:rPr>
        <w:t>-</w:t>
      </w:r>
      <w:r w:rsidRPr="009E793E">
        <w:rPr>
          <w:rFonts w:ascii="Times New Roman" w:hAnsi="Times New Roman" w:cs="Times New Roman"/>
          <w:sz w:val="22"/>
          <w:szCs w:val="22"/>
        </w:rPr>
        <w:t xml:space="preserve"> </w:t>
      </w:r>
      <w:r>
        <w:rPr>
          <w:rFonts w:ascii="Times New Roman" w:hAnsi="Times New Roman" w:cs="Times New Roman"/>
          <w:sz w:val="22"/>
          <w:szCs w:val="22"/>
        </w:rPr>
        <w:t>parc. č. St.</w:t>
      </w:r>
      <w:r w:rsidRPr="009E793E">
        <w:rPr>
          <w:rFonts w:ascii="Times New Roman" w:hAnsi="Times New Roman" w:cs="Times New Roman"/>
          <w:sz w:val="22"/>
          <w:szCs w:val="22"/>
        </w:rPr>
        <w:t xml:space="preserve"> </w:t>
      </w:r>
      <w:r>
        <w:rPr>
          <w:rFonts w:ascii="Times New Roman" w:hAnsi="Times New Roman" w:cs="Times New Roman"/>
          <w:sz w:val="22"/>
          <w:szCs w:val="22"/>
        </w:rPr>
        <w:t>169</w:t>
      </w:r>
      <w:r w:rsidRPr="009E793E">
        <w:rPr>
          <w:rFonts w:ascii="Times New Roman" w:hAnsi="Times New Roman" w:cs="Times New Roman"/>
          <w:sz w:val="22"/>
          <w:szCs w:val="22"/>
        </w:rPr>
        <w:t xml:space="preserve">, </w:t>
      </w:r>
      <w:r>
        <w:rPr>
          <w:rFonts w:ascii="Times New Roman" w:hAnsi="Times New Roman" w:cs="Times New Roman"/>
          <w:sz w:val="22"/>
          <w:szCs w:val="22"/>
        </w:rPr>
        <w:t>jehož součástí je</w:t>
      </w:r>
      <w:r w:rsidRPr="009E793E">
        <w:rPr>
          <w:rFonts w:ascii="Times New Roman" w:hAnsi="Times New Roman" w:cs="Times New Roman"/>
          <w:sz w:val="22"/>
          <w:szCs w:val="22"/>
        </w:rPr>
        <w:t xml:space="preserve"> </w:t>
      </w:r>
      <w:r>
        <w:rPr>
          <w:rFonts w:ascii="Times New Roman" w:hAnsi="Times New Roman" w:cs="Times New Roman"/>
          <w:sz w:val="22"/>
          <w:szCs w:val="22"/>
        </w:rPr>
        <w:t xml:space="preserve">budova </w:t>
      </w:r>
      <w:r w:rsidRPr="009E793E">
        <w:rPr>
          <w:rFonts w:ascii="Times New Roman" w:hAnsi="Times New Roman" w:cs="Times New Roman"/>
          <w:sz w:val="22"/>
          <w:szCs w:val="22"/>
        </w:rPr>
        <w:t>č</w:t>
      </w:r>
      <w:r>
        <w:rPr>
          <w:rFonts w:ascii="Times New Roman" w:hAnsi="Times New Roman" w:cs="Times New Roman"/>
          <w:sz w:val="22"/>
          <w:szCs w:val="22"/>
        </w:rPr>
        <w:t>.</w:t>
      </w:r>
      <w:r w:rsidRPr="009E793E">
        <w:rPr>
          <w:rFonts w:ascii="Times New Roman" w:hAnsi="Times New Roman" w:cs="Times New Roman"/>
          <w:sz w:val="22"/>
          <w:szCs w:val="22"/>
        </w:rPr>
        <w:t xml:space="preserve">p. </w:t>
      </w:r>
      <w:r>
        <w:rPr>
          <w:rFonts w:ascii="Times New Roman" w:hAnsi="Times New Roman" w:cs="Times New Roman"/>
          <w:sz w:val="22"/>
          <w:szCs w:val="22"/>
        </w:rPr>
        <w:t>80</w:t>
      </w:r>
      <w:r w:rsidRPr="009E793E">
        <w:rPr>
          <w:rFonts w:ascii="Times New Roman" w:hAnsi="Times New Roman" w:cs="Times New Roman"/>
          <w:sz w:val="22"/>
          <w:szCs w:val="22"/>
        </w:rPr>
        <w:t xml:space="preserve"> </w:t>
      </w:r>
    </w:p>
    <w:p w:rsidR="00705F79" w:rsidRPr="009E793E" w:rsidRDefault="00705F79" w:rsidP="00705F79">
      <w:pPr>
        <w:pStyle w:val="Default"/>
        <w:tabs>
          <w:tab w:val="left" w:pos="567"/>
          <w:tab w:val="left" w:pos="851"/>
        </w:tabs>
        <w:jc w:val="both"/>
        <w:rPr>
          <w:rFonts w:ascii="Times New Roman" w:hAnsi="Times New Roman" w:cs="Times New Roman"/>
          <w:sz w:val="22"/>
          <w:szCs w:val="22"/>
        </w:rPr>
      </w:pPr>
      <w:r>
        <w:rPr>
          <w:rFonts w:ascii="Times New Roman" w:hAnsi="Times New Roman" w:cs="Times New Roman"/>
          <w:sz w:val="22"/>
          <w:szCs w:val="22"/>
        </w:rPr>
        <w:tab/>
      </w:r>
      <w:r w:rsidR="00020085">
        <w:rPr>
          <w:rFonts w:ascii="Times New Roman" w:hAnsi="Times New Roman" w:cs="Times New Roman"/>
          <w:sz w:val="22"/>
          <w:szCs w:val="22"/>
        </w:rPr>
        <w:tab/>
      </w:r>
      <w:r>
        <w:rPr>
          <w:rFonts w:ascii="Times New Roman" w:hAnsi="Times New Roman" w:cs="Times New Roman"/>
          <w:sz w:val="22"/>
          <w:szCs w:val="22"/>
        </w:rPr>
        <w:tab/>
      </w:r>
      <w:r w:rsidR="00020085">
        <w:rPr>
          <w:rFonts w:ascii="Times New Roman" w:hAnsi="Times New Roman" w:cs="Times New Roman"/>
          <w:sz w:val="22"/>
          <w:szCs w:val="22"/>
        </w:rPr>
        <w:t xml:space="preserve">-        </w:t>
      </w:r>
      <w:r w:rsidRPr="009E793E">
        <w:rPr>
          <w:rFonts w:ascii="Times New Roman" w:hAnsi="Times New Roman" w:cs="Times New Roman"/>
          <w:sz w:val="22"/>
          <w:szCs w:val="22"/>
        </w:rPr>
        <w:t xml:space="preserve">pozemku - pozemkové parcely </w:t>
      </w:r>
      <w:r>
        <w:rPr>
          <w:rFonts w:ascii="Times New Roman" w:hAnsi="Times New Roman" w:cs="Times New Roman"/>
          <w:sz w:val="22"/>
          <w:szCs w:val="22"/>
        </w:rPr>
        <w:t>č. 4</w:t>
      </w:r>
      <w:r w:rsidRPr="009E793E">
        <w:rPr>
          <w:rFonts w:ascii="Times New Roman" w:hAnsi="Times New Roman" w:cs="Times New Roman"/>
          <w:sz w:val="22"/>
          <w:szCs w:val="22"/>
        </w:rPr>
        <w:t xml:space="preserve">, </w:t>
      </w:r>
    </w:p>
    <w:p w:rsidR="00705F79" w:rsidRDefault="00705F79" w:rsidP="00020085">
      <w:pPr>
        <w:pStyle w:val="Default"/>
        <w:ind w:left="708" w:firstLine="708"/>
        <w:rPr>
          <w:rFonts w:ascii="Times New Roman" w:hAnsi="Times New Roman" w:cs="Times New Roman"/>
          <w:sz w:val="22"/>
          <w:szCs w:val="22"/>
        </w:rPr>
      </w:pPr>
      <w:r>
        <w:rPr>
          <w:rFonts w:ascii="Times New Roman" w:hAnsi="Times New Roman" w:cs="Times New Roman"/>
          <w:sz w:val="22"/>
          <w:szCs w:val="22"/>
        </w:rPr>
        <w:t xml:space="preserve">vše zapsané v katastru nemovitostí pro </w:t>
      </w:r>
      <w:r w:rsidRPr="009E793E">
        <w:rPr>
          <w:rFonts w:ascii="Times New Roman" w:hAnsi="Times New Roman" w:cs="Times New Roman"/>
          <w:sz w:val="22"/>
          <w:szCs w:val="22"/>
        </w:rPr>
        <w:t>katastrální</w:t>
      </w:r>
      <w:r>
        <w:rPr>
          <w:rFonts w:ascii="Times New Roman" w:hAnsi="Times New Roman" w:cs="Times New Roman"/>
          <w:sz w:val="22"/>
          <w:szCs w:val="22"/>
        </w:rPr>
        <w:t xml:space="preserve"> území Broumov</w:t>
      </w:r>
    </w:p>
    <w:p w:rsidR="00705F79" w:rsidRDefault="00705F79" w:rsidP="00705F79">
      <w:pPr>
        <w:pStyle w:val="Default"/>
        <w:ind w:firstLine="567"/>
        <w:rPr>
          <w:rFonts w:ascii="Times New Roman" w:hAnsi="Times New Roman" w:cs="Times New Roman"/>
          <w:sz w:val="22"/>
          <w:szCs w:val="22"/>
        </w:rPr>
      </w:pPr>
      <w:r>
        <w:rPr>
          <w:rFonts w:ascii="Times New Roman" w:hAnsi="Times New Roman" w:cs="Times New Roman"/>
          <w:sz w:val="22"/>
          <w:szCs w:val="22"/>
        </w:rPr>
        <w:t>c)</w:t>
      </w:r>
      <w:r w:rsidRPr="008C01E3">
        <w:rPr>
          <w:rFonts w:ascii="Times New Roman" w:hAnsi="Times New Roman" w:cs="Times New Roman"/>
          <w:sz w:val="22"/>
          <w:szCs w:val="22"/>
        </w:rPr>
        <w:t xml:space="preserve"> </w:t>
      </w:r>
      <w:r w:rsidR="00020085">
        <w:rPr>
          <w:rFonts w:ascii="Times New Roman" w:hAnsi="Times New Roman" w:cs="Times New Roman"/>
          <w:sz w:val="22"/>
          <w:szCs w:val="22"/>
        </w:rPr>
        <w:tab/>
      </w:r>
      <w:r>
        <w:rPr>
          <w:rFonts w:ascii="Times New Roman" w:hAnsi="Times New Roman" w:cs="Times New Roman"/>
          <w:sz w:val="22"/>
          <w:szCs w:val="22"/>
        </w:rPr>
        <w:t>k</w:t>
      </w:r>
      <w:r w:rsidRPr="009E793E">
        <w:rPr>
          <w:rFonts w:ascii="Times New Roman" w:hAnsi="Times New Roman" w:cs="Times New Roman"/>
          <w:sz w:val="22"/>
          <w:szCs w:val="22"/>
        </w:rPr>
        <w:t>oupě</w:t>
      </w:r>
    </w:p>
    <w:p w:rsidR="00705F79" w:rsidRPr="001906A3" w:rsidRDefault="00705F79" w:rsidP="005B47A1">
      <w:pPr>
        <w:pStyle w:val="Default"/>
        <w:ind w:left="851" w:firstLine="565"/>
        <w:jc w:val="both"/>
        <w:rPr>
          <w:rFonts w:ascii="Times New Roman" w:hAnsi="Times New Roman" w:cs="Times New Roman"/>
          <w:sz w:val="22"/>
          <w:szCs w:val="22"/>
        </w:rPr>
      </w:pPr>
      <w:r>
        <w:rPr>
          <w:rFonts w:ascii="Times New Roman" w:hAnsi="Times New Roman" w:cs="Times New Roman"/>
          <w:sz w:val="22"/>
          <w:szCs w:val="22"/>
        </w:rPr>
        <w:t>-</w:t>
      </w:r>
      <w:r w:rsidR="00020085">
        <w:rPr>
          <w:rFonts w:ascii="Times New Roman" w:hAnsi="Times New Roman" w:cs="Times New Roman"/>
          <w:sz w:val="22"/>
          <w:szCs w:val="22"/>
        </w:rPr>
        <w:t xml:space="preserve">        </w:t>
      </w:r>
      <w:r w:rsidRPr="009E793E">
        <w:rPr>
          <w:rFonts w:ascii="Times New Roman" w:hAnsi="Times New Roman" w:cs="Times New Roman"/>
          <w:sz w:val="22"/>
          <w:szCs w:val="22"/>
        </w:rPr>
        <w:t xml:space="preserve">pozemku - </w:t>
      </w:r>
      <w:r>
        <w:rPr>
          <w:rFonts w:ascii="Times New Roman" w:hAnsi="Times New Roman" w:cs="Times New Roman"/>
          <w:sz w:val="22"/>
          <w:szCs w:val="22"/>
        </w:rPr>
        <w:t>parc. č. St.</w:t>
      </w:r>
      <w:r w:rsidRPr="009E793E">
        <w:rPr>
          <w:rFonts w:ascii="Times New Roman" w:hAnsi="Times New Roman" w:cs="Times New Roman"/>
          <w:sz w:val="22"/>
          <w:szCs w:val="22"/>
        </w:rPr>
        <w:t xml:space="preserve"> </w:t>
      </w:r>
      <w:r>
        <w:rPr>
          <w:rFonts w:ascii="Times New Roman" w:hAnsi="Times New Roman" w:cs="Times New Roman"/>
          <w:sz w:val="22"/>
          <w:szCs w:val="22"/>
        </w:rPr>
        <w:t>163,</w:t>
      </w:r>
      <w:r w:rsidRPr="009E793E">
        <w:rPr>
          <w:rFonts w:ascii="Times New Roman" w:hAnsi="Times New Roman" w:cs="Times New Roman"/>
          <w:sz w:val="22"/>
          <w:szCs w:val="22"/>
        </w:rPr>
        <w:t xml:space="preserve"> </w:t>
      </w:r>
      <w:r>
        <w:rPr>
          <w:rFonts w:ascii="Times New Roman" w:hAnsi="Times New Roman" w:cs="Times New Roman"/>
          <w:sz w:val="22"/>
          <w:szCs w:val="22"/>
        </w:rPr>
        <w:t>jehož součástí je</w:t>
      </w:r>
      <w:r w:rsidRPr="009E793E">
        <w:rPr>
          <w:rFonts w:ascii="Times New Roman" w:hAnsi="Times New Roman" w:cs="Times New Roman"/>
          <w:sz w:val="22"/>
          <w:szCs w:val="22"/>
        </w:rPr>
        <w:t xml:space="preserve"> budova č.p. </w:t>
      </w:r>
      <w:r>
        <w:rPr>
          <w:rFonts w:ascii="Times New Roman" w:hAnsi="Times New Roman" w:cs="Times New Roman"/>
          <w:sz w:val="22"/>
          <w:szCs w:val="22"/>
        </w:rPr>
        <w:t>7</w:t>
      </w:r>
      <w:r w:rsidRPr="009E793E">
        <w:rPr>
          <w:rFonts w:ascii="Times New Roman" w:hAnsi="Times New Roman" w:cs="Times New Roman"/>
          <w:sz w:val="22"/>
          <w:szCs w:val="22"/>
        </w:rPr>
        <w:t>2</w:t>
      </w:r>
      <w:r w:rsidRPr="001906A3">
        <w:rPr>
          <w:rFonts w:ascii="Times New Roman" w:hAnsi="Times New Roman" w:cs="Times New Roman"/>
          <w:sz w:val="22"/>
          <w:szCs w:val="22"/>
        </w:rPr>
        <w:t xml:space="preserve"> </w:t>
      </w:r>
    </w:p>
    <w:p w:rsidR="00705F79" w:rsidRDefault="00705F79" w:rsidP="00020085">
      <w:pPr>
        <w:pStyle w:val="Default"/>
        <w:ind w:left="708" w:firstLine="708"/>
        <w:rPr>
          <w:rFonts w:ascii="Times New Roman" w:hAnsi="Times New Roman" w:cs="Times New Roman"/>
          <w:sz w:val="22"/>
          <w:szCs w:val="22"/>
        </w:rPr>
      </w:pPr>
      <w:r w:rsidRPr="009E793E">
        <w:rPr>
          <w:rFonts w:ascii="Times New Roman" w:hAnsi="Times New Roman" w:cs="Times New Roman"/>
          <w:sz w:val="22"/>
          <w:szCs w:val="22"/>
        </w:rPr>
        <w:t xml:space="preserve">vše </w:t>
      </w:r>
      <w:r>
        <w:rPr>
          <w:rFonts w:ascii="Times New Roman" w:hAnsi="Times New Roman" w:cs="Times New Roman"/>
          <w:sz w:val="22"/>
          <w:szCs w:val="22"/>
        </w:rPr>
        <w:t>zapsané</w:t>
      </w:r>
      <w:r w:rsidRPr="009E793E">
        <w:rPr>
          <w:rFonts w:ascii="Times New Roman" w:hAnsi="Times New Roman" w:cs="Times New Roman"/>
          <w:sz w:val="22"/>
          <w:szCs w:val="22"/>
        </w:rPr>
        <w:t xml:space="preserve"> </w:t>
      </w:r>
      <w:r>
        <w:rPr>
          <w:rFonts w:ascii="Times New Roman" w:hAnsi="Times New Roman" w:cs="Times New Roman"/>
          <w:sz w:val="22"/>
          <w:szCs w:val="22"/>
        </w:rPr>
        <w:t xml:space="preserve">v katastru nemovitostí pro </w:t>
      </w:r>
      <w:r w:rsidRPr="009E793E">
        <w:rPr>
          <w:rFonts w:ascii="Times New Roman" w:hAnsi="Times New Roman" w:cs="Times New Roman"/>
          <w:sz w:val="22"/>
          <w:szCs w:val="22"/>
        </w:rPr>
        <w:t>katastrální</w:t>
      </w:r>
      <w:r>
        <w:rPr>
          <w:rFonts w:ascii="Times New Roman" w:hAnsi="Times New Roman" w:cs="Times New Roman"/>
          <w:sz w:val="22"/>
          <w:szCs w:val="22"/>
        </w:rPr>
        <w:t xml:space="preserve"> území Broumov</w:t>
      </w:r>
    </w:p>
    <w:p w:rsidR="00300391" w:rsidRDefault="00300391" w:rsidP="00333144">
      <w:pPr>
        <w:pStyle w:val="Default"/>
        <w:ind w:firstLine="567"/>
        <w:rPr>
          <w:rFonts w:ascii="Times New Roman" w:hAnsi="Times New Roman" w:cs="Times New Roman"/>
          <w:sz w:val="22"/>
          <w:szCs w:val="22"/>
        </w:rPr>
      </w:pPr>
      <w:r w:rsidRPr="00705F79">
        <w:rPr>
          <w:rFonts w:ascii="Times New Roman" w:hAnsi="Times New Roman" w:cs="Times New Roman"/>
          <w:sz w:val="22"/>
          <w:szCs w:val="22"/>
        </w:rPr>
        <w:t>(dále jen "</w:t>
      </w:r>
      <w:r>
        <w:rPr>
          <w:rFonts w:ascii="Times New Roman" w:hAnsi="Times New Roman" w:cs="Times New Roman"/>
          <w:sz w:val="22"/>
          <w:szCs w:val="22"/>
        </w:rPr>
        <w:t>Financované nemovitosti</w:t>
      </w:r>
      <w:r w:rsidRPr="00705F79">
        <w:rPr>
          <w:rFonts w:ascii="Times New Roman" w:hAnsi="Times New Roman" w:cs="Times New Roman"/>
          <w:sz w:val="22"/>
          <w:szCs w:val="22"/>
        </w:rPr>
        <w:t>")</w:t>
      </w:r>
    </w:p>
    <w:p w:rsidR="00300391" w:rsidRDefault="00300391" w:rsidP="00300391">
      <w:pPr>
        <w:pStyle w:val="Default"/>
        <w:ind w:left="709" w:hanging="142"/>
        <w:rPr>
          <w:rFonts w:ascii="Times New Roman" w:hAnsi="Times New Roman" w:cs="Times New Roman"/>
          <w:sz w:val="22"/>
          <w:szCs w:val="22"/>
        </w:rPr>
      </w:pPr>
      <w:r w:rsidRPr="00705F79">
        <w:rPr>
          <w:rFonts w:ascii="Times New Roman" w:hAnsi="Times New Roman" w:cs="Times New Roman"/>
          <w:sz w:val="22"/>
          <w:szCs w:val="22"/>
        </w:rPr>
        <w:t>(</w:t>
      </w:r>
      <w:r w:rsidR="00EC642A" w:rsidRPr="00705F79">
        <w:rPr>
          <w:rFonts w:ascii="Times New Roman" w:hAnsi="Times New Roman" w:cs="Times New Roman"/>
          <w:sz w:val="22"/>
          <w:szCs w:val="22"/>
        </w:rPr>
        <w:t>Investiční akce</w:t>
      </w:r>
      <w:r w:rsidR="00EC642A">
        <w:rPr>
          <w:rFonts w:ascii="Times New Roman" w:hAnsi="Times New Roman" w:cs="Times New Roman"/>
          <w:sz w:val="22"/>
          <w:szCs w:val="22"/>
        </w:rPr>
        <w:t xml:space="preserve"> </w:t>
      </w:r>
      <w:r>
        <w:rPr>
          <w:rFonts w:ascii="Times New Roman" w:hAnsi="Times New Roman" w:cs="Times New Roman"/>
          <w:sz w:val="22"/>
          <w:szCs w:val="22"/>
        </w:rPr>
        <w:t xml:space="preserve">a Financované nemovitosti společně </w:t>
      </w:r>
      <w:r w:rsidRPr="00705F79">
        <w:rPr>
          <w:rFonts w:ascii="Times New Roman" w:hAnsi="Times New Roman" w:cs="Times New Roman"/>
          <w:sz w:val="22"/>
          <w:szCs w:val="22"/>
        </w:rPr>
        <w:t>dále jen "</w:t>
      </w:r>
      <w:r w:rsidR="00EC642A">
        <w:rPr>
          <w:rFonts w:ascii="Times New Roman" w:hAnsi="Times New Roman" w:cs="Times New Roman"/>
          <w:sz w:val="22"/>
          <w:szCs w:val="22"/>
        </w:rPr>
        <w:t>Projekt</w:t>
      </w:r>
      <w:r w:rsidRPr="00705F79">
        <w:rPr>
          <w:rFonts w:ascii="Times New Roman" w:hAnsi="Times New Roman" w:cs="Times New Roman"/>
          <w:sz w:val="22"/>
          <w:szCs w:val="22"/>
        </w:rPr>
        <w:t>")</w:t>
      </w:r>
      <w:r w:rsidR="00C62E08">
        <w:rPr>
          <w:rFonts w:ascii="Times New Roman" w:hAnsi="Times New Roman" w:cs="Times New Roman"/>
          <w:sz w:val="22"/>
          <w:szCs w:val="22"/>
        </w:rPr>
        <w:t>.</w:t>
      </w:r>
    </w:p>
    <w:p w:rsidR="00EC642A" w:rsidRPr="00A321B7" w:rsidRDefault="00EC642A" w:rsidP="00EC642A">
      <w:pPr>
        <w:ind w:left="567"/>
      </w:pPr>
      <w:r w:rsidRPr="00A321B7">
        <w:t>Projekt byl na základě předchozí žádosti Klienta odsouhlasen Bankou k zařazení do Programu CE</w:t>
      </w:r>
      <w:r>
        <w:t>D</w:t>
      </w:r>
      <w:r w:rsidRPr="00A321B7">
        <w:t>B. Z tohoto důvodu vyplývají Klientovi ze Smlouvy nejen práva a povinnosti ve vztahu k Bance, ale i povinnosti k  CE</w:t>
      </w:r>
      <w:r>
        <w:t>D</w:t>
      </w:r>
      <w:r w:rsidRPr="00A321B7">
        <w:t xml:space="preserve">B a jiným subjektům, které jsou uvedeny dále ve Smlouvě. </w:t>
      </w:r>
    </w:p>
    <w:p w:rsidR="00333144" w:rsidRPr="00300391" w:rsidRDefault="00705F79" w:rsidP="00333144">
      <w:pPr>
        <w:numPr>
          <w:ilvl w:val="0"/>
          <w:numId w:val="30"/>
        </w:numPr>
        <w:ind w:left="567" w:hanging="567"/>
      </w:pPr>
      <w:r>
        <w:lastRenderedPageBreak/>
        <w:t xml:space="preserve">Peněžní prostředky z úvěru nebo jejich část až do výše Úvěrového limitu mohou být čerpány </w:t>
      </w:r>
      <w:r>
        <w:rPr>
          <w:bCs/>
        </w:rPr>
        <w:t xml:space="preserve">po splnění obecných podmínek čerpání dle ÚOP, a to </w:t>
      </w:r>
      <w:r>
        <w:t xml:space="preserve">na základě písemné žádosti Klienta o čerpání úvěru doručené Bance nejpozději 2 pracovní dny před pracovním dnem očekávaného čerpání </w:t>
      </w:r>
      <w:r>
        <w:rPr>
          <w:bCs/>
        </w:rPr>
        <w:t>a po:</w:t>
      </w:r>
    </w:p>
    <w:p w:rsidR="00333144" w:rsidRPr="00D1033C" w:rsidRDefault="00333144" w:rsidP="00333144">
      <w:pPr>
        <w:numPr>
          <w:ilvl w:val="1"/>
          <w:numId w:val="4"/>
        </w:numPr>
      </w:pPr>
      <w:r>
        <w:rPr>
          <w:color w:val="000000"/>
          <w:szCs w:val="22"/>
        </w:rPr>
        <w:t xml:space="preserve">předložení originálu nebo notářsky ověřené kopie zápisu / výpisu z jednání zastupitelstva, že o </w:t>
      </w:r>
      <w:r w:rsidR="004E0ECB">
        <w:rPr>
          <w:color w:val="000000"/>
          <w:szCs w:val="22"/>
        </w:rPr>
        <w:t xml:space="preserve">realizaci Projektu a </w:t>
      </w:r>
      <w:r>
        <w:rPr>
          <w:color w:val="000000"/>
          <w:szCs w:val="22"/>
        </w:rPr>
        <w:t xml:space="preserve">přijetí </w:t>
      </w:r>
      <w:r>
        <w:t>úvěru,</w:t>
      </w:r>
      <w:r w:rsidRPr="006C158D">
        <w:rPr>
          <w:color w:val="000000"/>
          <w:szCs w:val="22"/>
        </w:rPr>
        <w:t xml:space="preserve"> </w:t>
      </w:r>
      <w:r>
        <w:rPr>
          <w:color w:val="000000"/>
          <w:szCs w:val="22"/>
        </w:rPr>
        <w:t>jehož předmětem j</w:t>
      </w:r>
      <w:r w:rsidR="00EC642A">
        <w:rPr>
          <w:color w:val="000000"/>
          <w:szCs w:val="22"/>
        </w:rPr>
        <w:t>e Projekt</w:t>
      </w:r>
      <w:r>
        <w:rPr>
          <w:color w:val="000000"/>
          <w:szCs w:val="22"/>
        </w:rPr>
        <w:t xml:space="preserve">, bylo rozhodnuto zastupitelstvem Klienta na svém jednání dne </w:t>
      </w:r>
      <w:r w:rsidR="00AF50A5">
        <w:rPr>
          <w:color w:val="000000"/>
          <w:szCs w:val="22"/>
        </w:rPr>
        <w:t>18.4.2018</w:t>
      </w:r>
      <w:r>
        <w:rPr>
          <w:i/>
          <w:color w:val="000000"/>
          <w:szCs w:val="22"/>
        </w:rPr>
        <w:t>,</w:t>
      </w:r>
    </w:p>
    <w:p w:rsidR="00D1033C" w:rsidRDefault="00D1033C" w:rsidP="00D1033C">
      <w:pPr>
        <w:numPr>
          <w:ilvl w:val="1"/>
          <w:numId w:val="4"/>
        </w:numPr>
      </w:pPr>
      <w:r>
        <w:rPr>
          <w:color w:val="000000"/>
          <w:szCs w:val="22"/>
        </w:rPr>
        <w:t xml:space="preserve">předložení čestného prohlášení Klienta, že nebude v souvislosti s financovaným Projektem, </w:t>
      </w:r>
      <w:r w:rsidR="004E0ECB">
        <w:rPr>
          <w:color w:val="000000"/>
          <w:szCs w:val="22"/>
        </w:rPr>
        <w:t xml:space="preserve">v případě, že </w:t>
      </w:r>
      <w:r>
        <w:rPr>
          <w:color w:val="000000"/>
          <w:szCs w:val="22"/>
        </w:rPr>
        <w:t>bude úvěrem financována DPH, uplatňovat nárok na odpočet DPH,</w:t>
      </w:r>
    </w:p>
    <w:p w:rsidR="00201494" w:rsidRPr="00201494" w:rsidRDefault="00201494" w:rsidP="00201494">
      <w:pPr>
        <w:numPr>
          <w:ilvl w:val="1"/>
          <w:numId w:val="4"/>
        </w:numPr>
        <w:rPr>
          <w:szCs w:val="22"/>
        </w:rPr>
      </w:pPr>
      <w:r w:rsidRPr="00201494">
        <w:rPr>
          <w:szCs w:val="22"/>
        </w:rPr>
        <w:t xml:space="preserve">řádném uveřejnění Smlouvy (včetně případných dodatků) a příslušných metadat dle zákona č. 340/2015 Sb., o zvláštních podmínkách účinnosti některých smluv, uveřejňování těchto smluv a o registru smluv, v platném znění (dále jen </w:t>
      </w:r>
      <w:r w:rsidRPr="00705F79">
        <w:rPr>
          <w:szCs w:val="22"/>
        </w:rPr>
        <w:t>"</w:t>
      </w:r>
      <w:r w:rsidRPr="00201494">
        <w:rPr>
          <w:szCs w:val="22"/>
        </w:rPr>
        <w:t>Zákon o registru smluv</w:t>
      </w:r>
      <w:r w:rsidRPr="00705F79">
        <w:rPr>
          <w:szCs w:val="22"/>
        </w:rPr>
        <w:t>"</w:t>
      </w:r>
      <w:r w:rsidRPr="00201494">
        <w:rPr>
          <w:szCs w:val="22"/>
        </w:rPr>
        <w:t xml:space="preserve">), obojí v rozsahu sjednaném Smluvními stranami, v registru smluv (dále jen </w:t>
      </w:r>
      <w:r w:rsidRPr="00705F79">
        <w:rPr>
          <w:szCs w:val="22"/>
        </w:rPr>
        <w:t>"</w:t>
      </w:r>
      <w:r w:rsidRPr="00201494">
        <w:rPr>
          <w:szCs w:val="22"/>
        </w:rPr>
        <w:t>Registr smluv</w:t>
      </w:r>
      <w:r w:rsidRPr="00705F79">
        <w:rPr>
          <w:szCs w:val="22"/>
        </w:rPr>
        <w:t>"</w:t>
      </w:r>
      <w:r w:rsidRPr="00201494">
        <w:rPr>
          <w:szCs w:val="22"/>
        </w:rPr>
        <w:t xml:space="preserve">) a Bance bylo doručeno ze strany správce Registru smluv potvrzení o uveřejnění Smlouvy (včetně případných dodatků),  </w:t>
      </w:r>
    </w:p>
    <w:p w:rsidR="00201494" w:rsidRDefault="00201494" w:rsidP="00201494">
      <w:pPr>
        <w:numPr>
          <w:ilvl w:val="1"/>
          <w:numId w:val="4"/>
        </w:numPr>
      </w:pPr>
      <w:r>
        <w:rPr>
          <w:color w:val="000000"/>
        </w:rPr>
        <w:t xml:space="preserve">předložení dokumentů Klienta (zejména žádosti vč. jejích příloh), na jejichž základě bylo vydáno rozhodnutí o poskytnutí dotace (dále jen "Rozhodnutí"), resp. uzavřena smlouva o financování (dále jen "Smlouva o financování"), a předložení dokumentů dokládajících, že příslušný řídící orgán daného operačního programu (dále jen "Řídící orgán") vydal Rozhodnutí, resp. že došlo k uzavření Smlouvy o financování na realizaci </w:t>
      </w:r>
      <w:r w:rsidR="00EC642A" w:rsidRPr="00705F79">
        <w:rPr>
          <w:szCs w:val="22"/>
        </w:rPr>
        <w:t>Investiční akce</w:t>
      </w:r>
      <w:r w:rsidR="00EC642A">
        <w:rPr>
          <w:color w:val="000000"/>
        </w:rPr>
        <w:t>,</w:t>
      </w:r>
      <w:r>
        <w:rPr>
          <w:color w:val="000000"/>
        </w:rPr>
        <w:t xml:space="preserve"> přičemž předpokládaná výše dotací bude činit minimálně =1</w:t>
      </w:r>
      <w:r w:rsidR="004E0ECB">
        <w:rPr>
          <w:color w:val="000000"/>
        </w:rPr>
        <w:t>6</w:t>
      </w:r>
      <w:r>
        <w:rPr>
          <w:color w:val="000000"/>
        </w:rPr>
        <w:t>.</w:t>
      </w:r>
      <w:r w:rsidR="004E0ECB">
        <w:rPr>
          <w:color w:val="000000"/>
        </w:rPr>
        <w:t>579</w:t>
      </w:r>
      <w:r>
        <w:rPr>
          <w:color w:val="000000"/>
        </w:rPr>
        <w:t>.</w:t>
      </w:r>
      <w:r w:rsidR="004E0ECB">
        <w:rPr>
          <w:color w:val="000000"/>
        </w:rPr>
        <w:t>423</w:t>
      </w:r>
      <w:r>
        <w:rPr>
          <w:color w:val="000000"/>
        </w:rPr>
        <w:t xml:space="preserve">,-Kč celkových nákladů </w:t>
      </w:r>
      <w:r w:rsidR="00EC642A" w:rsidRPr="00705F79">
        <w:rPr>
          <w:szCs w:val="22"/>
        </w:rPr>
        <w:t>Investiční akce</w:t>
      </w:r>
      <w:r>
        <w:rPr>
          <w:u w:color="000000"/>
        </w:rPr>
        <w:t xml:space="preserve"> (</w:t>
      </w:r>
      <w:r>
        <w:t xml:space="preserve">dotace, které Klient v souvislosti s realizací </w:t>
      </w:r>
      <w:r w:rsidR="00EC642A" w:rsidRPr="00705F79">
        <w:rPr>
          <w:szCs w:val="22"/>
        </w:rPr>
        <w:t>Investiční akce</w:t>
      </w:r>
      <w:r w:rsidR="00EC642A">
        <w:t xml:space="preserve"> </w:t>
      </w:r>
      <w:r>
        <w:t xml:space="preserve"> obdrží</w:t>
      </w:r>
      <w:r>
        <w:rPr>
          <w:color w:val="0000FF"/>
        </w:rPr>
        <w:t xml:space="preserve"> </w:t>
      </w:r>
      <w:r>
        <w:rPr>
          <w:u w:color="000000"/>
        </w:rPr>
        <w:t>z</w:t>
      </w:r>
      <w:r w:rsidR="00811A45">
        <w:rPr>
          <w:u w:color="000000"/>
        </w:rPr>
        <w:t> Evropského f</w:t>
      </w:r>
      <w:r>
        <w:rPr>
          <w:u w:color="000000"/>
        </w:rPr>
        <w:t>ond</w:t>
      </w:r>
      <w:r w:rsidR="00811A45">
        <w:rPr>
          <w:u w:color="000000"/>
        </w:rPr>
        <w:t>u pro regionální rozvoj z Integrovaného regionálního operačního programu</w:t>
      </w:r>
      <w:r>
        <w:t>)</w:t>
      </w:r>
      <w:r w:rsidR="00691AD7">
        <w:t xml:space="preserve"> v případě čerpání úvěru v souladu s účelem úvěru uvedeným pod. písm. a) odst. 1) tohoto Článku Smlouvy</w:t>
      </w:r>
      <w:r>
        <w:t>,</w:t>
      </w:r>
    </w:p>
    <w:p w:rsidR="005B47A1" w:rsidRPr="003A0528" w:rsidRDefault="005B47A1" w:rsidP="0083787D">
      <w:pPr>
        <w:numPr>
          <w:ilvl w:val="1"/>
          <w:numId w:val="4"/>
        </w:numPr>
      </w:pPr>
      <w:r w:rsidRPr="005B47A1">
        <w:rPr>
          <w:color w:val="000000"/>
        </w:rPr>
        <w:t xml:space="preserve">předložení pravomocného stavebního povolení na realizaci </w:t>
      </w:r>
      <w:r w:rsidR="00EC642A" w:rsidRPr="00705F79">
        <w:rPr>
          <w:szCs w:val="22"/>
        </w:rPr>
        <w:t>Investiční akce</w:t>
      </w:r>
      <w:r w:rsidR="00167742">
        <w:t xml:space="preserve"> a smlouvy o dílo na její realizaci – v případě čerpání úvěru v souladu s účelem úvěru uvedeným pod. písm. a) odst. 1) tohoto Článku Smlouvy,</w:t>
      </w:r>
    </w:p>
    <w:p w:rsidR="00167742" w:rsidRPr="003A0528" w:rsidRDefault="005B47A1" w:rsidP="00167742">
      <w:pPr>
        <w:numPr>
          <w:ilvl w:val="1"/>
          <w:numId w:val="4"/>
        </w:numPr>
      </w:pPr>
      <w:r>
        <w:rPr>
          <w:color w:val="000000"/>
        </w:rPr>
        <w:t xml:space="preserve">předložení kupní smlouvy, jejímž předmětem je </w:t>
      </w:r>
      <w:r w:rsidR="00167742">
        <w:rPr>
          <w:color w:val="000000"/>
        </w:rPr>
        <w:t xml:space="preserve">nákup Financovaných nemovitostí </w:t>
      </w:r>
      <w:r w:rsidR="00167742">
        <w:t>v případě čerpání úvěru v souladu s účelem úvěru uvedeným pod. písm. b) a c) odst. 1) tohoto Článku Smlouvy.</w:t>
      </w:r>
    </w:p>
    <w:p w:rsidR="00F73E07" w:rsidRDefault="00F73E07" w:rsidP="00300391">
      <w:pPr>
        <w:numPr>
          <w:ilvl w:val="0"/>
          <w:numId w:val="30"/>
        </w:numPr>
        <w:ind w:left="567" w:hanging="567"/>
      </w:pPr>
      <w:r>
        <w:rPr>
          <w:szCs w:val="22"/>
        </w:rPr>
        <w:t>Úvěr bude čerpán po předložení faktur (</w:t>
      </w:r>
      <w:r w:rsidR="00D1033C">
        <w:rPr>
          <w:szCs w:val="22"/>
        </w:rPr>
        <w:t>vč. zálohových, ty však maximálně v objemu 10 % celkové ceny Investiční akce bez DPH</w:t>
      </w:r>
      <w:r>
        <w:rPr>
          <w:szCs w:val="22"/>
        </w:rPr>
        <w:t>), účtů ap. převodem/převody peněžních prostředků z úvěrového účtu, a to:</w:t>
      </w:r>
    </w:p>
    <w:p w:rsidR="00F73E07" w:rsidRPr="00D55F93" w:rsidRDefault="00F73E07" w:rsidP="005B47A1">
      <w:pPr>
        <w:numPr>
          <w:ilvl w:val="1"/>
          <w:numId w:val="30"/>
        </w:numPr>
        <w:ind w:left="1134" w:hanging="567"/>
      </w:pPr>
      <w:r>
        <w:rPr>
          <w:szCs w:val="22"/>
        </w:rPr>
        <w:t xml:space="preserve">ve prospěch účtu Klienta uvedeného v odst. 4) tohoto Článku Smlouvy v případě: (i) jednotlivého čerpání k proplacení 5 či více faktur (účtů ap.) v souhrnné výši (protihodnotě) do =50.000,-Kč, spolu s předložením příkazu (v písemné formě) k jejich úhradě z uvedeného účtu Klienta na účet příslušného dodavatele/prodávajícího; nebo (ii) </w:t>
      </w:r>
      <w:r w:rsidRPr="00BD025F">
        <w:rPr>
          <w:szCs w:val="22"/>
        </w:rPr>
        <w:t>čerpání úvěru na úhradu dluhu (faktury, účtu) v</w:t>
      </w:r>
      <w:r>
        <w:rPr>
          <w:szCs w:val="22"/>
        </w:rPr>
        <w:t> </w:t>
      </w:r>
      <w:r w:rsidRPr="00BD025F">
        <w:rPr>
          <w:szCs w:val="22"/>
        </w:rPr>
        <w:t>jiné měně, než je měna Úvěrového limitu, spolu s</w:t>
      </w:r>
      <w:r>
        <w:rPr>
          <w:szCs w:val="22"/>
        </w:rPr>
        <w:t> </w:t>
      </w:r>
      <w:r w:rsidRPr="00BD025F">
        <w:rPr>
          <w:szCs w:val="22"/>
        </w:rPr>
        <w:t>předložením příkazu (v</w:t>
      </w:r>
      <w:r>
        <w:rPr>
          <w:szCs w:val="22"/>
        </w:rPr>
        <w:t> </w:t>
      </w:r>
      <w:r w:rsidRPr="00BD025F">
        <w:rPr>
          <w:szCs w:val="22"/>
        </w:rPr>
        <w:t>písemné formě) k</w:t>
      </w:r>
      <w:r>
        <w:rPr>
          <w:szCs w:val="22"/>
        </w:rPr>
        <w:t> </w:t>
      </w:r>
      <w:r w:rsidRPr="00BD025F">
        <w:rPr>
          <w:szCs w:val="22"/>
        </w:rPr>
        <w:t>úhradě z</w:t>
      </w:r>
      <w:r>
        <w:rPr>
          <w:szCs w:val="22"/>
        </w:rPr>
        <w:t> </w:t>
      </w:r>
      <w:r w:rsidRPr="00BD025F">
        <w:rPr>
          <w:szCs w:val="22"/>
        </w:rPr>
        <w:t xml:space="preserve">jakéhokoliv platebního účtu Klienta vedeného Bankou na účet příslušného dodavatele/prodávajícího; nebo (iii) </w:t>
      </w:r>
      <w:r>
        <w:rPr>
          <w:szCs w:val="22"/>
        </w:rPr>
        <w:t>čerpání na úhradu DPH, pokud je financování poskytováno vč. DPH a uplatní se „přenesená daňová povinnost“ ve smyslu přísl. právních předpisů,</w:t>
      </w:r>
    </w:p>
    <w:p w:rsidR="00F73E07" w:rsidRDefault="00F73E07" w:rsidP="005B47A1">
      <w:pPr>
        <w:numPr>
          <w:ilvl w:val="1"/>
          <w:numId w:val="30"/>
        </w:numPr>
        <w:ind w:left="1134" w:hanging="567"/>
      </w:pPr>
      <w:r>
        <w:rPr>
          <w:szCs w:val="22"/>
        </w:rPr>
        <w:t xml:space="preserve">ve prospěch účtu Klienta uvedeného v odst. 4) tohoto Článku Smlouvy v případě refundace částek již Klientem uhrazených v souladu s účelem úvěru po doložení, že tyto faktury, účty ap., byly Klientem příslušnému dodavateli/prodávajícímu plně uhrazeny. Refundace je možná: (i) pouze v případě částek (faktur, účtů ap.) uhrazených nad sjednaný podíl vlastních zdrojů Klienta na financování; a současně (ii) jen u faktur (účtů ap.) vystavených a zároveň i uhrazených ne dříve </w:t>
      </w:r>
      <w:r w:rsidR="00D1033C">
        <w:rPr>
          <w:szCs w:val="22"/>
        </w:rPr>
        <w:t>než 6 měsíců před uzavřením Smlouvy</w:t>
      </w:r>
      <w:r w:rsidR="00FB61BF">
        <w:rPr>
          <w:szCs w:val="22"/>
        </w:rPr>
        <w:t xml:space="preserve"> a nejpozději před splněním podmínek čerpání úvěru poskytovaného na základě Smlouvy</w:t>
      </w:r>
      <w:r>
        <w:rPr>
          <w:szCs w:val="22"/>
        </w:rPr>
        <w:t>,</w:t>
      </w:r>
    </w:p>
    <w:p w:rsidR="00F73E07" w:rsidRDefault="00F73E07" w:rsidP="005B47A1">
      <w:pPr>
        <w:numPr>
          <w:ilvl w:val="1"/>
          <w:numId w:val="30"/>
        </w:numPr>
        <w:ind w:left="1134" w:hanging="567"/>
      </w:pPr>
      <w:r>
        <w:rPr>
          <w:szCs w:val="22"/>
        </w:rPr>
        <w:t>v ostatních případech pak ve prospěch účtu příslušného dodavatele/prodávajícího,</w:t>
      </w:r>
    </w:p>
    <w:p w:rsidR="00F73E07" w:rsidRDefault="00F73E07" w:rsidP="00F73E07">
      <w:pPr>
        <w:ind w:left="567"/>
        <w:rPr>
          <w:color w:val="000000"/>
        </w:rPr>
      </w:pPr>
      <w:r>
        <w:rPr>
          <w:szCs w:val="22"/>
        </w:rPr>
        <w:t>vždy maximálně do výše dluhu vůči dodavateli s DPH sníženého o výši zaplacených záloh</w:t>
      </w:r>
      <w:r w:rsidRPr="00982E71">
        <w:rPr>
          <w:szCs w:val="22"/>
        </w:rPr>
        <w:t xml:space="preserve"> (netýká se refundace)</w:t>
      </w:r>
      <w:r>
        <w:rPr>
          <w:szCs w:val="22"/>
        </w:rPr>
        <w:t>.</w:t>
      </w:r>
    </w:p>
    <w:p w:rsidR="00CB104D" w:rsidRDefault="00D74451" w:rsidP="00300391">
      <w:pPr>
        <w:numPr>
          <w:ilvl w:val="0"/>
          <w:numId w:val="30"/>
        </w:numPr>
        <w:ind w:left="567" w:hanging="567"/>
      </w:pPr>
      <w:r>
        <w:lastRenderedPageBreak/>
        <w:t xml:space="preserve">Banka bude vystavovat výpisy z úvěrového účtu a zasílat je Klientovi způsobem sjednaným pro předávání výpisů z Klientova účtu </w:t>
      </w:r>
      <w:r>
        <w:rPr>
          <w:color w:val="000000"/>
        </w:rPr>
        <w:t>č. </w:t>
      </w:r>
      <w:r>
        <w:t>126727723</w:t>
      </w:r>
      <w:r>
        <w:rPr>
          <w:color w:val="000000"/>
        </w:rPr>
        <w:t>/0300 vedeného Bankou (dále jen "Účet")</w:t>
      </w:r>
      <w:r>
        <w:t>.</w:t>
      </w:r>
    </w:p>
    <w:p w:rsidR="00CB104D" w:rsidRDefault="00CB104D"/>
    <w:p w:rsidR="006F4499" w:rsidRDefault="006F4499" w:rsidP="006F4499">
      <w:pPr>
        <w:keepNext/>
        <w:jc w:val="center"/>
        <w:rPr>
          <w:b/>
        </w:rPr>
      </w:pPr>
      <w:r>
        <w:rPr>
          <w:b/>
        </w:rPr>
        <w:t>Článek II.</w:t>
      </w:r>
    </w:p>
    <w:p w:rsidR="006F4499" w:rsidRDefault="006F4499" w:rsidP="006F4499">
      <w:pPr>
        <w:keepNext/>
        <w:jc w:val="center"/>
        <w:rPr>
          <w:b/>
          <w:u w:val="single"/>
        </w:rPr>
      </w:pPr>
      <w:r>
        <w:rPr>
          <w:b/>
          <w:u w:val="single"/>
        </w:rPr>
        <w:t>Úročení, splácení a poplatky</w:t>
      </w:r>
    </w:p>
    <w:p w:rsidR="006F4499" w:rsidRDefault="006F4499" w:rsidP="006F4499">
      <w:pPr>
        <w:numPr>
          <w:ilvl w:val="0"/>
          <w:numId w:val="5"/>
        </w:numPr>
      </w:pPr>
      <w:r>
        <w:t xml:space="preserve">V období ode dne prvého čerpání úvěru do dne, kterým končí možnost čerpání úvěru v souladu s Článkem I. Smlouvy (dále jen "Období čerpání") </w:t>
      </w:r>
      <w:r>
        <w:rPr>
          <w:color w:val="000000"/>
        </w:rPr>
        <w:t xml:space="preserve">včetně </w:t>
      </w:r>
      <w:r>
        <w:t>je úvěr úročen pohyblivou úrokovou sazbou s přechodnou fixací, která se skládá z referenční úrokové sazby mezibankovního peněžního trhu PRIBOR 1-měsíční, a marže (přirážky) v pevné výši 0,0</w:t>
      </w:r>
      <w:r w:rsidR="00F36C60">
        <w:t>1</w:t>
      </w:r>
      <w:r>
        <w:t xml:space="preserve"> % p.a. </w:t>
      </w:r>
      <w:r w:rsidRPr="007E7F26">
        <w:t>Pokud by úroková sazba vypočtená výše uvedeným způsobem poklesla v</w:t>
      </w:r>
      <w:r>
        <w:t> </w:t>
      </w:r>
      <w:r w:rsidRPr="007E7F26">
        <w:t xml:space="preserve">některém </w:t>
      </w:r>
      <w:r>
        <w:t>o</w:t>
      </w:r>
      <w:r w:rsidRPr="007E7F26">
        <w:t xml:space="preserve">bdobí fixace pod hodnotu </w:t>
      </w:r>
      <w:r>
        <w:t>0,0</w:t>
      </w:r>
      <w:r w:rsidR="00F36C60">
        <w:t>1</w:t>
      </w:r>
      <w:r>
        <w:t> % p.a.</w:t>
      </w:r>
      <w:r w:rsidRPr="007E7F26">
        <w:t>, bude úvěr v</w:t>
      </w:r>
      <w:r>
        <w:t> </w:t>
      </w:r>
      <w:r w:rsidRPr="007E7F26">
        <w:t xml:space="preserve">příslušném </w:t>
      </w:r>
      <w:r>
        <w:t>období fixace</w:t>
      </w:r>
      <w:r w:rsidRPr="007E7F26">
        <w:t xml:space="preserve"> úročen sazbou ve</w:t>
      </w:r>
      <w:r>
        <w:t> </w:t>
      </w:r>
      <w:r w:rsidRPr="007E7F26">
        <w:t xml:space="preserve">výši </w:t>
      </w:r>
      <w:r>
        <w:t>0,0</w:t>
      </w:r>
      <w:r w:rsidR="00F36C60">
        <w:t>1</w:t>
      </w:r>
      <w:r>
        <w:t> % p.a.</w:t>
      </w:r>
      <w:r w:rsidRPr="007E7F26">
        <w:t xml:space="preserve"> (platí i pro náhradní úrokovou sazbu stanovenou dle bodu 7. ÚOP).</w:t>
      </w:r>
      <w:r>
        <w:t xml:space="preserve"> Úroková sazba stanovená tímto sjednaným způsobem je v dané výši platná vždy pro příslušné období fixace. První období fixace v rámci Období čerpání začíná prvním pracovním dnem následujícím po dni podpisu Smlouvy a končí v nejbližší následující 19. den kalendářního měsíce. Prvním dnem po skončení prvního období fixace v rámci Období čerpání počíná běh dalších období fixace, začínajících vždy prvním dnem po skončení předcházejícího období fixace a končících vždy 19.</w:t>
      </w:r>
      <w:r>
        <w:rPr>
          <w:bCs/>
          <w:iCs/>
        </w:rPr>
        <w:t xml:space="preserve"> </w:t>
      </w:r>
      <w:r>
        <w:t>den následujícího kalendářního měsíce. Pokud by první den dalšího období fixace připadl na nepracovní den, prodlužuje se trvání dosavadního období fixace mimořádně do dne předcházejícího nejbližšímu následujícímu pracovnímu dni. Poslední období fixace v rámci Období čerpání končí dnem, kterým končí Období čerpání.</w:t>
      </w:r>
    </w:p>
    <w:p w:rsidR="006F4499" w:rsidRDefault="006F4499" w:rsidP="006F4499">
      <w:pPr>
        <w:numPr>
          <w:ilvl w:val="0"/>
          <w:numId w:val="5"/>
        </w:numPr>
      </w:pPr>
      <w:r>
        <w:t>V období ode dne následujícího po dni, kterým končí Období čerpání, do dne konečné splatnosti úvěru (dále jen "Období splácení") je úvěr úročen fixní úrokovou sazbou ve výši 1,</w:t>
      </w:r>
      <w:r w:rsidR="009D2DB7">
        <w:t>56</w:t>
      </w:r>
      <w:r>
        <w:t> % p.a. V případě prodlení Klienta se splácením trvajícího po dni konečné splatnosti úvěru období fixace pokračuje a trvá do úplného splacení dluhů Klienta vyplývajících ze Smlouvy.</w:t>
      </w:r>
    </w:p>
    <w:p w:rsidR="006F4499" w:rsidRDefault="006F4499" w:rsidP="006F4499">
      <w:pPr>
        <w:numPr>
          <w:ilvl w:val="0"/>
          <w:numId w:val="5"/>
        </w:numPr>
      </w:pPr>
      <w:r w:rsidRPr="006A45D0">
        <w:t>Úrok vypočtený Bankou z</w:t>
      </w:r>
      <w:r>
        <w:t> </w:t>
      </w:r>
      <w:r w:rsidRPr="006A45D0">
        <w:t>poskytnutých</w:t>
      </w:r>
      <w:r>
        <w:t xml:space="preserve"> </w:t>
      </w:r>
      <w:r w:rsidRPr="006A45D0">
        <w:t>peněžních prostředků v</w:t>
      </w:r>
      <w:r>
        <w:t> </w:t>
      </w:r>
      <w:r w:rsidRPr="006A45D0">
        <w:t>souladu</w:t>
      </w:r>
      <w:r>
        <w:t xml:space="preserve"> </w:t>
      </w:r>
      <w:r w:rsidRPr="006A45D0">
        <w:t>se</w:t>
      </w:r>
      <w:r>
        <w:t> </w:t>
      </w:r>
      <w:r w:rsidRPr="006A45D0">
        <w:t>Smlouvou</w:t>
      </w:r>
      <w:r>
        <w:t xml:space="preserve"> se Klient zavazuje platit vždy ve 20</w:t>
      </w:r>
      <w:r>
        <w:rPr>
          <w:color w:val="000000"/>
        </w:rPr>
        <w:t>.</w:t>
      </w:r>
      <w:r>
        <w:t xml:space="preserve"> den každého kalendářního měsíce a v den konečné splatnosti úvěru. Poskytnuté peněžní prostředky se Klient zavazuje vrátit v pravidelných splátkách ve výši =</w:t>
      </w:r>
      <w:r w:rsidR="00F36C60">
        <w:t>150</w:t>
      </w:r>
      <w:r>
        <w:t>.</w:t>
      </w:r>
      <w:r w:rsidR="00F36C60">
        <w:t>0</w:t>
      </w:r>
      <w:r>
        <w:t>00</w:t>
      </w:r>
      <w:r w:rsidR="00880BF4">
        <w:t>,-</w:t>
      </w:r>
      <w:r>
        <w:t>Kč se splatností vždy k 20</w:t>
      </w:r>
      <w:r>
        <w:rPr>
          <w:color w:val="000000"/>
        </w:rPr>
        <w:t>.</w:t>
      </w:r>
      <w:r>
        <w:t xml:space="preserve"> dni každého kalendářního měsíce. První splátka ve výši =</w:t>
      </w:r>
      <w:r w:rsidR="00F36C60">
        <w:t>150</w:t>
      </w:r>
      <w:r>
        <w:t>.</w:t>
      </w:r>
      <w:r w:rsidR="00F36C60">
        <w:t>0</w:t>
      </w:r>
      <w:r>
        <w:t>00</w:t>
      </w:r>
      <w:r w:rsidR="00880BF4">
        <w:t>,-</w:t>
      </w:r>
      <w:r>
        <w:t>Kč je splatná dne 20.5.2019 a poslední splátka v</w:t>
      </w:r>
      <w:r w:rsidR="00F36C60">
        <w:t>e výši =150</w:t>
      </w:r>
      <w:r>
        <w:t>.</w:t>
      </w:r>
      <w:r w:rsidR="00F36C60">
        <w:t>0</w:t>
      </w:r>
      <w:r>
        <w:t>00</w:t>
      </w:r>
      <w:r w:rsidR="00880BF4">
        <w:t>,-</w:t>
      </w:r>
      <w:r>
        <w:t>Kč je splatná dne 20.</w:t>
      </w:r>
      <w:r w:rsidR="00880BF4">
        <w:t>4</w:t>
      </w:r>
      <w:r>
        <w:t>.20</w:t>
      </w:r>
      <w:r w:rsidR="00F36C60">
        <w:t>28</w:t>
      </w:r>
      <w:r>
        <w:t>. Klient a Banka sjednávají, že úroky, splátky úvěru a veškeré další pohledávky Banky ze Smlouvy (včetně poplatků a odměn) Banka inkasuje z Účtu, popř. v souladu s ÚOP i z kteréhokoli účtu Klienta vedeného Bankou. V případě vzniku prodlení se splácením se Klient zavazuje uhradit Bance úrok z prodlení ve výši 20 % p.a. z dlužné částky.</w:t>
      </w:r>
    </w:p>
    <w:p w:rsidR="00020085" w:rsidRPr="009E793E" w:rsidRDefault="00020085" w:rsidP="00020085">
      <w:pPr>
        <w:numPr>
          <w:ilvl w:val="0"/>
          <w:numId w:val="5"/>
        </w:numPr>
      </w:pPr>
      <w:r>
        <w:t xml:space="preserve">Smluvní strany sjednávají, že za nedočerpání Úvěrového limitu Banka nebude Klientovi účtovat žádné poplatky a sankce. </w:t>
      </w:r>
      <w:r w:rsidRPr="009E793E">
        <w:rPr>
          <w:szCs w:val="22"/>
        </w:rPr>
        <w:t>V rozsahu nedočerpané části Úvěrového limitu budou sníženy resp. vypuštěny bez náhrady postupně splátky úvěru v pořadí od poslední splátky úvěru s</w:t>
      </w:r>
      <w:r>
        <w:rPr>
          <w:szCs w:val="22"/>
        </w:rPr>
        <w:t> </w:t>
      </w:r>
      <w:r w:rsidRPr="009E793E">
        <w:rPr>
          <w:szCs w:val="22"/>
        </w:rPr>
        <w:t>tím</w:t>
      </w:r>
      <w:r>
        <w:rPr>
          <w:szCs w:val="22"/>
        </w:rPr>
        <w:t>,</w:t>
      </w:r>
      <w:r w:rsidRPr="009E793E">
        <w:rPr>
          <w:szCs w:val="22"/>
        </w:rPr>
        <w:t xml:space="preserve"> že poslední splátka úvěru může být v odlišné výši než předchozí pravidelné splátky úvěru.</w:t>
      </w:r>
    </w:p>
    <w:p w:rsidR="00020085" w:rsidRDefault="00020085" w:rsidP="00020085">
      <w:pPr>
        <w:numPr>
          <w:ilvl w:val="0"/>
          <w:numId w:val="5"/>
        </w:numPr>
      </w:pPr>
      <w:r w:rsidRPr="00E91406">
        <w:t>Klient může splatit jistinu úvěru i s úroky i dříve mimořádnou splátkou po předložení závazného písemného požadavku Bance nejpozději 1</w:t>
      </w:r>
      <w:r>
        <w:t>0</w:t>
      </w:r>
      <w:r w:rsidRPr="00E91406">
        <w:t xml:space="preserve"> pracovních dní před požadovaným termínem mimořádné splátky s</w:t>
      </w:r>
      <w:r>
        <w:t> </w:t>
      </w:r>
      <w:r w:rsidRPr="00E91406">
        <w:t>uvedením</w:t>
      </w:r>
      <w:r>
        <w:t xml:space="preserve"> </w:t>
      </w:r>
      <w:r w:rsidRPr="00E91406">
        <w:t xml:space="preserve">výše a data mimořádné splátky. </w:t>
      </w:r>
      <w:r>
        <w:t>Veškeré mimořádné splátky budou bez jakýchkoliv sankcí a poplatků.</w:t>
      </w:r>
      <w:r w:rsidRPr="00E91406">
        <w:t xml:space="preserve"> Předčasně splacený úvěr nemůže být opětovně čerpán</w:t>
      </w:r>
      <w:r>
        <w:t>.</w:t>
      </w:r>
    </w:p>
    <w:p w:rsidR="00CB104D" w:rsidRDefault="00CB104D"/>
    <w:p w:rsidR="00CB104D" w:rsidRDefault="00D74451">
      <w:pPr>
        <w:keepNext/>
        <w:jc w:val="center"/>
        <w:rPr>
          <w:b/>
        </w:rPr>
      </w:pPr>
      <w:r>
        <w:rPr>
          <w:b/>
        </w:rPr>
        <w:t>Článek III.</w:t>
      </w:r>
    </w:p>
    <w:p w:rsidR="00CB104D" w:rsidRDefault="00D74451">
      <w:pPr>
        <w:keepNext/>
        <w:jc w:val="center"/>
        <w:rPr>
          <w:b/>
        </w:rPr>
      </w:pPr>
      <w:r>
        <w:rPr>
          <w:b/>
          <w:u w:val="single"/>
        </w:rPr>
        <w:t>Zajištění</w:t>
      </w:r>
    </w:p>
    <w:p w:rsidR="00CB104D" w:rsidRDefault="00D74451" w:rsidP="00020085">
      <w:r>
        <w:rPr>
          <w:szCs w:val="22"/>
        </w:rPr>
        <w:t>Peněžní prostředky do výše Úvěrového limitu budou poskytnuty bez zajištění.</w:t>
      </w:r>
    </w:p>
    <w:p w:rsidR="00CB104D" w:rsidRDefault="00CB104D"/>
    <w:p w:rsidR="00CB104D" w:rsidRDefault="00D74451">
      <w:pPr>
        <w:keepNext/>
        <w:jc w:val="center"/>
        <w:rPr>
          <w:b/>
        </w:rPr>
      </w:pPr>
      <w:r>
        <w:rPr>
          <w:b/>
        </w:rPr>
        <w:t>Článek IV.</w:t>
      </w:r>
    </w:p>
    <w:p w:rsidR="00CB104D" w:rsidRDefault="00D74451">
      <w:pPr>
        <w:keepNext/>
        <w:jc w:val="center"/>
        <w:rPr>
          <w:b/>
          <w:u w:val="single"/>
        </w:rPr>
      </w:pPr>
      <w:r>
        <w:rPr>
          <w:b/>
          <w:u w:val="single"/>
        </w:rPr>
        <w:t>Prohlášení, závazky, oprávnění Banky a zvláštní ujednání</w:t>
      </w:r>
    </w:p>
    <w:p w:rsidR="00CB104D" w:rsidRPr="00281ACE" w:rsidRDefault="00281ACE">
      <w:pPr>
        <w:numPr>
          <w:ilvl w:val="0"/>
          <w:numId w:val="9"/>
        </w:numPr>
        <w:rPr>
          <w:bCs/>
        </w:rPr>
      </w:pPr>
      <w:r>
        <w:t>Klient prohlašuje, že plní závazky uvedené v ÚOP, jeho prohlášení obsažená v Příloze č. 1 Smlouvy jsou aktuální, pravdivá a úplná a dále prohlašuje, že ke dni uzavření Smlouvy:</w:t>
      </w:r>
    </w:p>
    <w:p w:rsidR="00281ACE" w:rsidRDefault="00281ACE" w:rsidP="00281ACE">
      <w:pPr>
        <w:numPr>
          <w:ilvl w:val="1"/>
          <w:numId w:val="9"/>
        </w:numPr>
        <w:rPr>
          <w:bCs/>
        </w:rPr>
      </w:pPr>
      <w:r>
        <w:t>má oprávnění podepsat Smlouvu, uplatnit svá práva a plnit své závazky ze Smlouvy,</w:t>
      </w:r>
    </w:p>
    <w:p w:rsidR="00281ACE" w:rsidRDefault="00281ACE" w:rsidP="00281ACE">
      <w:pPr>
        <w:numPr>
          <w:ilvl w:val="1"/>
          <w:numId w:val="9"/>
        </w:numPr>
        <w:rPr>
          <w:bCs/>
        </w:rPr>
      </w:pPr>
      <w:r>
        <w:lastRenderedPageBreak/>
        <w:t>byly učiněny veškeré úkony a získána veškerá oprávnění, která je třeba učinit a získat, aby Klient mohl zákonným způsobem podepsat Smlouvu a plnit své závazky podle ní a aby bylo zajištěno, že jeho závazky dle Smlouvy jsou platné a vymahatelné,</w:t>
      </w:r>
    </w:p>
    <w:p w:rsidR="00281ACE" w:rsidRDefault="00281ACE" w:rsidP="00281ACE">
      <w:pPr>
        <w:numPr>
          <w:ilvl w:val="1"/>
          <w:numId w:val="9"/>
        </w:numPr>
        <w:rPr>
          <w:bCs/>
        </w:rPr>
      </w:pPr>
      <w:r>
        <w:t>podepsání Smlouvy a splnění závazků Klienta podle Smlouvy není v rozporu s (i) jakoukoliv smlouvou či jinou právní skutečností, na základě níž má Klient povinnosti, (ii) jeho zakladatelským právním jednáním, v případě právnické osoby, nebo (iii) jakýmkoliv právním předpisem či soudním, rozhodčím či správním rozhodnutím týkajícím se Klienta,</w:t>
      </w:r>
    </w:p>
    <w:p w:rsidR="00281ACE" w:rsidRDefault="00281ACE" w:rsidP="00281ACE">
      <w:pPr>
        <w:numPr>
          <w:ilvl w:val="1"/>
          <w:numId w:val="9"/>
        </w:numPr>
        <w:rPr>
          <w:bCs/>
        </w:rPr>
      </w:pPr>
      <w:r>
        <w:t>Smlouva souvisí s jeho vlastním podnikáním nebo s jeho jinými ekonomickými aktivitami, má sám nebo prostřednictvím svých poradců dostatečné znalosti a zkušenosti posoudit a pochopit obsah Smlouvy a před jejím uzavřením obsah Smlouvy posoudil a plně pochopil, zvážil veškeré okolnosti a důsledky související s jejím uzavřením,</w:t>
      </w:r>
    </w:p>
    <w:p w:rsidR="00281ACE" w:rsidRDefault="00281ACE" w:rsidP="00281ACE">
      <w:pPr>
        <w:numPr>
          <w:ilvl w:val="1"/>
          <w:numId w:val="9"/>
        </w:numPr>
        <w:rPr>
          <w:bCs/>
        </w:rPr>
      </w:pPr>
      <w:r>
        <w:t>při jednání o uzavření Smlouvy mu byly sděleny všechny skutkové a právní okolnosti tak, aby se Klient mohl přesvědčit o možnosti uzavřít platnou Smlouvu a aby byl Klientovi zřejmý zájem Banky Smlouvu uzavřít,</w:t>
      </w:r>
    </w:p>
    <w:p w:rsidR="00281ACE" w:rsidRPr="00201494" w:rsidRDefault="00281ACE" w:rsidP="00281ACE">
      <w:pPr>
        <w:numPr>
          <w:ilvl w:val="1"/>
          <w:numId w:val="9"/>
        </w:numPr>
        <w:rPr>
          <w:bCs/>
        </w:rPr>
      </w:pPr>
      <w:r>
        <w:t>má k uzavření Smlouvy na dobu uvedenou ve Smlouvě vážné důvody spočívající v optima</w:t>
      </w:r>
      <w:r w:rsidR="00201494">
        <w:t>lizaci financování svých potřeb,</w:t>
      </w:r>
    </w:p>
    <w:p w:rsidR="00201494" w:rsidRDefault="00201494" w:rsidP="00201494">
      <w:pPr>
        <w:numPr>
          <w:ilvl w:val="1"/>
          <w:numId w:val="9"/>
        </w:numPr>
        <w:rPr>
          <w:szCs w:val="22"/>
        </w:rPr>
      </w:pPr>
      <w:r w:rsidRPr="00201494">
        <w:rPr>
          <w:szCs w:val="22"/>
        </w:rPr>
        <w:t xml:space="preserve">je tzv. </w:t>
      </w:r>
      <w:r w:rsidR="00691AD7">
        <w:rPr>
          <w:color w:val="000000"/>
        </w:rPr>
        <w:t>"</w:t>
      </w:r>
      <w:r w:rsidRPr="00201494">
        <w:rPr>
          <w:szCs w:val="22"/>
        </w:rPr>
        <w:t>povinným subjektem</w:t>
      </w:r>
      <w:r w:rsidR="00691AD7">
        <w:rPr>
          <w:color w:val="000000"/>
        </w:rPr>
        <w:t>"</w:t>
      </w:r>
      <w:r w:rsidRPr="00201494">
        <w:rPr>
          <w:szCs w:val="22"/>
        </w:rPr>
        <w:t xml:space="preserve"> dle § 2 Zákona o registru smluv a na Smlouvu (včetně případných dodatků) se vztahuje povinnost jejího uveřejnění</w:t>
      </w:r>
      <w:r w:rsidR="00A40DEC">
        <w:rPr>
          <w:szCs w:val="22"/>
        </w:rPr>
        <w:t xml:space="preserve"> prostřednictvím Registru smluv,</w:t>
      </w:r>
    </w:p>
    <w:p w:rsidR="00A40DEC" w:rsidRPr="00F91F1D" w:rsidRDefault="00A40DEC" w:rsidP="00A40DEC">
      <w:pPr>
        <w:numPr>
          <w:ilvl w:val="1"/>
          <w:numId w:val="9"/>
        </w:numPr>
        <w:tabs>
          <w:tab w:val="left" w:pos="1276"/>
        </w:tabs>
        <w:rPr>
          <w:u w:val="single"/>
        </w:rPr>
      </w:pPr>
      <w:r w:rsidRPr="00A321B7">
        <w:t>se seznámil se Směrnicí CE</w:t>
      </w:r>
      <w:r>
        <w:t>D</w:t>
      </w:r>
      <w:r w:rsidRPr="00A321B7">
        <w:t>B o ochraně životního prostředí a sociálních zárukách, přijatou Resolucí Správní rady CE</w:t>
      </w:r>
      <w:r>
        <w:t>D</w:t>
      </w:r>
      <w:r w:rsidRPr="00A321B7">
        <w:t xml:space="preserve">B č. 1587 (2016) (dále jen </w:t>
      </w:r>
      <w:r w:rsidRPr="00A321B7">
        <w:rPr>
          <w:szCs w:val="22"/>
        </w:rPr>
        <w:t>"</w:t>
      </w:r>
      <w:r w:rsidRPr="00CF09E3">
        <w:t>Směrnice CEDB o ochraně životního prostředí</w:t>
      </w:r>
      <w:r w:rsidRPr="00A321B7">
        <w:rPr>
          <w:szCs w:val="22"/>
        </w:rPr>
        <w:t>"</w:t>
      </w:r>
      <w:r w:rsidRPr="00A321B7">
        <w:t>) a se Směrnicí CE</w:t>
      </w:r>
      <w:r>
        <w:t>D</w:t>
      </w:r>
      <w:r w:rsidRPr="00A321B7">
        <w:t>B ohledně obstarávání dodávek, prací</w:t>
      </w:r>
      <w:r>
        <w:t> </w:t>
      </w:r>
      <w:r w:rsidRPr="00A321B7">
        <w:t>a služeb, přijat</w:t>
      </w:r>
      <w:r>
        <w:t>ou</w:t>
      </w:r>
      <w:r w:rsidRPr="00A321B7">
        <w:t xml:space="preserve"> Správní radou CE</w:t>
      </w:r>
      <w:r>
        <w:t>D</w:t>
      </w:r>
      <w:r w:rsidRPr="00A321B7">
        <w:t xml:space="preserve">B v září 2011 (dále jen </w:t>
      </w:r>
      <w:r w:rsidRPr="00A321B7">
        <w:rPr>
          <w:szCs w:val="22"/>
        </w:rPr>
        <w:t>"</w:t>
      </w:r>
      <w:r w:rsidRPr="00CF09E3">
        <w:t>Směrnice CEDB ohledně obstarávání dodávek, prací a služeb</w:t>
      </w:r>
      <w:r w:rsidRPr="00A321B7">
        <w:rPr>
          <w:szCs w:val="22"/>
        </w:rPr>
        <w:t>"</w:t>
      </w:r>
      <w:r>
        <w:t>);</w:t>
      </w:r>
      <w:r w:rsidRPr="00A321B7">
        <w:t xml:space="preserve"> </w:t>
      </w:r>
      <w:r>
        <w:t>české překlady obou výše uvedených směrnic jsou</w:t>
      </w:r>
      <w:r w:rsidRPr="00A321B7">
        <w:t xml:space="preserve"> Klientovi k dispozici na: </w:t>
      </w:r>
      <w:hyperlink r:id="rId7" w:history="1">
        <w:r w:rsidRPr="008109C6">
          <w:rPr>
            <w:rStyle w:val="Hypertextovodkaz"/>
          </w:rPr>
          <w:t>https://www.csob.cz/portal/podnikatele-firmy-a-instituce/produkty/investicni-uvery/rozvojova-banka-rady-evropy</w:t>
        </w:r>
      </w:hyperlink>
      <w:r w:rsidRPr="00A321B7">
        <w:t xml:space="preserve">(výše uvedené směrnice společně dále jen </w:t>
      </w:r>
      <w:r w:rsidRPr="00A321B7">
        <w:rPr>
          <w:szCs w:val="22"/>
        </w:rPr>
        <w:t>"</w:t>
      </w:r>
      <w:r w:rsidRPr="00CF09E3">
        <w:t>Směrnice CEDB</w:t>
      </w:r>
      <w:r w:rsidRPr="00A321B7">
        <w:rPr>
          <w:szCs w:val="22"/>
        </w:rPr>
        <w:t>"</w:t>
      </w:r>
      <w:r w:rsidRPr="00A321B7">
        <w:t>)</w:t>
      </w:r>
      <w:r>
        <w:t>; na vyžádání budou Směrnice CEDB poskyt</w:t>
      </w:r>
      <w:r w:rsidR="00876E37">
        <w:t>nuty Klientovi na pobočce Banky,</w:t>
      </w:r>
    </w:p>
    <w:p w:rsidR="00A40DEC" w:rsidRDefault="00A40DEC" w:rsidP="00A40DEC">
      <w:pPr>
        <w:numPr>
          <w:ilvl w:val="1"/>
          <w:numId w:val="9"/>
        </w:numPr>
      </w:pPr>
      <w:r w:rsidRPr="00A321B7">
        <w:t>Projekt a činnost Klienta splňuj</w:t>
      </w:r>
      <w:r>
        <w:t>í</w:t>
      </w:r>
      <w:r w:rsidRPr="00A321B7">
        <w:t> kritéria pro zařazení Projektu do Programu CE</w:t>
      </w:r>
      <w:r>
        <w:t>D</w:t>
      </w:r>
      <w:r w:rsidRPr="00A321B7">
        <w:t>B, uvedená v Příloze č.</w:t>
      </w:r>
      <w:r>
        <w:t xml:space="preserve"> 3 </w:t>
      </w:r>
      <w:r w:rsidRPr="00A321B7">
        <w:t>– „Zvláštní podmínky vyplývající ze zahrnutí financování Projektu do Programu CE</w:t>
      </w:r>
      <w:r>
        <w:t>D</w:t>
      </w:r>
      <w:r w:rsidRPr="00A321B7">
        <w:t xml:space="preserve">B“ Smlouvy a Projekt nebo činnost Klienta </w:t>
      </w:r>
      <w:r>
        <w:t>nejsou</w:t>
      </w:r>
      <w:r w:rsidRPr="00A321B7">
        <w:t xml:space="preserve"> z financování Programem CE</w:t>
      </w:r>
      <w:r>
        <w:t>D</w:t>
      </w:r>
      <w:r w:rsidRPr="00A321B7">
        <w:t>B vyloučen</w:t>
      </w:r>
      <w:r>
        <w:t>y</w:t>
      </w:r>
      <w:r w:rsidRPr="00A321B7">
        <w:t xml:space="preserve">, </w:t>
      </w:r>
    </w:p>
    <w:p w:rsidR="00A40DEC" w:rsidRPr="00A321B7" w:rsidRDefault="00A40DEC" w:rsidP="00A40DEC">
      <w:pPr>
        <w:numPr>
          <w:ilvl w:val="1"/>
          <w:numId w:val="9"/>
        </w:numPr>
        <w:rPr>
          <w:iCs/>
        </w:rPr>
      </w:pPr>
      <w:r w:rsidRPr="00A321B7">
        <w:t>s ohledem na to, že souhlasí se zahrnutím tohoto úvěru do Programu CE</w:t>
      </w:r>
      <w:r>
        <w:t>D</w:t>
      </w:r>
      <w:r w:rsidRPr="00A321B7">
        <w:t xml:space="preserve">B, </w:t>
      </w:r>
      <w:r w:rsidRPr="00A321B7">
        <w:rPr>
          <w:iCs/>
        </w:rPr>
        <w:t>Klient uznává, že Banka, CE</w:t>
      </w:r>
      <w:r>
        <w:rPr>
          <w:iCs/>
        </w:rPr>
        <w:t>D</w:t>
      </w:r>
      <w:r w:rsidRPr="00A321B7">
        <w:rPr>
          <w:iCs/>
        </w:rPr>
        <w:t>B, její pracovníci či třetí strany k tomu oprávněné ze strany Banky nebo CE</w:t>
      </w:r>
      <w:r>
        <w:rPr>
          <w:iCs/>
        </w:rPr>
        <w:t>D</w:t>
      </w:r>
      <w:r w:rsidRPr="00A321B7">
        <w:rPr>
          <w:iCs/>
        </w:rPr>
        <w:t xml:space="preserve">B, (dále společně jen </w:t>
      </w:r>
      <w:r w:rsidRPr="00A321B7">
        <w:rPr>
          <w:szCs w:val="22"/>
        </w:rPr>
        <w:t>"</w:t>
      </w:r>
      <w:r w:rsidRPr="00A321B7">
        <w:rPr>
          <w:iCs/>
        </w:rPr>
        <w:t>Oprávněné strany</w:t>
      </w:r>
      <w:r w:rsidRPr="00A321B7">
        <w:rPr>
          <w:szCs w:val="22"/>
        </w:rPr>
        <w:t>"</w:t>
      </w:r>
      <w:r w:rsidRPr="00A321B7">
        <w:rPr>
          <w:iCs/>
        </w:rPr>
        <w:t>) budou mít právo vykonávat v souvislosti se Smlouvou, s Projektem nebo s plněním Směrnic CE</w:t>
      </w:r>
      <w:r>
        <w:rPr>
          <w:iCs/>
        </w:rPr>
        <w:t>D</w:t>
      </w:r>
      <w:r w:rsidRPr="00A321B7">
        <w:rPr>
          <w:iCs/>
        </w:rPr>
        <w:t>B monitoring, posuzování, šetření, audit či kontrolu a požadovat informace ohledně Projektu, jeho souladu s platnými právními předpisy, se směrnicemi CE</w:t>
      </w:r>
      <w:r>
        <w:rPr>
          <w:iCs/>
        </w:rPr>
        <w:t>D</w:t>
      </w:r>
      <w:r w:rsidRPr="00A321B7">
        <w:rPr>
          <w:iCs/>
        </w:rPr>
        <w:t xml:space="preserve">B nebo ohledně Smlouvy a jejího plnění, a to včetně kontroly na místě v prostorách sloužících k podnikatelské či jiné činnosti Klienta, nebo subdodavatelů Klienta, </w:t>
      </w:r>
    </w:p>
    <w:p w:rsidR="00A40DEC" w:rsidRPr="00A321B7" w:rsidRDefault="00A40DEC" w:rsidP="00A40DEC">
      <w:pPr>
        <w:numPr>
          <w:ilvl w:val="1"/>
          <w:numId w:val="9"/>
        </w:numPr>
      </w:pPr>
      <w:r w:rsidRPr="00A321B7">
        <w:t>souhlasí s tím, že se Smlouvou (včetně podmínek zajištění a zajišťovacími dokumenty) může být seznámena CE</w:t>
      </w:r>
      <w:r>
        <w:t>D</w:t>
      </w:r>
      <w:r w:rsidRPr="00A321B7">
        <w:t>B, popř. Oprávněné strany a současně souhlasí s tím, aby Banka poskytovala těmto subjektům a institucím informace o skutečnostech, týkajících se Klienta, i když jsou jinak tyto informace předmětem bankovního tajemství,</w:t>
      </w:r>
    </w:p>
    <w:p w:rsidR="00A40DEC" w:rsidRPr="00A321B7" w:rsidRDefault="00A40DEC" w:rsidP="00A40DEC">
      <w:pPr>
        <w:numPr>
          <w:ilvl w:val="1"/>
          <w:numId w:val="9"/>
        </w:numPr>
        <w:rPr>
          <w:iCs/>
        </w:rPr>
      </w:pPr>
      <w:r w:rsidRPr="00A321B7">
        <w:t>s</w:t>
      </w:r>
      <w:r w:rsidRPr="00A321B7">
        <w:rPr>
          <w:iCs/>
        </w:rPr>
        <w:t>ouhlasí s tím, že CE</w:t>
      </w:r>
      <w:r>
        <w:rPr>
          <w:iCs/>
        </w:rPr>
        <w:t>D</w:t>
      </w:r>
      <w:r w:rsidRPr="00A321B7">
        <w:rPr>
          <w:iCs/>
        </w:rPr>
        <w:t>B může zveřejňovat informace o ochraně životního prostředí a sociálních zárukách v souvislosti s Projektem, a to v rozsahu a způsobem uvedeným ve</w:t>
      </w:r>
      <w:r>
        <w:rPr>
          <w:iCs/>
        </w:rPr>
        <w:t> </w:t>
      </w:r>
      <w:r w:rsidRPr="00A321B7">
        <w:rPr>
          <w:iCs/>
        </w:rPr>
        <w:t>Směrnici CE</w:t>
      </w:r>
      <w:r>
        <w:rPr>
          <w:iCs/>
        </w:rPr>
        <w:t>D</w:t>
      </w:r>
      <w:r w:rsidRPr="00A321B7">
        <w:rPr>
          <w:iCs/>
        </w:rPr>
        <w:t>B o ochraně životního prostředí,</w:t>
      </w:r>
    </w:p>
    <w:p w:rsidR="00A40DEC" w:rsidRPr="006D3CDB" w:rsidRDefault="00A40DEC" w:rsidP="00A40DEC">
      <w:pPr>
        <w:numPr>
          <w:ilvl w:val="1"/>
          <w:numId w:val="9"/>
        </w:numPr>
        <w:rPr>
          <w:szCs w:val="22"/>
        </w:rPr>
      </w:pPr>
      <w:r>
        <w:rPr>
          <w:szCs w:val="22"/>
        </w:rPr>
        <w:t xml:space="preserve">je </w:t>
      </w:r>
      <w:r w:rsidRPr="00D65812">
        <w:rPr>
          <w:szCs w:val="22"/>
        </w:rPr>
        <w:t>Projekt v souladu se zákonem č. 100/2001 Sb., o posuzování vlivů na životní prostředí a o změně některých souvisejících zákonů, v platném znění nebo v souladu s jinými předpisy týkajícími se životního prostředí a nepodléhá či kdykoliv během trvání Smlouvy nebude podléhat posouzení vlivu</w:t>
      </w:r>
      <w:r>
        <w:rPr>
          <w:szCs w:val="22"/>
        </w:rPr>
        <w:t xml:space="preserve"> Projektu</w:t>
      </w:r>
      <w:r w:rsidRPr="00D65812">
        <w:rPr>
          <w:szCs w:val="22"/>
        </w:rPr>
        <w:t xml:space="preserve"> na životní prostředí.</w:t>
      </w:r>
    </w:p>
    <w:p w:rsidR="00CB104D" w:rsidRDefault="00D74451">
      <w:pPr>
        <w:numPr>
          <w:ilvl w:val="0"/>
          <w:numId w:val="9"/>
        </w:numPr>
        <w:rPr>
          <w:bCs/>
        </w:rPr>
      </w:pPr>
      <w:r>
        <w:rPr>
          <w:color w:val="000000"/>
        </w:rPr>
        <w:t>Klient se zavazuje plnit závazky obsažené v ÚOP a dále se zavazuje:</w:t>
      </w:r>
    </w:p>
    <w:p w:rsidR="00CB104D" w:rsidRDefault="00D74451">
      <w:pPr>
        <w:numPr>
          <w:ilvl w:val="1"/>
          <w:numId w:val="29"/>
        </w:numPr>
      </w:pPr>
      <w:r>
        <w:t>předkládat Bance dokumenty a výkazy v tomto rozsahu a lhůtách:</w:t>
      </w:r>
    </w:p>
    <w:p w:rsidR="00CB104D" w:rsidRDefault="00D74451">
      <w:pPr>
        <w:numPr>
          <w:ilvl w:val="2"/>
          <w:numId w:val="10"/>
        </w:numPr>
      </w:pPr>
      <w:r>
        <w:t>konečný výkaz pro hodnocení plnění rozpočtu územních samosprávných celků a dobrovolných svazků obcí (FIN 2-12 M)</w:t>
      </w:r>
      <w:r w:rsidR="004E0ECB">
        <w:t xml:space="preserve"> za uplynulé účetní období do 31</w:t>
      </w:r>
      <w:r>
        <w:t>.7. následujícího roku, konečnou rozvahu Klienta (Úč OÚPO 3-02) včetně přílohy (Úč OÚPO 5-02) za uplynulé účetní období d</w:t>
      </w:r>
      <w:r w:rsidR="00201494">
        <w:t>o 31.7. následujícího roku,</w:t>
      </w:r>
    </w:p>
    <w:p w:rsidR="00201494" w:rsidRDefault="00201494" w:rsidP="00201494">
      <w:pPr>
        <w:numPr>
          <w:ilvl w:val="1"/>
          <w:numId w:val="10"/>
        </w:numPr>
      </w:pPr>
      <w:r>
        <w:t>vé</w:t>
      </w:r>
      <w:r w:rsidR="00691AD7">
        <w:t>st u Banky minimálně jeden účet,</w:t>
      </w:r>
    </w:p>
    <w:p w:rsidR="00691AD7" w:rsidRPr="00691AD7" w:rsidRDefault="00691AD7" w:rsidP="00691AD7">
      <w:pPr>
        <w:numPr>
          <w:ilvl w:val="1"/>
          <w:numId w:val="10"/>
        </w:numPr>
        <w:rPr>
          <w:szCs w:val="22"/>
        </w:rPr>
      </w:pPr>
      <w:r w:rsidRPr="00691AD7">
        <w:rPr>
          <w:szCs w:val="22"/>
        </w:rPr>
        <w:t>bez zbytečného odkladu, nejpozději do 3 dnů od podpisu Smlouvy, řádně uveřejnit Smlouvu v otevřeném  a strojově čitelném formátu a k ní příslušná metadata v Registru smluv v rozsahu nezbytném pro splnění této povinnosti stanovené Zákonem o registru smluv. Klient znečitelní veškeré osobní údaje osob jednajících za Smluvní strany (včetně jmen, kontaktních údajů, podpisů či podpisových vzorů) a čísla bankovních účtů, jakož i jakékoli jiné informace, o jejichž znečitelnění Banka písemně požádá Klienta, pokud to Zákon o registru smluv u takových informací umožňuje.</w:t>
      </w:r>
    </w:p>
    <w:p w:rsidR="00691AD7" w:rsidRPr="00691AD7" w:rsidRDefault="00691AD7" w:rsidP="00691AD7">
      <w:pPr>
        <w:pStyle w:val="Odstavecseseznamem"/>
        <w:ind w:left="1276" w:hanging="142"/>
        <w:jc w:val="both"/>
        <w:rPr>
          <w:sz w:val="22"/>
          <w:szCs w:val="22"/>
        </w:rPr>
      </w:pPr>
      <w:r w:rsidRPr="00691AD7">
        <w:rPr>
          <w:sz w:val="22"/>
          <w:szCs w:val="22"/>
        </w:rPr>
        <w:t>Klient dále uveřejní metadata ke Smlouvě v následující podobě:</w:t>
      </w:r>
    </w:p>
    <w:p w:rsidR="00691AD7" w:rsidRPr="00691AD7" w:rsidRDefault="00691AD7" w:rsidP="00691AD7">
      <w:pPr>
        <w:pStyle w:val="Odstavecseseznamem"/>
        <w:numPr>
          <w:ilvl w:val="0"/>
          <w:numId w:val="31"/>
        </w:numPr>
        <w:ind w:left="1134" w:firstLine="0"/>
        <w:jc w:val="both"/>
        <w:rPr>
          <w:sz w:val="22"/>
          <w:szCs w:val="22"/>
        </w:rPr>
      </w:pPr>
      <w:r w:rsidRPr="00691AD7">
        <w:rPr>
          <w:sz w:val="22"/>
          <w:szCs w:val="22"/>
        </w:rPr>
        <w:t xml:space="preserve">identifikace smluvních stran: </w:t>
      </w:r>
    </w:p>
    <w:p w:rsidR="00691AD7" w:rsidRPr="00691AD7" w:rsidRDefault="00691AD7" w:rsidP="00691AD7">
      <w:pPr>
        <w:pStyle w:val="Odstavecseseznamem"/>
        <w:numPr>
          <w:ilvl w:val="0"/>
          <w:numId w:val="31"/>
        </w:numPr>
        <w:ind w:left="1134" w:firstLine="0"/>
        <w:jc w:val="both"/>
        <w:rPr>
          <w:i/>
          <w:sz w:val="22"/>
          <w:szCs w:val="22"/>
        </w:rPr>
      </w:pPr>
      <w:r w:rsidRPr="00691AD7">
        <w:rPr>
          <w:sz w:val="22"/>
          <w:szCs w:val="22"/>
        </w:rPr>
        <w:t xml:space="preserve">vymezení předmětu smlouvy: </w:t>
      </w:r>
    </w:p>
    <w:p w:rsidR="00691AD7" w:rsidRPr="00691AD7" w:rsidRDefault="00691AD7" w:rsidP="00691AD7">
      <w:pPr>
        <w:pStyle w:val="Odstavecseseznamem"/>
        <w:numPr>
          <w:ilvl w:val="0"/>
          <w:numId w:val="31"/>
        </w:numPr>
        <w:ind w:left="1134" w:firstLine="0"/>
        <w:jc w:val="both"/>
        <w:rPr>
          <w:sz w:val="22"/>
          <w:szCs w:val="22"/>
        </w:rPr>
      </w:pPr>
      <w:r w:rsidRPr="00691AD7">
        <w:rPr>
          <w:sz w:val="22"/>
          <w:szCs w:val="22"/>
        </w:rPr>
        <w:t>cena, a pokud ji smlouva neobsahuje, hodnota předmětu smlouvy, lze-li ji určit:</w:t>
      </w:r>
    </w:p>
    <w:p w:rsidR="00691AD7" w:rsidRPr="00691AD7" w:rsidRDefault="00691AD7" w:rsidP="00691AD7">
      <w:pPr>
        <w:pStyle w:val="Odstavecseseznamem"/>
        <w:numPr>
          <w:ilvl w:val="0"/>
          <w:numId w:val="31"/>
        </w:numPr>
        <w:ind w:left="1134" w:firstLine="0"/>
        <w:jc w:val="both"/>
        <w:rPr>
          <w:sz w:val="22"/>
          <w:szCs w:val="22"/>
        </w:rPr>
      </w:pPr>
      <w:r w:rsidRPr="00691AD7">
        <w:rPr>
          <w:sz w:val="22"/>
          <w:szCs w:val="22"/>
        </w:rPr>
        <w:t>datum uzavření smlouvy:</w:t>
      </w:r>
    </w:p>
    <w:p w:rsidR="00691AD7" w:rsidRDefault="00691AD7" w:rsidP="00691AD7">
      <w:pPr>
        <w:ind w:left="1134"/>
        <w:rPr>
          <w:szCs w:val="22"/>
        </w:rPr>
      </w:pPr>
      <w:r w:rsidRPr="00691AD7">
        <w:rPr>
          <w:szCs w:val="22"/>
        </w:rPr>
        <w:t xml:space="preserve">Název dokumentu vkládaného Klientem do Registru smluv bude v následující podobě: </w:t>
      </w:r>
      <w:r w:rsidRPr="00691AD7">
        <w:rPr>
          <w:b/>
          <w:szCs w:val="22"/>
        </w:rPr>
        <w:t>RS</w:t>
      </w:r>
      <w:r w:rsidRPr="00691AD7">
        <w:rPr>
          <w:szCs w:val="22"/>
        </w:rPr>
        <w:t>_</w:t>
      </w:r>
      <w:r w:rsidRPr="003C4347">
        <w:rPr>
          <w:b/>
          <w:bCs/>
          <w:szCs w:val="22"/>
        </w:rPr>
        <w:t>Smlouv</w:t>
      </w:r>
      <w:r>
        <w:rPr>
          <w:b/>
          <w:bCs/>
          <w:szCs w:val="22"/>
        </w:rPr>
        <w:t>a</w:t>
      </w:r>
      <w:r w:rsidRPr="003C4347">
        <w:rPr>
          <w:b/>
          <w:bCs/>
          <w:szCs w:val="22"/>
        </w:rPr>
        <w:t xml:space="preserve"> o úvěru č. </w:t>
      </w:r>
      <w:r>
        <w:rPr>
          <w:b/>
          <w:bCs/>
          <w:szCs w:val="22"/>
        </w:rPr>
        <w:t>0568</w:t>
      </w:r>
      <w:r w:rsidRPr="003C4347">
        <w:rPr>
          <w:b/>
          <w:bCs/>
          <w:szCs w:val="22"/>
        </w:rPr>
        <w:t>/1</w:t>
      </w:r>
      <w:r>
        <w:rPr>
          <w:b/>
          <w:bCs/>
          <w:szCs w:val="22"/>
        </w:rPr>
        <w:t>8</w:t>
      </w:r>
      <w:r w:rsidRPr="003C4347">
        <w:rPr>
          <w:b/>
          <w:bCs/>
          <w:szCs w:val="22"/>
        </w:rPr>
        <w:t>/5650</w:t>
      </w:r>
      <w:r w:rsidRPr="00691AD7">
        <w:rPr>
          <w:szCs w:val="22"/>
        </w:rPr>
        <w:t>_</w:t>
      </w:r>
      <w:r w:rsidRPr="00691AD7">
        <w:rPr>
          <w:b/>
          <w:szCs w:val="22"/>
        </w:rPr>
        <w:t>PS71</w:t>
      </w:r>
      <w:r w:rsidRPr="00691AD7">
        <w:rPr>
          <w:szCs w:val="22"/>
        </w:rPr>
        <w:t>. Za účelem obdržení notifikace o uveřejnění Smlouvy (včetně všech dodatků) ze strany správce Registru smluv uvede Klient při zadávání metadat následující e-mailovou adresu Banky:</w:t>
      </w:r>
      <w:r>
        <w:rPr>
          <w:szCs w:val="22"/>
        </w:rPr>
        <w:t xml:space="preserve"> </w:t>
      </w:r>
      <w:r w:rsidR="002C2ACC" w:rsidRPr="002C2ACC">
        <w:rPr>
          <w:szCs w:val="22"/>
        </w:rPr>
        <w:t>X</w:t>
      </w:r>
      <w:r w:rsidR="002C2ACC">
        <w:rPr>
          <w:szCs w:val="22"/>
        </w:rPr>
        <w:t>XXXXXXXXXXX</w:t>
      </w:r>
      <w:r w:rsidR="008A4B88">
        <w:rPr>
          <w:rStyle w:val="Hypertextovodkaz"/>
          <w:szCs w:val="22"/>
        </w:rPr>
        <w:t>,</w:t>
      </w:r>
    </w:p>
    <w:p w:rsidR="00691AD7" w:rsidRDefault="00691AD7" w:rsidP="00691AD7">
      <w:pPr>
        <w:numPr>
          <w:ilvl w:val="1"/>
          <w:numId w:val="10"/>
        </w:numPr>
        <w:rPr>
          <w:szCs w:val="22"/>
        </w:rPr>
      </w:pPr>
      <w:r w:rsidRPr="00691AD7">
        <w:rPr>
          <w:szCs w:val="22"/>
        </w:rPr>
        <w:t>použít analogicky výše uvedený postup pro uveřejnění Smlouvy i pro každý dodatek, který spolu Smluvní strany ke Smlouvě v budoucnu uzavřou. Jako metadata k dodatku se vyplní metadata původní Smlouvy se zohledněním případné změny provedené dodatkem. Dodatek musí být vždy uveřejně</w:t>
      </w:r>
      <w:r w:rsidR="001036C0">
        <w:rPr>
          <w:szCs w:val="22"/>
        </w:rPr>
        <w:t>n pod ID již uveřejněné Smlouvy,</w:t>
      </w:r>
    </w:p>
    <w:p w:rsidR="00A40DEC" w:rsidRDefault="00A40DEC" w:rsidP="00A40DEC">
      <w:pPr>
        <w:numPr>
          <w:ilvl w:val="1"/>
          <w:numId w:val="10"/>
        </w:numPr>
      </w:pPr>
      <w:r>
        <w:t>použít</w:t>
      </w:r>
      <w:r w:rsidRPr="00A321B7">
        <w:t xml:space="preserve"> poskytnuté peněžní prostředky z úvěru výhradně pro účely financování </w:t>
      </w:r>
      <w:r w:rsidRPr="00CF09E3">
        <w:t>Projektu</w:t>
      </w:r>
      <w:r w:rsidRPr="00A321B7">
        <w:t xml:space="preserve"> v souladu s účelem specifikovaným v Článku I. Smlouvy,</w:t>
      </w:r>
    </w:p>
    <w:p w:rsidR="00A40DEC" w:rsidRPr="00A321B7" w:rsidRDefault="00A40DEC" w:rsidP="00A40DEC">
      <w:pPr>
        <w:ind w:left="1134" w:hanging="567"/>
      </w:pPr>
      <w:r>
        <w:t>f</w:t>
      </w:r>
      <w:r w:rsidRPr="00A321B7">
        <w:t>)</w:t>
      </w:r>
      <w:r w:rsidRPr="00A321B7">
        <w:tab/>
        <w:t>provádět svoji činnost v souladu s příslušnými právními předpisy České republiky a Evropské unie,</w:t>
      </w:r>
    </w:p>
    <w:p w:rsidR="00A40DEC" w:rsidRPr="00A321B7" w:rsidRDefault="00A40DEC" w:rsidP="00A40DEC">
      <w:pPr>
        <w:ind w:left="1134" w:hanging="567"/>
      </w:pPr>
      <w:r>
        <w:t>g</w:t>
      </w:r>
      <w:r w:rsidRPr="00A321B7">
        <w:t>)</w:t>
      </w:r>
      <w:r w:rsidRPr="00A321B7">
        <w:tab/>
      </w:r>
      <w:r>
        <w:t>mít po celou dobu trvání Smlouvy</w:t>
      </w:r>
      <w:r w:rsidRPr="00A321B7">
        <w:t xml:space="preserve"> </w:t>
      </w:r>
      <w:r>
        <w:t xml:space="preserve">k dispozici </w:t>
      </w:r>
      <w:r w:rsidRPr="00F970E4">
        <w:t xml:space="preserve">veškerá potřebná oprávnění </w:t>
      </w:r>
      <w:r>
        <w:t xml:space="preserve">vztahující se </w:t>
      </w:r>
      <w:r w:rsidRPr="00F970E4">
        <w:t xml:space="preserve">k nemovitostem, které jsou součástí Projektu, nebo s ním souvisí, povolení a oprávnění pro řádný výkon činnosti </w:t>
      </w:r>
      <w:r>
        <w:t xml:space="preserve">Klienta </w:t>
      </w:r>
      <w:r w:rsidRPr="00F970E4">
        <w:t>a pro řádné plnění jeho práv a povinností vyplývajících ze Smlouvy a z platných</w:t>
      </w:r>
      <w:r w:rsidRPr="00A321B7">
        <w:t xml:space="preserve"> právních předpisů,</w:t>
      </w:r>
    </w:p>
    <w:p w:rsidR="00A40DEC" w:rsidRPr="00A321B7" w:rsidRDefault="00A40DEC" w:rsidP="00A40DEC">
      <w:pPr>
        <w:ind w:left="1134" w:hanging="567"/>
      </w:pPr>
      <w:r>
        <w:t>h</w:t>
      </w:r>
      <w:r w:rsidRPr="00A321B7">
        <w:t>)</w:t>
      </w:r>
      <w:r w:rsidRPr="00A321B7">
        <w:tab/>
        <w:t>řádně spravovat a udržovat veškerý majetek, který je součástí Projektu, nebo s ním souvisí, provádět jeho řádnou údržbu a obnovu tak, aby tento majetek byl udržován v dobrém provozním stavu,</w:t>
      </w:r>
    </w:p>
    <w:p w:rsidR="00A40DEC" w:rsidRPr="004B0A39" w:rsidRDefault="00A40DEC" w:rsidP="00A40DEC">
      <w:pPr>
        <w:ind w:left="1134" w:hanging="567"/>
        <w:rPr>
          <w:szCs w:val="22"/>
        </w:rPr>
      </w:pPr>
      <w:r>
        <w:t>i</w:t>
      </w:r>
      <w:r w:rsidRPr="00A321B7">
        <w:t>)</w:t>
      </w:r>
      <w:r w:rsidRPr="00A321B7">
        <w:tab/>
        <w:t>umožn</w:t>
      </w:r>
      <w:r>
        <w:t>it</w:t>
      </w:r>
      <w:r w:rsidRPr="00A321B7">
        <w:t xml:space="preserve"> každé z Oprávněných stran návštěvu příslušných míst a prostor sloužících k podnikatelské či jiné činnosti Klienta, nebo zařízení, instalací a prací souvisejících s Projektem, aby Oprávněné strany mohly provádět příslušné kontroly, monitorovací, technické, hodnotící a jiné návštěvy a inspekce v souvislosti s Projektem, s vlivem Projektu na životní prostředí, na jeho soulad s platnými právními předpisy nebo se Směrnicemi CE</w:t>
      </w:r>
      <w:r>
        <w:t>D</w:t>
      </w:r>
      <w:r w:rsidRPr="00A321B7">
        <w:t>B</w:t>
      </w:r>
      <w:r>
        <w:t xml:space="preserve"> a </w:t>
      </w:r>
      <w:r w:rsidRPr="00A321B7">
        <w:t xml:space="preserve">za tímto účelem </w:t>
      </w:r>
      <w:r>
        <w:t xml:space="preserve">poskytnout </w:t>
      </w:r>
      <w:r w:rsidRPr="00A321B7">
        <w:t>Oprávněným stranám plnou součinnost</w:t>
      </w:r>
      <w:r>
        <w:t xml:space="preserve"> - </w:t>
      </w:r>
      <w:r w:rsidRPr="00A321B7">
        <w:t xml:space="preserve"> zejména jim </w:t>
      </w:r>
      <w:r>
        <w:t xml:space="preserve">poskytnout </w:t>
      </w:r>
      <w:r w:rsidRPr="00A321B7">
        <w:t xml:space="preserve">potřebné informace, </w:t>
      </w:r>
      <w:r>
        <w:t>dodat</w:t>
      </w:r>
      <w:r w:rsidRPr="00A321B7">
        <w:t xml:space="preserve"> požadované dokumenty nebo jim </w:t>
      </w:r>
      <w:r>
        <w:t>umožnit</w:t>
      </w:r>
      <w:r w:rsidRPr="00A321B7">
        <w:t xml:space="preserve"> kontrolu na místě</w:t>
      </w:r>
      <w:r>
        <w:t xml:space="preserve">; </w:t>
      </w:r>
      <w:r w:rsidRPr="004B0A39">
        <w:rPr>
          <w:szCs w:val="22"/>
        </w:rPr>
        <w:t xml:space="preserve">dle dohody </w:t>
      </w:r>
      <w:r>
        <w:rPr>
          <w:szCs w:val="22"/>
        </w:rPr>
        <w:t>S</w:t>
      </w:r>
      <w:r w:rsidRPr="004B0A39">
        <w:rPr>
          <w:szCs w:val="22"/>
        </w:rPr>
        <w:t>mluvních stran bud</w:t>
      </w:r>
      <w:r>
        <w:rPr>
          <w:szCs w:val="22"/>
        </w:rPr>
        <w:t>e</w:t>
      </w:r>
      <w:r w:rsidRPr="004B0A39">
        <w:rPr>
          <w:szCs w:val="22"/>
        </w:rPr>
        <w:t xml:space="preserve"> ustanovení </w:t>
      </w:r>
      <w:r>
        <w:rPr>
          <w:szCs w:val="22"/>
        </w:rPr>
        <w:t>uvedené v této větě před středníkem</w:t>
      </w:r>
      <w:r w:rsidRPr="004B0A39">
        <w:rPr>
          <w:szCs w:val="22"/>
        </w:rPr>
        <w:t xml:space="preserve"> účinn</w:t>
      </w:r>
      <w:r>
        <w:rPr>
          <w:szCs w:val="22"/>
        </w:rPr>
        <w:t>é</w:t>
      </w:r>
      <w:r w:rsidRPr="004B0A39">
        <w:rPr>
          <w:szCs w:val="22"/>
        </w:rPr>
        <w:t xml:space="preserve"> </w:t>
      </w:r>
      <w:r>
        <w:rPr>
          <w:szCs w:val="22"/>
        </w:rPr>
        <w:t>po dobu trvání Smlouvy a dále</w:t>
      </w:r>
      <w:r w:rsidRPr="004B0A39">
        <w:rPr>
          <w:szCs w:val="22"/>
        </w:rPr>
        <w:t xml:space="preserve"> po dobu 10 let od data sjednaného splacení úvěru ve Smlouvě bez ohledu na to, pokud by se Smluvní strany </w:t>
      </w:r>
      <w:r>
        <w:rPr>
          <w:szCs w:val="22"/>
        </w:rPr>
        <w:t xml:space="preserve">následně </w:t>
      </w:r>
      <w:r w:rsidRPr="004B0A39">
        <w:rPr>
          <w:szCs w:val="22"/>
        </w:rPr>
        <w:t xml:space="preserve">dohodly na </w:t>
      </w:r>
      <w:r>
        <w:rPr>
          <w:szCs w:val="22"/>
        </w:rPr>
        <w:t xml:space="preserve">jiném datu </w:t>
      </w:r>
      <w:r w:rsidRPr="004B0A39">
        <w:rPr>
          <w:szCs w:val="22"/>
        </w:rPr>
        <w:t>splacení úvěru,</w:t>
      </w:r>
    </w:p>
    <w:p w:rsidR="00A40DEC" w:rsidRPr="00A321B7" w:rsidRDefault="00A40DEC" w:rsidP="00A40DEC">
      <w:pPr>
        <w:ind w:left="1134" w:hanging="567"/>
      </w:pPr>
      <w:r>
        <w:t>j</w:t>
      </w:r>
      <w:r w:rsidRPr="00A321B7">
        <w:t>)</w:t>
      </w:r>
      <w:r w:rsidRPr="00A321B7">
        <w:tab/>
      </w:r>
      <w:r>
        <w:t>smluvně zavázat své sub-dodavatele tak, aby tito</w:t>
      </w:r>
      <w:r w:rsidRPr="00A321B7">
        <w:t xml:space="preserve"> </w:t>
      </w:r>
      <w:r>
        <w:t>splnili</w:t>
      </w:r>
      <w:r w:rsidRPr="00A321B7">
        <w:t xml:space="preserve"> povinnosti Klienta vyplývající z předchozího odstavce Smlouvy ve stejném rozsahu, jako Klient, </w:t>
      </w:r>
    </w:p>
    <w:p w:rsidR="00A40DEC" w:rsidRPr="00A321B7" w:rsidRDefault="00A40DEC" w:rsidP="00A40DEC">
      <w:pPr>
        <w:ind w:left="1134" w:hanging="567"/>
      </w:pPr>
      <w:r>
        <w:t>k</w:t>
      </w:r>
      <w:r w:rsidRPr="00A321B7">
        <w:t>)</w:t>
      </w:r>
      <w:r w:rsidRPr="00A321B7">
        <w:tab/>
        <w:t xml:space="preserve">dodržovat veškeré požadavky uvedené v Příloze č. </w:t>
      </w:r>
      <w:r>
        <w:t>3</w:t>
      </w:r>
      <w:r w:rsidRPr="00A321B7">
        <w:t xml:space="preserve"> - „Zvláštní podmínky vyplývající ze zahrnutí financování Projektu do Programu CE</w:t>
      </w:r>
      <w:r>
        <w:t>D</w:t>
      </w:r>
      <w:r w:rsidRPr="00A321B7">
        <w:t>B“ Smlouvy, a postupovat v souladu se Směrnicemi CE</w:t>
      </w:r>
      <w:r>
        <w:t>D</w:t>
      </w:r>
      <w:r w:rsidRPr="00A321B7">
        <w:t xml:space="preserve">B, </w:t>
      </w:r>
    </w:p>
    <w:p w:rsidR="00A40DEC" w:rsidRPr="00A321B7" w:rsidRDefault="00A40DEC" w:rsidP="00A40DEC">
      <w:pPr>
        <w:pStyle w:val="Zkladntext"/>
        <w:widowControl w:val="0"/>
        <w:suppressAutoHyphens/>
        <w:ind w:left="1134" w:hanging="567"/>
      </w:pPr>
      <w:r>
        <w:t>l</w:t>
      </w:r>
      <w:r w:rsidRPr="00A321B7">
        <w:t>)</w:t>
      </w:r>
      <w:r w:rsidRPr="00A321B7">
        <w:tab/>
      </w:r>
      <w:r>
        <w:t xml:space="preserve">provádět </w:t>
      </w:r>
      <w:r w:rsidRPr="00A321B7">
        <w:t xml:space="preserve">nákupy dodávek, prací a služeb pro Projekt v souladu s příslušnými právními předpisy Evropské </w:t>
      </w:r>
      <w:r>
        <w:t>u</w:t>
      </w:r>
      <w:r w:rsidRPr="00A321B7">
        <w:t xml:space="preserve">nie a České republiky a v souladu se Směrnicí </w:t>
      </w:r>
      <w:r>
        <w:t xml:space="preserve">CEDB </w:t>
      </w:r>
      <w:r w:rsidRPr="00A321B7">
        <w:t>ohledně obstarávání dodávek, prací a služeb, zejména dodržovat právní předpisy o zadávání veřejných zakázek, pokud se na něj či na Projekt vztahují nebo – pokud se na něj tyto předpisy nevztahují –</w:t>
      </w:r>
      <w:r>
        <w:t xml:space="preserve"> </w:t>
      </w:r>
      <w:r w:rsidRPr="00A321B7">
        <w:t xml:space="preserve">požívat vhodné metody zadávání zakázek, které zajišťují řádné získávání dodávek, prací a služeb za spravedlivé tržní ceny a své kapitálové investice činit nákladově efektivním způsobem, </w:t>
      </w:r>
    </w:p>
    <w:p w:rsidR="00A40DEC" w:rsidRPr="00A321B7" w:rsidRDefault="00A40DEC" w:rsidP="00A40DEC">
      <w:pPr>
        <w:pStyle w:val="Zkladntext"/>
        <w:widowControl w:val="0"/>
        <w:suppressAutoHyphens/>
        <w:ind w:left="1134" w:hanging="567"/>
      </w:pPr>
      <w:r>
        <w:t>m</w:t>
      </w:r>
      <w:r w:rsidRPr="00A321B7">
        <w:t>)</w:t>
      </w:r>
      <w:r w:rsidRPr="00A321B7">
        <w:tab/>
      </w:r>
      <w:r>
        <w:t xml:space="preserve">realizovat </w:t>
      </w:r>
      <w:r w:rsidRPr="00A321B7">
        <w:t>Projekt v souladu se Směrnicí CE</w:t>
      </w:r>
      <w:r>
        <w:t>D</w:t>
      </w:r>
      <w:r w:rsidRPr="00A321B7">
        <w:t>B o ochraně životního prostředí, zejména:</w:t>
      </w:r>
    </w:p>
    <w:p w:rsidR="00A40DEC" w:rsidRPr="00A321B7" w:rsidRDefault="001036C0" w:rsidP="001036C0">
      <w:pPr>
        <w:pStyle w:val="Zkladntext"/>
        <w:widowControl w:val="0"/>
        <w:numPr>
          <w:ilvl w:val="0"/>
          <w:numId w:val="33"/>
        </w:numPr>
        <w:suppressAutoHyphens/>
        <w:ind w:left="1985" w:hanging="851"/>
      </w:pPr>
      <w:r>
        <w:t xml:space="preserve">          </w:t>
      </w:r>
      <w:r w:rsidR="00A40DEC">
        <w:t xml:space="preserve">navrhnout a provádět </w:t>
      </w:r>
      <w:r w:rsidR="00A40DEC" w:rsidRPr="00A321B7">
        <w:t xml:space="preserve">Projekt tak, aby byl v souladu s Evropskými zásadami pro životní prostředí („The European Principles for the Environment – EPE“) a s příslušnými předpisy Evropské </w:t>
      </w:r>
      <w:r w:rsidR="00A40DEC">
        <w:t>u</w:t>
      </w:r>
      <w:r w:rsidR="00A40DEC" w:rsidRPr="00A321B7">
        <w:t>nie v oblasti životního prostředí se zvláštním důrazem na:</w:t>
      </w:r>
    </w:p>
    <w:p w:rsidR="00A40DEC" w:rsidRPr="00A321B7" w:rsidRDefault="001036C0" w:rsidP="001036C0">
      <w:pPr>
        <w:pStyle w:val="Zkladntext"/>
        <w:widowControl w:val="0"/>
        <w:numPr>
          <w:ilvl w:val="0"/>
          <w:numId w:val="34"/>
        </w:numPr>
        <w:suppressAutoHyphens/>
        <w:ind w:left="2835" w:hanging="850"/>
      </w:pPr>
      <w:r>
        <w:t xml:space="preserve">             </w:t>
      </w:r>
      <w:r w:rsidR="00A40DEC" w:rsidRPr="00A321B7">
        <w:t>zásady, standardy a postupy týkající se posouzení dopadů projektů na životní prostředí;</w:t>
      </w:r>
    </w:p>
    <w:p w:rsidR="00A40DEC" w:rsidRPr="00A321B7" w:rsidRDefault="001036C0" w:rsidP="001036C0">
      <w:pPr>
        <w:pStyle w:val="Zkladntext"/>
        <w:widowControl w:val="0"/>
        <w:numPr>
          <w:ilvl w:val="0"/>
          <w:numId w:val="34"/>
        </w:numPr>
        <w:suppressAutoHyphens/>
        <w:ind w:left="2835" w:hanging="850"/>
      </w:pPr>
      <w:r>
        <w:t xml:space="preserve">             </w:t>
      </w:r>
      <w:r w:rsidR="00A40DEC" w:rsidRPr="00A321B7">
        <w:t xml:space="preserve">zásady ochrany životního prostředí, hmotněprávní normy a praktiky předpokládané ve směrnicích Evropské </w:t>
      </w:r>
      <w:r w:rsidR="00A40DEC">
        <w:t>u</w:t>
      </w:r>
      <w:r w:rsidR="00A40DEC" w:rsidRPr="00A321B7">
        <w:t>nie o průmyslových emisích, vodním hospodářství a nakládání s odpady, znečišťování ovzduší a půdy, zdraví a bezpečnosti při práci a ochraně přírody, pokud lze tyto zásady, normy a praktiky aplikovat na Projekt,</w:t>
      </w:r>
    </w:p>
    <w:p w:rsidR="00A40DEC" w:rsidRPr="00A321B7" w:rsidRDefault="001036C0" w:rsidP="001036C0">
      <w:pPr>
        <w:pStyle w:val="Zkladntext"/>
        <w:widowControl w:val="0"/>
        <w:numPr>
          <w:ilvl w:val="0"/>
          <w:numId w:val="33"/>
        </w:numPr>
        <w:suppressAutoHyphens/>
        <w:ind w:left="1985" w:hanging="851"/>
      </w:pPr>
      <w:r>
        <w:t xml:space="preserve">          </w:t>
      </w:r>
      <w:r w:rsidR="00A40DEC" w:rsidRPr="00A321B7">
        <w:t>zveřejn</w:t>
      </w:r>
      <w:r w:rsidR="00A40DEC">
        <w:t>it</w:t>
      </w:r>
      <w:r w:rsidR="00A40DEC" w:rsidRPr="00A321B7">
        <w:t xml:space="preserve"> informac</w:t>
      </w:r>
      <w:r w:rsidR="00A40DEC">
        <w:t>e</w:t>
      </w:r>
      <w:r w:rsidR="00A40DEC" w:rsidRPr="00A321B7">
        <w:t xml:space="preserve"> o dopadu Projektu na životní prostředí pro</w:t>
      </w:r>
      <w:r w:rsidR="00A40DEC">
        <w:t> </w:t>
      </w:r>
      <w:r w:rsidR="00A40DEC" w:rsidRPr="00A321B7">
        <w:t>zainteresované strany v souladu s platnými právními předpisy, zejména informac</w:t>
      </w:r>
      <w:r w:rsidR="00A40DEC">
        <w:t>e</w:t>
      </w:r>
      <w:r w:rsidR="00A40DEC" w:rsidRPr="00A321B7">
        <w:t xml:space="preserve"> o sociálních rizicích a nepříznivých dopadech Projektu na životní prostředí,</w:t>
      </w:r>
    </w:p>
    <w:p w:rsidR="00A40DEC" w:rsidRPr="00A321B7" w:rsidRDefault="00A40DEC" w:rsidP="00A40DEC">
      <w:pPr>
        <w:pStyle w:val="Zkladntext"/>
        <w:widowControl w:val="0"/>
        <w:suppressAutoHyphens/>
        <w:ind w:left="1134" w:hanging="567"/>
      </w:pPr>
      <w:r w:rsidRPr="00A321B7">
        <w:t xml:space="preserve"> </w:t>
      </w:r>
      <w:r>
        <w:t>n</w:t>
      </w:r>
      <w:r w:rsidRPr="00A321B7">
        <w:t>)</w:t>
      </w:r>
      <w:r w:rsidRPr="00A321B7">
        <w:tab/>
      </w:r>
      <w:r>
        <w:t xml:space="preserve">provádět </w:t>
      </w:r>
      <w:r w:rsidRPr="00A321B7">
        <w:t xml:space="preserve">Projekt v jakékoliv </w:t>
      </w:r>
      <w:r>
        <w:t>jeho</w:t>
      </w:r>
      <w:r w:rsidRPr="00A321B7">
        <w:t xml:space="preserve"> fázi</w:t>
      </w:r>
      <w:r>
        <w:t xml:space="preserve"> tak, aby nevedl </w:t>
      </w:r>
      <w:r w:rsidRPr="00A321B7">
        <w:t xml:space="preserve">k porušování platných právních předpisů, zejména týkající se oblasti podvodů, korupce, neoprávněného využívání finančních prostředků, </w:t>
      </w:r>
      <w:r w:rsidRPr="00A321B7">
        <w:rPr>
          <w:szCs w:val="22"/>
        </w:rPr>
        <w:t>prevence legalizace výnosů z trestné činnosti, boje proti terorizmu a daňovým podvodům</w:t>
      </w:r>
      <w:r w:rsidRPr="00A321B7">
        <w:t>,</w:t>
      </w:r>
    </w:p>
    <w:p w:rsidR="00A40DEC" w:rsidRPr="001036C0" w:rsidRDefault="00A40DEC" w:rsidP="00A40DEC">
      <w:pPr>
        <w:pStyle w:val="Zkladntext"/>
        <w:widowControl w:val="0"/>
        <w:suppressAutoHyphens/>
        <w:ind w:left="1134" w:hanging="567"/>
      </w:pPr>
      <w:r>
        <w:t>o</w:t>
      </w:r>
      <w:r w:rsidRPr="00A321B7">
        <w:t>)</w:t>
      </w:r>
      <w:r w:rsidRPr="00A321B7">
        <w:tab/>
      </w:r>
      <w:r>
        <w:t>navrhnout a provádět Projekt</w:t>
      </w:r>
      <w:r w:rsidRPr="00A321B7">
        <w:t xml:space="preserve"> tak, aby jakýmkoliv způsobem neporušoval Úmluvu o ochraně lidských práv a základních svobod ze dne 4. listopadu 1950, ve znění </w:t>
      </w:r>
      <w:r w:rsidRPr="001036C0">
        <w:t>pozdějších úprav (Evropská úmluva o ochraně lidských práv) nebo Evropskou sociální chartu ze dne 3. května 1996, ve znění pozdějších úprav,</w:t>
      </w:r>
    </w:p>
    <w:p w:rsidR="00A40DEC" w:rsidRPr="001036C0" w:rsidRDefault="001036C0" w:rsidP="00A40DEC">
      <w:pPr>
        <w:pStyle w:val="Zkladntext"/>
        <w:widowControl w:val="0"/>
        <w:suppressAutoHyphens/>
        <w:ind w:left="1134" w:hanging="567"/>
        <w:rPr>
          <w:szCs w:val="22"/>
        </w:rPr>
      </w:pPr>
      <w:r w:rsidRPr="001036C0">
        <w:t>p)</w:t>
      </w:r>
      <w:r w:rsidRPr="001036C0">
        <w:tab/>
      </w:r>
      <w:r w:rsidR="00A40DEC" w:rsidRPr="001036C0">
        <w:rPr>
          <w:szCs w:val="22"/>
        </w:rPr>
        <w:t>poskytnout</w:t>
      </w:r>
      <w:r w:rsidR="00A40DEC" w:rsidRPr="001036C0">
        <w:t xml:space="preserve"> </w:t>
      </w:r>
      <w:r w:rsidR="00A40DEC" w:rsidRPr="001036C0">
        <w:rPr>
          <w:szCs w:val="22"/>
        </w:rPr>
        <w:t>bez zbytečného odkladu na požádání ze strany Banky nebo Oprávněné strany jakýkoliv dokument nebo informaci, zejména vztahující se ke Klientovi, k Projektu či poskytnutému úvěru dle Smlouvy, a to v písemné či v jiné dohodnuté podobě,</w:t>
      </w:r>
    </w:p>
    <w:p w:rsidR="00A40DEC" w:rsidRPr="001036C0" w:rsidRDefault="00A40DEC" w:rsidP="00A40DEC">
      <w:pPr>
        <w:pStyle w:val="Zkladntext"/>
        <w:widowControl w:val="0"/>
        <w:suppressAutoHyphens/>
        <w:ind w:left="1134" w:hanging="567"/>
        <w:rPr>
          <w:szCs w:val="22"/>
        </w:rPr>
      </w:pPr>
      <w:r w:rsidRPr="001036C0">
        <w:t>q)</w:t>
      </w:r>
      <w:r w:rsidRPr="001036C0">
        <w:tab/>
      </w:r>
      <w:r w:rsidRPr="001036C0">
        <w:rPr>
          <w:szCs w:val="22"/>
        </w:rPr>
        <w:t>zhotovovat, aktualizovat a uchovávat k dispozici pro Banku a Oprávněné strany následující dokumentaci:</w:t>
      </w:r>
    </w:p>
    <w:p w:rsidR="00A40DEC" w:rsidRPr="001036C0" w:rsidRDefault="001036C0" w:rsidP="00A40DEC">
      <w:pPr>
        <w:pStyle w:val="Zkladntext"/>
        <w:widowControl w:val="0"/>
        <w:numPr>
          <w:ilvl w:val="0"/>
          <w:numId w:val="32"/>
        </w:numPr>
        <w:suppressAutoHyphens/>
        <w:ind w:left="1843"/>
        <w:rPr>
          <w:szCs w:val="22"/>
        </w:rPr>
      </w:pPr>
      <w:r w:rsidRPr="001036C0">
        <w:rPr>
          <w:szCs w:val="22"/>
        </w:rPr>
        <w:t xml:space="preserve">        </w:t>
      </w:r>
      <w:r w:rsidR="00A40DEC" w:rsidRPr="001036C0">
        <w:rPr>
          <w:szCs w:val="22"/>
        </w:rPr>
        <w:t>informace nezbytné k ověření toho, že zahrnutí Projektu do Programu CEDB bylo v souladu s podmínkami Programu CEDB, včetně souladu poskytnutého úvěru s kritérii zařazení do Programu CEDB,</w:t>
      </w:r>
    </w:p>
    <w:p w:rsidR="00A40DEC" w:rsidRPr="001036C0" w:rsidRDefault="001036C0" w:rsidP="00A40DEC">
      <w:pPr>
        <w:pStyle w:val="Zkladntext"/>
        <w:widowControl w:val="0"/>
        <w:numPr>
          <w:ilvl w:val="0"/>
          <w:numId w:val="32"/>
        </w:numPr>
        <w:suppressAutoHyphens/>
        <w:ind w:left="1843"/>
        <w:rPr>
          <w:szCs w:val="22"/>
        </w:rPr>
      </w:pPr>
      <w:r w:rsidRPr="001036C0">
        <w:rPr>
          <w:szCs w:val="22"/>
        </w:rPr>
        <w:t xml:space="preserve">        </w:t>
      </w:r>
      <w:r w:rsidR="00A40DEC" w:rsidRPr="001036C0">
        <w:rPr>
          <w:szCs w:val="22"/>
        </w:rPr>
        <w:t>informace nezbytné k ověření souladu řádné implementace podmínek Programu CEDB do Smlouvy,</w:t>
      </w:r>
    </w:p>
    <w:p w:rsidR="00A40DEC" w:rsidRPr="001036C0" w:rsidRDefault="00A40DEC" w:rsidP="00A40DEC">
      <w:pPr>
        <w:pStyle w:val="Zkladntext"/>
        <w:widowControl w:val="0"/>
        <w:numPr>
          <w:ilvl w:val="0"/>
          <w:numId w:val="32"/>
        </w:numPr>
        <w:suppressAutoHyphens/>
        <w:ind w:left="1843" w:hanging="708"/>
        <w:rPr>
          <w:szCs w:val="22"/>
        </w:rPr>
      </w:pPr>
      <w:r w:rsidRPr="001036C0">
        <w:rPr>
          <w:szCs w:val="22"/>
        </w:rPr>
        <w:t>jakékoliv jiné rozumně požadované informace ze strany Banky nebo Oprávněné strany,</w:t>
      </w:r>
    </w:p>
    <w:p w:rsidR="00A40DEC" w:rsidRPr="001036C0" w:rsidRDefault="00A40DEC" w:rsidP="00A40DEC">
      <w:pPr>
        <w:pStyle w:val="Zkladntext"/>
        <w:widowControl w:val="0"/>
        <w:suppressAutoHyphens/>
        <w:ind w:left="1134" w:hanging="567"/>
        <w:rPr>
          <w:szCs w:val="22"/>
        </w:rPr>
      </w:pPr>
      <w:r w:rsidRPr="001036C0">
        <w:t>r)</w:t>
      </w:r>
      <w:r w:rsidRPr="001036C0">
        <w:tab/>
      </w:r>
      <w:r w:rsidRPr="001036C0">
        <w:rPr>
          <w:szCs w:val="22"/>
        </w:rPr>
        <w:t>pro Banku či Oprávněné strany na požádání zhotovit, poskytnout a uchovávat jakoukoliv dokumentaci spojenou se Smlouvou, Projektem, Programem CEDB a s úvěrem poskytnutým dle Smlouvy, a to i za účelem inspekce učiněné ze strany Banky či Oprávněných stran,</w:t>
      </w:r>
    </w:p>
    <w:p w:rsidR="00A40DEC" w:rsidRPr="001036C0" w:rsidRDefault="00A40DEC" w:rsidP="00A40DEC">
      <w:pPr>
        <w:pStyle w:val="Zkladntext"/>
        <w:widowControl w:val="0"/>
        <w:suppressAutoHyphens/>
        <w:ind w:left="1134" w:hanging="567"/>
        <w:rPr>
          <w:szCs w:val="22"/>
        </w:rPr>
      </w:pPr>
      <w:r w:rsidRPr="001036C0">
        <w:t>s)</w:t>
      </w:r>
      <w:r w:rsidRPr="001036C0">
        <w:tab/>
      </w:r>
      <w:r w:rsidRPr="001036C0">
        <w:rPr>
          <w:szCs w:val="22"/>
        </w:rPr>
        <w:t>v případě jakéhokoliv nedostatku v dokumentaci zjištěné ze strany Banky nebo Oprávněné strany bez zbytečného odkladu, případně ve lhůtě poskytnuté ze strany Banky nebo Oprávněné strany, postupovat v souladu s instrukcemi ze strany Banky nebo Oprávněné strany a poskytnout jakékoliv dodatečné informace rozumně požadované ze strany Banky nebo Oprávněné strany.</w:t>
      </w:r>
    </w:p>
    <w:p w:rsidR="00CB104D" w:rsidRDefault="00D74451">
      <w:pPr>
        <w:numPr>
          <w:ilvl w:val="0"/>
          <w:numId w:val="9"/>
        </w:numPr>
        <w:rPr>
          <w:szCs w:val="22"/>
        </w:rPr>
      </w:pPr>
      <w:r>
        <w:rPr>
          <w:szCs w:val="22"/>
        </w:rPr>
        <w:t>Vedle případů porušení Smlouvy obsažených v ÚOP je porušením Smlouvy též vznik následující skutečnosti či skutečností:</w:t>
      </w:r>
    </w:p>
    <w:p w:rsidR="00CB104D" w:rsidRDefault="004E0ECB">
      <w:pPr>
        <w:numPr>
          <w:ilvl w:val="1"/>
          <w:numId w:val="13"/>
        </w:numPr>
        <w:rPr>
          <w:szCs w:val="22"/>
        </w:rPr>
      </w:pPr>
      <w:r w:rsidRPr="00A40DEC">
        <w:rPr>
          <w:color w:val="000000"/>
        </w:rPr>
        <w:t xml:space="preserve">porušení kteréhokoli závazku sjednaného </w:t>
      </w:r>
      <w:r w:rsidRPr="00A40DEC">
        <w:t xml:space="preserve">v odst. 2) tohoto Článku Smlouvy, </w:t>
      </w:r>
      <w:r w:rsidRPr="00A40DEC">
        <w:rPr>
          <w:szCs w:val="22"/>
        </w:rPr>
        <w:t>přičemž u závazků předložení dokumentů či poskytnutí součinnosti v souvislosti s Programem CEDB pod písm. p) až s) se jedná o porušení, které zůstává nezhojeno po dobu delší než 5 pracovních dnů od okamžiku, kdy Banka nebo Oprávněná strana Klienta k plnění porušovaných povinností písemně vyzvala</w:t>
      </w:r>
      <w:r w:rsidR="00D74451">
        <w:t>,</w:t>
      </w:r>
    </w:p>
    <w:p w:rsidR="00CB104D" w:rsidRDefault="00D74451">
      <w:pPr>
        <w:numPr>
          <w:ilvl w:val="1"/>
          <w:numId w:val="13"/>
        </w:numPr>
      </w:pPr>
      <w:r>
        <w:t xml:space="preserve">podíl výše čistého provozního výsledku, kterým se rozumí rozdíl mezi výší opakujících se příjmů (daňové příjmy – druh příjmu 1XXX, příjmy z vlastní činnosti – druh příjmu 211X, odvody přebytků organizací s přímým vztahem – druh příjmu 212X, příjmy z pronájmu majetku – druh příjmu 213X, příjmy z úroků a realizace finančního majetku – druh příjmu 214X a neinvestičních přijatých dotací – druh příjmu 411X a 412X) a výší opakujících se výdajů (běžné výdaje – druh výdaje 5XXX s výjimkou převodů vlastním rezervním fondům – druh výdaje 5344, převodů vlastním rozpočtovým účtům – druh výdaje 5345, ostatním převodům vlastním fondům – druh výdaje </w:t>
      </w:r>
      <w:smartTag w:uri="urn:schemas-microsoft-com:office:smarttags" w:element="metricconverter">
        <w:smartTagPr>
          <w:attr w:name="ProductID" w:val="5349 a"/>
        </w:smartTagPr>
        <w:r>
          <w:t>5349 a</w:t>
        </w:r>
      </w:smartTag>
      <w:r>
        <w:t xml:space="preserve"> ostatních neinvestičních výdajů – druh výdaje 59XX) k výši dluhové služby (splátky krátkodobých vydaných dluhopisů a přijatých krátkodobých </w:t>
      </w:r>
      <w:r w:rsidR="00361550">
        <w:t>za</w:t>
      </w:r>
      <w:r>
        <w:t xml:space="preserve">půjčených prostředků, splátek dlouhodobých vydaných dluhopisů a dlouhodobých </w:t>
      </w:r>
      <w:r w:rsidR="00361550">
        <w:t>za</w:t>
      </w:r>
      <w:r>
        <w:t>půjčených prostředků), to vše dle Výkazu pro hodnocení plnění rozpočtu územních samosprávných celků, regionálních rad a dobrovolných svazků obcí (ÚFIS-50M), vyjádřený v procentech, poklesne pod hodnotu 110 %, přičemž rozhodným dnem je vždy poslední de</w:t>
      </w:r>
      <w:r w:rsidR="004E0ECB">
        <w:t>n příslušného kalendářního roku.</w:t>
      </w:r>
    </w:p>
    <w:p w:rsidR="00CB104D" w:rsidRDefault="00D74451">
      <w:pPr>
        <w:numPr>
          <w:ilvl w:val="0"/>
          <w:numId w:val="9"/>
        </w:numPr>
        <w:rPr>
          <w:szCs w:val="22"/>
        </w:rPr>
      </w:pPr>
      <w:r>
        <w:rPr>
          <w:color w:val="000000"/>
        </w:rPr>
        <w:t>Nastane-li případ porušení Smlouvy je Banka, vedle opatření obsažených v ÚOP, oprávněna přijmout i tato opatření:</w:t>
      </w:r>
    </w:p>
    <w:p w:rsidR="00CB104D" w:rsidRDefault="007B3864">
      <w:pPr>
        <w:numPr>
          <w:ilvl w:val="1"/>
          <w:numId w:val="14"/>
        </w:numPr>
        <w:rPr>
          <w:szCs w:val="22"/>
        </w:rPr>
      </w:pPr>
      <w:r>
        <w:rPr>
          <w:color w:val="000000"/>
        </w:rPr>
        <w:t>v případě, že jde o porušení Smlouvy způsobené nedodržením/porušením jednoho či více závazků Klienta vyplývajících ze Smlouvy a</w:t>
      </w:r>
      <w:r w:rsidR="001F6436">
        <w:rPr>
          <w:color w:val="000000"/>
        </w:rPr>
        <w:t>/</w:t>
      </w:r>
      <w:r>
        <w:rPr>
          <w:color w:val="000000"/>
        </w:rPr>
        <w:t xml:space="preserve">nebo z ÚOP, je Banka dále oprávněna požadovat zaplacení smluvní pokuty ve výši </w:t>
      </w:r>
      <w:r>
        <w:t>=100.000,</w:t>
      </w:r>
      <w:r>
        <w:noBreakHyphen/>
        <w:t xml:space="preserve">Kč. </w:t>
      </w:r>
      <w:r>
        <w:rPr>
          <w:bCs/>
          <w:iCs/>
          <w:szCs w:val="22"/>
        </w:rPr>
        <w:t>Klient se zavazuje smluvní pokutu Bance zaplatit do 5 pracovních dní od doručení písemné výzvy Banky k úhradě smluvní pokuty Klientovi. Ustanovením o smluvní pokutě není dotčeno právo Banky na náhradu škody v plné výši včetně práva na náhradu škody nad rámec smluvní pokuty</w:t>
      </w:r>
      <w:r>
        <w:t>.</w:t>
      </w:r>
    </w:p>
    <w:p w:rsidR="007B3864" w:rsidRDefault="005101D3" w:rsidP="007B3864">
      <w:pPr>
        <w:numPr>
          <w:ilvl w:val="0"/>
          <w:numId w:val="9"/>
        </w:numPr>
        <w:rPr>
          <w:szCs w:val="22"/>
        </w:rPr>
      </w:pPr>
      <w:r w:rsidRPr="007E2E0B">
        <w:rPr>
          <w:szCs w:val="22"/>
        </w:rPr>
        <w:t>Banka nenese odpovědnost za</w:t>
      </w:r>
      <w:r>
        <w:rPr>
          <w:szCs w:val="22"/>
        </w:rPr>
        <w:t> </w:t>
      </w:r>
      <w:r w:rsidRPr="007E2E0B">
        <w:rPr>
          <w:szCs w:val="22"/>
        </w:rPr>
        <w:t>případnou újmu, která může Klientovi vzniknout uplatněním práv Banky</w:t>
      </w:r>
      <w:r>
        <w:rPr>
          <w:szCs w:val="22"/>
        </w:rPr>
        <w:t xml:space="preserve"> dle Smlouvy či dle právních předpisů</w:t>
      </w:r>
      <w:r w:rsidRPr="007E2E0B">
        <w:rPr>
          <w:szCs w:val="22"/>
        </w:rPr>
        <w:t>. Klient se vzdáv</w:t>
      </w:r>
      <w:r>
        <w:rPr>
          <w:szCs w:val="22"/>
        </w:rPr>
        <w:t>á jakýchkoliv případných práv a </w:t>
      </w:r>
      <w:r w:rsidRPr="007E2E0B">
        <w:rPr>
          <w:szCs w:val="22"/>
        </w:rPr>
        <w:t>nároků</w:t>
      </w:r>
      <w:r>
        <w:rPr>
          <w:szCs w:val="22"/>
        </w:rPr>
        <w:t xml:space="preserve"> založených jednáním Banky před </w:t>
      </w:r>
      <w:r w:rsidRPr="007E2E0B">
        <w:rPr>
          <w:szCs w:val="22"/>
        </w:rPr>
        <w:t xml:space="preserve">uzavřením </w:t>
      </w:r>
      <w:r>
        <w:rPr>
          <w:szCs w:val="22"/>
        </w:rPr>
        <w:t xml:space="preserve">právě </w:t>
      </w:r>
      <w:r w:rsidRPr="007E2E0B">
        <w:rPr>
          <w:szCs w:val="22"/>
        </w:rPr>
        <w:t>této Smlouvy.</w:t>
      </w:r>
    </w:p>
    <w:p w:rsidR="00CB104D" w:rsidRDefault="00CB104D">
      <w:pPr>
        <w:pStyle w:val="Zkladntext"/>
        <w:tabs>
          <w:tab w:val="left" w:pos="567"/>
        </w:tabs>
      </w:pPr>
    </w:p>
    <w:p w:rsidR="00CB104D" w:rsidRDefault="00D74451">
      <w:pPr>
        <w:keepNext/>
        <w:jc w:val="center"/>
        <w:rPr>
          <w:b/>
        </w:rPr>
      </w:pPr>
      <w:r>
        <w:rPr>
          <w:b/>
        </w:rPr>
        <w:t>Článek V.</w:t>
      </w:r>
    </w:p>
    <w:p w:rsidR="00CB104D" w:rsidRDefault="00D74451">
      <w:pPr>
        <w:keepNext/>
        <w:jc w:val="center"/>
        <w:rPr>
          <w:b/>
          <w:u w:val="single"/>
        </w:rPr>
      </w:pPr>
      <w:r>
        <w:rPr>
          <w:b/>
          <w:u w:val="single"/>
        </w:rPr>
        <w:t>Závěrečná ustanovení</w:t>
      </w:r>
    </w:p>
    <w:p w:rsidR="00691AD7" w:rsidRPr="00691AD7" w:rsidRDefault="00E53B6F" w:rsidP="00691AD7">
      <w:pPr>
        <w:numPr>
          <w:ilvl w:val="0"/>
          <w:numId w:val="18"/>
        </w:numPr>
        <w:tabs>
          <w:tab w:val="clear" w:pos="1080"/>
        </w:tabs>
        <w:rPr>
          <w:szCs w:val="22"/>
        </w:rPr>
      </w:pPr>
      <w:r w:rsidRPr="00691AD7">
        <w:rPr>
          <w:szCs w:val="22"/>
        </w:rPr>
        <w:t>Smlouva nabývá platnosti a účinnosti dnem jejího podpisu Smluvními stranami.</w:t>
      </w:r>
      <w:r w:rsidR="00691AD7" w:rsidRPr="00691AD7">
        <w:rPr>
          <w:szCs w:val="22"/>
        </w:rPr>
        <w:t xml:space="preserve"> Účinnosti nabývá dnem jejího uveřejnění v Registru smluv.</w:t>
      </w:r>
    </w:p>
    <w:p w:rsidR="00691AD7" w:rsidRPr="00691AD7" w:rsidRDefault="00691AD7" w:rsidP="00691AD7">
      <w:pPr>
        <w:numPr>
          <w:ilvl w:val="0"/>
          <w:numId w:val="18"/>
        </w:numPr>
        <w:tabs>
          <w:tab w:val="clear" w:pos="1080"/>
        </w:tabs>
        <w:rPr>
          <w:szCs w:val="22"/>
        </w:rPr>
      </w:pPr>
      <w:r w:rsidRPr="00691AD7">
        <w:rPr>
          <w:szCs w:val="22"/>
        </w:rPr>
        <w:t>Smluvní strany se dohodly, že Banka je oprávněna uveřejnit Smlouvu (včetně případných dodatků a souvisejících dokumentů) a příslušná metadata v Registru smluv v rozsahu nezbytném pro splnění této povinnosti stanovené Zákonem o registru smluv. Banka znečitelní veškeré osobní údaje osob jednajících za Smluvní strany (včetně jmen, kontaktních údajů, podpisů či podpisových vzorů) a čísla bankovních účtů, jakož i jakékoli jiné informace, o jejichž znečitelnění Klient písemně požádá Banku, pokud to Zákon o registru smlu</w:t>
      </w:r>
      <w:r>
        <w:rPr>
          <w:szCs w:val="22"/>
        </w:rPr>
        <w:t>v u takových informací umožňuje.</w:t>
      </w:r>
    </w:p>
    <w:p w:rsidR="00E53B6F" w:rsidRDefault="00E53B6F" w:rsidP="00E53B6F">
      <w:pPr>
        <w:numPr>
          <w:ilvl w:val="0"/>
          <w:numId w:val="18"/>
        </w:numPr>
        <w:tabs>
          <w:tab w:val="clear" w:pos="1080"/>
          <w:tab w:val="left" w:pos="567"/>
        </w:tabs>
      </w:pPr>
      <w:r>
        <w:t>V případě neplatnosti či neúčinnosti či zdánlivosti jednotlivých ustanovení Smlouvy nebudou dotčena její ostatní ustanovení. Smluvní strany se tímto zavazují, že učiní veškeré kroky nezbytné k nahrazení takového neplatného, neúčinného nebo zdánlivého ustanovení jiným ustanovením, které bude platné, účinné a vymahatelné a bude odpovídat účelu nahrazovaného ustanovení a celé Smlouvy.</w:t>
      </w:r>
    </w:p>
    <w:p w:rsidR="00E53B6F" w:rsidRDefault="00E53B6F" w:rsidP="00E53B6F">
      <w:pPr>
        <w:numPr>
          <w:ilvl w:val="0"/>
          <w:numId w:val="18"/>
        </w:numPr>
        <w:tabs>
          <w:tab w:val="clear" w:pos="1080"/>
          <w:tab w:val="left" w:pos="567"/>
        </w:tabs>
      </w:pPr>
      <w:r>
        <w:t>Smlouva může být měněna nebo doplňována pouze na základě dohody Smluvních stran formou písemného dodatku.</w:t>
      </w:r>
    </w:p>
    <w:p w:rsidR="00E53B6F" w:rsidRDefault="00E53B6F" w:rsidP="00E53B6F">
      <w:pPr>
        <w:numPr>
          <w:ilvl w:val="0"/>
          <w:numId w:val="18"/>
        </w:numPr>
        <w:tabs>
          <w:tab w:val="clear" w:pos="1080"/>
          <w:tab w:val="left" w:pos="567"/>
        </w:tabs>
      </w:pPr>
      <w:r>
        <w:t>Smluvní strany tímto sjednávají, že v právních vztazích založených Smlouvou se nepřihlíží k</w:t>
      </w:r>
      <w:r w:rsidR="00D324AD">
        <w:t> </w:t>
      </w:r>
      <w:r>
        <w:t>jakýmkoliv</w:t>
      </w:r>
      <w:r w:rsidR="00D324AD">
        <w:t xml:space="preserve"> </w:t>
      </w:r>
      <w:r>
        <w:t>zvyklostem a zavedené praxi stran a obchodním zvyklostem.</w:t>
      </w:r>
    </w:p>
    <w:p w:rsidR="00707E7C" w:rsidRDefault="00963D0C" w:rsidP="00E53B6F">
      <w:pPr>
        <w:numPr>
          <w:ilvl w:val="0"/>
          <w:numId w:val="18"/>
        </w:numPr>
        <w:tabs>
          <w:tab w:val="clear" w:pos="1080"/>
          <w:tab w:val="left" w:pos="567"/>
        </w:tabs>
      </w:pPr>
      <w:r>
        <w:t>Nastane-li případ porušení Smlouvy, je Banka oprávněna svá práva a povinnosti dle Smlouvy o úvěru postoupit či převést (a to i formou postoupení Smlouvy o úvěru) v celém jejich rozsahu, nebo zčásti, na jinou osobu, a Klient pro takový případ souhlasí s poskytnutím informací (bankovního tajemství) vyplývajících ze Smlouvy o úvěru takové osobě.</w:t>
      </w:r>
      <w:r w:rsidRPr="00507632">
        <w:t xml:space="preserve"> Jinak je Banka oprávněna svá práva a povinnosti dle Smlouvy postoupit či převést (a to i formou postoupení Smlouvy) v celém jejich rozsahu, nebo zčásti, pouze na banku </w:t>
      </w:r>
      <w:r>
        <w:t>nebo pobočku zahraniční banky a </w:t>
      </w:r>
      <w:r w:rsidRPr="00507632">
        <w:t>pouze s předchozím souhlasem Klienta, přičemž tento souhlas nebude Klientem bezdůvodně odepřen.</w:t>
      </w:r>
    </w:p>
    <w:p w:rsidR="00E53B6F" w:rsidRDefault="00E53B6F" w:rsidP="00E53B6F">
      <w:pPr>
        <w:numPr>
          <w:ilvl w:val="0"/>
          <w:numId w:val="18"/>
        </w:numPr>
        <w:tabs>
          <w:tab w:val="clear" w:pos="1080"/>
          <w:tab w:val="left" w:pos="567"/>
        </w:tabs>
      </w:pPr>
      <w:r>
        <w:t>Klient není oprávněn převést na jinou osobu jak</w:t>
      </w:r>
      <w:r w:rsidR="00445EB7">
        <w:t>á</w:t>
      </w:r>
      <w:r>
        <w:t>koliv práva nebo povinnosti ze Smlouvy bez předchozího písemného souhlasu Banky.</w:t>
      </w:r>
    </w:p>
    <w:p w:rsidR="00E53B6F" w:rsidRDefault="00E53B6F" w:rsidP="00E53B6F">
      <w:pPr>
        <w:numPr>
          <w:ilvl w:val="0"/>
          <w:numId w:val="18"/>
        </w:numPr>
        <w:tabs>
          <w:tab w:val="clear" w:pos="1080"/>
          <w:tab w:val="left" w:pos="567"/>
        </w:tabs>
      </w:pPr>
      <w:r>
        <w:t>Dluhy Klienta vzniklé na základě a/nebo v souvislosti se Smlouvou jsou bez předchozího písemného souhlasu Banky nepřevoditelné ani jinak nepřecházejí na třetí osobu. Smluvní strany se dohodly, že v maximálním rozsahu dovoleném právními předpisy se jakákoli zákonná ustanovení umožňující bez předchozího písemného souhlasu Banky převod a/nebo přechod dluhů Klienta vzniklých na základě nebo v souvislosti se Smlouvou nepoužijí.</w:t>
      </w:r>
    </w:p>
    <w:p w:rsidR="00E53B6F" w:rsidRDefault="00E53B6F" w:rsidP="00E53B6F">
      <w:pPr>
        <w:numPr>
          <w:ilvl w:val="0"/>
          <w:numId w:val="18"/>
        </w:numPr>
        <w:tabs>
          <w:tab w:val="clear" w:pos="1080"/>
          <w:tab w:val="left" w:pos="567"/>
        </w:tabs>
      </w:pPr>
      <w:r>
        <w:t>Banka je oprávněna započítat své splatné i nesplatné pohledávky za Klientem na jakékoliv splatné i nesplatné pohledávky Klienta za Bankou, a to i na pohledávky Klienta za Bankou vzniklé Klientovi v souvislosti s vedením jeho účtů a jednorázových vkladů u Banky. Klient není oprávněn jednostranně započíst jakékoliv své pohledávky za Bankou na pohledávky Banky za Klientem. Klient výslovně prohlašuje, že mu ustanovení tohoto odstavce a Článku Smlouvy bylo vysvětleno, že mu rozumí a že s ním souhlasí.</w:t>
      </w:r>
    </w:p>
    <w:p w:rsidR="00E53B6F" w:rsidRDefault="00E53B6F" w:rsidP="00E53B6F">
      <w:pPr>
        <w:numPr>
          <w:ilvl w:val="0"/>
          <w:numId w:val="18"/>
        </w:numPr>
        <w:tabs>
          <w:tab w:val="clear" w:pos="1080"/>
          <w:tab w:val="left" w:pos="567"/>
        </w:tabs>
      </w:pPr>
      <w:r>
        <w:t>Při převodu jakéhokoli předmětu zástavního práva nebo jiné věci tvořící jistotu (zajišťující dluhy Klienta vzniklé na základě nebo v souvislosti se Smlouvou) nepřechází na jejich nabyvatele dluhy Klienta vůči Bance vzniklé na základě nebo v souvislosti se Smlouvou.</w:t>
      </w:r>
    </w:p>
    <w:p w:rsidR="00E53B6F" w:rsidRDefault="00E53B6F" w:rsidP="00E53B6F">
      <w:pPr>
        <w:numPr>
          <w:ilvl w:val="0"/>
          <w:numId w:val="18"/>
        </w:numPr>
        <w:tabs>
          <w:tab w:val="clear" w:pos="1080"/>
          <w:tab w:val="left" w:pos="567"/>
        </w:tabs>
      </w:pPr>
      <w:r>
        <w:t>Tato Smlouva nahrazuje veškerá předchozí ústní nebo písemná ujednání související s</w:t>
      </w:r>
      <w:r w:rsidR="00D324AD">
        <w:t> </w:t>
      </w:r>
      <w:r>
        <w:t>předmětem</w:t>
      </w:r>
      <w:r w:rsidR="00D324AD">
        <w:t xml:space="preserve"> </w:t>
      </w:r>
      <w:r>
        <w:t>Smlouvy. Žádná ze Smluvních stran se nemůže dovolávat žádné dohody či ujednání, které nejsou explicitně uvedeny ve Smlouvě.</w:t>
      </w:r>
    </w:p>
    <w:p w:rsidR="00E53B6F" w:rsidRDefault="00E53B6F" w:rsidP="00E53B6F">
      <w:pPr>
        <w:numPr>
          <w:ilvl w:val="0"/>
          <w:numId w:val="18"/>
        </w:numPr>
        <w:tabs>
          <w:tab w:val="clear" w:pos="1080"/>
          <w:tab w:val="left" w:pos="567"/>
        </w:tabs>
      </w:pPr>
      <w:r>
        <w:t xml:space="preserve">Klient </w:t>
      </w:r>
      <w:r w:rsidR="00963D0C">
        <w:t xml:space="preserve">i Banka </w:t>
      </w:r>
      <w:r>
        <w:t>tímto na sebe přebír</w:t>
      </w:r>
      <w:r w:rsidR="00963D0C">
        <w:t>ají</w:t>
      </w:r>
      <w:r>
        <w:t xml:space="preserve"> nebezpečí změny okolností ve</w:t>
      </w:r>
      <w:r w:rsidR="00963D0C">
        <w:t> </w:t>
      </w:r>
      <w:r>
        <w:t>smyslu § 1765 odst. 2</w:t>
      </w:r>
      <w:r w:rsidR="00A32A86">
        <w:t>)</w:t>
      </w:r>
      <w:r>
        <w:t xml:space="preserve"> Občanského zákoníku.</w:t>
      </w:r>
    </w:p>
    <w:p w:rsidR="00E53B6F" w:rsidRDefault="00E53B6F" w:rsidP="00E53B6F">
      <w:pPr>
        <w:numPr>
          <w:ilvl w:val="0"/>
          <w:numId w:val="18"/>
        </w:numPr>
        <w:tabs>
          <w:tab w:val="clear" w:pos="1080"/>
          <w:tab w:val="left" w:pos="567"/>
        </w:tabs>
      </w:pPr>
      <w:r>
        <w:t>Pokud se kterákoli Smluvní strana vzdá nároku z porušení jakéhokoli ustanovení Smlouvy, nebude to znamenat nebo se vykládat jako vzdání se nároku z kteréhokoli jiného ustanovení Smlouvy, ani jako vzdání se nároku z jakéhokoli dalšího porušení daného ustanovení. Žádné prodloužení lhůty pro plnění kteréhokoli závazku či opatření podle Smlouvy nebude považováno za prodloužení lhůty pro příští plnění daného závazku nebo opatření, nebo jakéhokoli jiného závazku či opatření. Neuplatnění či prodleva při uplatnění jakéhokoli práva nebo jakékoli podmínky nebude předpokládat, že se jich kterákoliv Smluvní strana vzdala. Žádné zřeknutí se jakéhokoli práva nebo podmínky nebude účinné, nebude-li písemné.</w:t>
      </w:r>
    </w:p>
    <w:p w:rsidR="00CB104D" w:rsidRDefault="00E53B6F" w:rsidP="00E53B6F">
      <w:pPr>
        <w:numPr>
          <w:ilvl w:val="0"/>
          <w:numId w:val="18"/>
        </w:numPr>
        <w:tabs>
          <w:tab w:val="clear" w:pos="1080"/>
          <w:tab w:val="left" w:pos="567"/>
        </w:tabs>
      </w:pPr>
      <w:r>
        <w:t>Smluvní strany tímto sjednávají, že v případě jakéhokoliv ukončení Smlouvy bude mít takovéto ukončení účinky pouze do budoucna.</w:t>
      </w:r>
    </w:p>
    <w:p w:rsidR="00CB104D" w:rsidRDefault="00E53B6F">
      <w:pPr>
        <w:numPr>
          <w:ilvl w:val="0"/>
          <w:numId w:val="18"/>
        </w:numPr>
        <w:tabs>
          <w:tab w:val="clear" w:pos="1080"/>
          <w:tab w:val="left" w:pos="567"/>
        </w:tabs>
      </w:pPr>
      <w:r>
        <w:t>Smlouva byla vyhotovena ve dvou stejnopisech, z nichž obdrží každá ze Smluvních stran po jednom. Oba stejnopisy Smlouvy mají právní význam originálu. Smluvní strany svými podpisy potvrzují, že po projednání Smlouvy se shodly na jejím obsahu ve všech bodech a Smlouvu uzavírají na základě své pravé a svobodné vůle.</w:t>
      </w:r>
    </w:p>
    <w:p w:rsidR="00CB104D" w:rsidRDefault="00CB104D">
      <w:pPr>
        <w:pStyle w:val="Zkladntext"/>
        <w:tabs>
          <w:tab w:val="left" w:pos="567"/>
        </w:tabs>
      </w:pPr>
    </w:p>
    <w:p w:rsidR="00CB104D" w:rsidRDefault="00D74451">
      <w:pPr>
        <w:keepNext/>
        <w:rPr>
          <w:u w:val="single"/>
        </w:rPr>
      </w:pPr>
      <w:r>
        <w:rPr>
          <w:u w:val="single"/>
        </w:rPr>
        <w:t>V příloze:</w:t>
      </w:r>
    </w:p>
    <w:p w:rsidR="00CB104D" w:rsidRDefault="00D74451">
      <w:r>
        <w:t>Příloha č. 1 - Prohlášení o vzájemných vazbách k jiným subjektům a doplňující informace</w:t>
      </w:r>
    </w:p>
    <w:p w:rsidR="00E53B6F" w:rsidRDefault="00E53B6F">
      <w:r>
        <w:t>Příloha č. 2 - ÚOP</w:t>
      </w:r>
    </w:p>
    <w:p w:rsidR="00CB104D" w:rsidRDefault="00A40DEC">
      <w:r w:rsidRPr="00A321B7">
        <w:t xml:space="preserve">Příloze č. </w:t>
      </w:r>
      <w:r>
        <w:t>3</w:t>
      </w:r>
      <w:r w:rsidRPr="00A321B7">
        <w:t xml:space="preserve"> - Zvláštní podmínky vyplývající ze zahrnutí financování Projektu do Programu CE</w:t>
      </w:r>
      <w:r>
        <w:t>DB</w:t>
      </w:r>
    </w:p>
    <w:p w:rsidR="00AF50A5" w:rsidRDefault="00AF50A5">
      <w:pPr>
        <w:keepNext/>
      </w:pPr>
    </w:p>
    <w:p w:rsidR="00AF50A5" w:rsidRDefault="00AF50A5">
      <w:pPr>
        <w:keepNext/>
      </w:pPr>
    </w:p>
    <w:p w:rsidR="00CB104D" w:rsidRDefault="00AF50A5">
      <w:pPr>
        <w:keepNext/>
      </w:pPr>
      <w:r>
        <w:t>V Náchodě dne 19.4.2018</w:t>
      </w:r>
    </w:p>
    <w:p w:rsidR="00CB104D" w:rsidRDefault="00CB104D">
      <w:pPr>
        <w:keepNext/>
      </w:pPr>
    </w:p>
    <w:tbl>
      <w:tblPr>
        <w:tblW w:w="9072" w:type="dxa"/>
        <w:jc w:val="center"/>
        <w:tblLayout w:type="fixed"/>
        <w:tblCellMar>
          <w:left w:w="0" w:type="dxa"/>
          <w:right w:w="0" w:type="dxa"/>
        </w:tblCellMar>
        <w:tblLook w:val="01E0"/>
      </w:tblPr>
      <w:tblGrid>
        <w:gridCol w:w="4366"/>
        <w:gridCol w:w="340"/>
        <w:gridCol w:w="4366"/>
      </w:tblGrid>
      <w:tr w:rsidR="00F27B54" w:rsidTr="00F27B54">
        <w:trPr>
          <w:jc w:val="center"/>
        </w:trPr>
        <w:tc>
          <w:tcPr>
            <w:tcW w:w="4366" w:type="dxa"/>
            <w:tcBorders>
              <w:bottom w:val="dotted" w:sz="8" w:space="0" w:color="auto"/>
            </w:tcBorders>
            <w:shd w:val="clear" w:color="auto" w:fill="auto"/>
          </w:tcPr>
          <w:p w:rsidR="0082176D" w:rsidRPr="00F27B54" w:rsidRDefault="0082176D" w:rsidP="00F27B54">
            <w:pPr>
              <w:keepNext/>
              <w:jc w:val="left"/>
              <w:rPr>
                <w:b/>
                <w:szCs w:val="22"/>
              </w:rPr>
            </w:pPr>
            <w:r w:rsidRPr="00F27B54">
              <w:rPr>
                <w:b/>
                <w:szCs w:val="22"/>
              </w:rPr>
              <w:t>Československá obchodní banka, a. s.</w:t>
            </w:r>
          </w:p>
          <w:p w:rsidR="0082176D" w:rsidRPr="00F27B54" w:rsidRDefault="002C2ACC" w:rsidP="00F27B54">
            <w:pPr>
              <w:keepNext/>
              <w:jc w:val="left"/>
              <w:rPr>
                <w:szCs w:val="22"/>
              </w:rPr>
            </w:pPr>
            <w:r>
              <w:rPr>
                <w:szCs w:val="22"/>
              </w:rPr>
              <w:t>XXXXXXXXXXXXXXXXXXXXXX</w:t>
            </w:r>
          </w:p>
          <w:p w:rsidR="0082176D" w:rsidRPr="00F27B54" w:rsidRDefault="002C2ACC" w:rsidP="00F27B54">
            <w:pPr>
              <w:keepNext/>
              <w:jc w:val="left"/>
              <w:rPr>
                <w:szCs w:val="22"/>
              </w:rPr>
            </w:pPr>
            <w:r>
              <w:rPr>
                <w:szCs w:val="22"/>
              </w:rPr>
              <w:t>XXXXXXXXXXXXXXXXXXXXXX</w:t>
            </w:r>
          </w:p>
          <w:p w:rsidR="0082176D" w:rsidRDefault="0082176D" w:rsidP="00F27B54">
            <w:pPr>
              <w:keepNext/>
              <w:jc w:val="left"/>
              <w:rPr>
                <w:szCs w:val="22"/>
              </w:rPr>
            </w:pPr>
          </w:p>
          <w:p w:rsidR="00AF50A5" w:rsidRDefault="00AF50A5" w:rsidP="00F27B54">
            <w:pPr>
              <w:keepNext/>
              <w:jc w:val="left"/>
              <w:rPr>
                <w:szCs w:val="22"/>
              </w:rPr>
            </w:pPr>
          </w:p>
          <w:p w:rsidR="00AF50A5" w:rsidRPr="00F27B54" w:rsidRDefault="00AF50A5" w:rsidP="00F27B54">
            <w:pPr>
              <w:keepNext/>
              <w:jc w:val="left"/>
              <w:rPr>
                <w:szCs w:val="22"/>
              </w:rPr>
            </w:pPr>
          </w:p>
          <w:p w:rsidR="0082176D" w:rsidRPr="00F27B54" w:rsidRDefault="0082176D" w:rsidP="00F27B54">
            <w:pPr>
              <w:keepNext/>
              <w:jc w:val="left"/>
              <w:rPr>
                <w:szCs w:val="22"/>
              </w:rPr>
            </w:pPr>
          </w:p>
        </w:tc>
        <w:tc>
          <w:tcPr>
            <w:tcW w:w="340" w:type="dxa"/>
            <w:shd w:val="clear" w:color="auto" w:fill="auto"/>
          </w:tcPr>
          <w:p w:rsidR="0082176D" w:rsidRPr="00F27B54" w:rsidRDefault="0082176D" w:rsidP="00F27B54">
            <w:pPr>
              <w:keepNext/>
              <w:rPr>
                <w:b/>
                <w:szCs w:val="22"/>
              </w:rPr>
            </w:pPr>
          </w:p>
        </w:tc>
        <w:tc>
          <w:tcPr>
            <w:tcW w:w="4366" w:type="dxa"/>
            <w:tcBorders>
              <w:bottom w:val="dotted" w:sz="8" w:space="0" w:color="auto"/>
            </w:tcBorders>
            <w:shd w:val="clear" w:color="auto" w:fill="auto"/>
          </w:tcPr>
          <w:p w:rsidR="0082176D" w:rsidRPr="00F27B54" w:rsidRDefault="0082176D" w:rsidP="00F27B54">
            <w:pPr>
              <w:keepNext/>
              <w:jc w:val="left"/>
              <w:rPr>
                <w:b/>
                <w:szCs w:val="22"/>
              </w:rPr>
            </w:pPr>
            <w:r w:rsidRPr="00F27B54">
              <w:rPr>
                <w:b/>
                <w:szCs w:val="22"/>
              </w:rPr>
              <w:t>MĚSTO BROUMOV</w:t>
            </w:r>
          </w:p>
          <w:p w:rsidR="0082176D" w:rsidRDefault="002C2ACC" w:rsidP="00F27B54">
            <w:pPr>
              <w:keepNext/>
              <w:jc w:val="left"/>
            </w:pPr>
            <w:r>
              <w:rPr>
                <w:szCs w:val="22"/>
              </w:rPr>
              <w:t>XXXXXXXXXXXXXXX</w:t>
            </w:r>
          </w:p>
          <w:p w:rsidR="0082176D" w:rsidRDefault="0082176D" w:rsidP="00F27B54">
            <w:pPr>
              <w:keepNext/>
              <w:jc w:val="left"/>
            </w:pPr>
          </w:p>
          <w:p w:rsidR="0082176D" w:rsidRPr="00F27B54" w:rsidRDefault="0082176D" w:rsidP="00F27B54">
            <w:pPr>
              <w:keepNext/>
              <w:jc w:val="left"/>
              <w:rPr>
                <w:szCs w:val="22"/>
              </w:rPr>
            </w:pPr>
          </w:p>
        </w:tc>
      </w:tr>
      <w:tr w:rsidR="00F27B54" w:rsidTr="00F27B54">
        <w:trPr>
          <w:jc w:val="center"/>
        </w:trPr>
        <w:tc>
          <w:tcPr>
            <w:tcW w:w="4366" w:type="dxa"/>
            <w:tcBorders>
              <w:top w:val="dotted" w:sz="8" w:space="0" w:color="auto"/>
            </w:tcBorders>
            <w:shd w:val="clear" w:color="auto" w:fill="auto"/>
            <w:vAlign w:val="center"/>
          </w:tcPr>
          <w:p w:rsidR="0082176D" w:rsidRPr="00F27B54" w:rsidRDefault="0082176D" w:rsidP="00F27B54">
            <w:pPr>
              <w:keepNext/>
              <w:jc w:val="center"/>
              <w:rPr>
                <w:szCs w:val="22"/>
              </w:rPr>
            </w:pPr>
            <w:r w:rsidRPr="00F27B54">
              <w:rPr>
                <w:szCs w:val="22"/>
              </w:rPr>
              <w:t>Banka</w:t>
            </w:r>
          </w:p>
        </w:tc>
        <w:tc>
          <w:tcPr>
            <w:tcW w:w="340" w:type="dxa"/>
            <w:shd w:val="clear" w:color="auto" w:fill="auto"/>
            <w:vAlign w:val="center"/>
          </w:tcPr>
          <w:p w:rsidR="0082176D" w:rsidRPr="00F27B54" w:rsidRDefault="0082176D" w:rsidP="00F27B54">
            <w:pPr>
              <w:keepNext/>
              <w:jc w:val="center"/>
              <w:rPr>
                <w:b/>
                <w:szCs w:val="22"/>
              </w:rPr>
            </w:pPr>
          </w:p>
        </w:tc>
        <w:tc>
          <w:tcPr>
            <w:tcW w:w="4366" w:type="dxa"/>
            <w:tcBorders>
              <w:top w:val="dotted" w:sz="8" w:space="0" w:color="auto"/>
            </w:tcBorders>
            <w:shd w:val="clear" w:color="auto" w:fill="auto"/>
            <w:vAlign w:val="center"/>
          </w:tcPr>
          <w:p w:rsidR="0082176D" w:rsidRPr="00F27B54" w:rsidRDefault="0082176D" w:rsidP="00F27B54">
            <w:pPr>
              <w:keepNext/>
              <w:jc w:val="center"/>
              <w:rPr>
                <w:szCs w:val="22"/>
              </w:rPr>
            </w:pPr>
            <w:r w:rsidRPr="00F27B54">
              <w:rPr>
                <w:szCs w:val="22"/>
              </w:rPr>
              <w:t>Klient</w:t>
            </w:r>
          </w:p>
        </w:tc>
      </w:tr>
      <w:tr w:rsidR="0082176D" w:rsidTr="00F27B54">
        <w:trPr>
          <w:jc w:val="center"/>
        </w:trPr>
        <w:tc>
          <w:tcPr>
            <w:tcW w:w="4366" w:type="dxa"/>
            <w:shd w:val="clear" w:color="auto" w:fill="auto"/>
          </w:tcPr>
          <w:p w:rsidR="0082176D" w:rsidRPr="00F27B54" w:rsidRDefault="0082176D" w:rsidP="00F27B54">
            <w:pPr>
              <w:keepNext/>
              <w:jc w:val="center"/>
              <w:rPr>
                <w:szCs w:val="22"/>
              </w:rPr>
            </w:pPr>
          </w:p>
        </w:tc>
        <w:tc>
          <w:tcPr>
            <w:tcW w:w="340" w:type="dxa"/>
            <w:shd w:val="clear" w:color="auto" w:fill="auto"/>
          </w:tcPr>
          <w:p w:rsidR="0082176D" w:rsidRPr="00F27B54" w:rsidRDefault="0082176D" w:rsidP="00F27B54">
            <w:pPr>
              <w:keepNext/>
              <w:rPr>
                <w:b/>
                <w:szCs w:val="22"/>
              </w:rPr>
            </w:pPr>
          </w:p>
        </w:tc>
        <w:tc>
          <w:tcPr>
            <w:tcW w:w="4366" w:type="dxa"/>
            <w:shd w:val="clear" w:color="auto" w:fill="auto"/>
          </w:tcPr>
          <w:p w:rsidR="0082176D" w:rsidRPr="00F27B54" w:rsidRDefault="0082176D" w:rsidP="00F27B54">
            <w:pPr>
              <w:keepNext/>
              <w:jc w:val="left"/>
              <w:rPr>
                <w:szCs w:val="22"/>
              </w:rPr>
            </w:pPr>
            <w:r w:rsidRPr="00F27B54">
              <w:rPr>
                <w:sz w:val="18"/>
                <w:szCs w:val="18"/>
              </w:rPr>
              <w:t>Ověření podpisu/totožnosti:</w:t>
            </w:r>
          </w:p>
        </w:tc>
      </w:tr>
    </w:tbl>
    <w:p w:rsidR="00CB104D" w:rsidRDefault="00CB104D">
      <w:pPr>
        <w:rPr>
          <w:bCs/>
          <w:iCs/>
          <w:szCs w:val="22"/>
        </w:rPr>
      </w:pPr>
    </w:p>
    <w:p w:rsidR="00C26D08" w:rsidRDefault="00C26D08"/>
    <w:p w:rsidR="00AF50A5" w:rsidRDefault="00AF50A5"/>
    <w:p w:rsidR="00AF50A5" w:rsidRDefault="00AF50A5"/>
    <w:p w:rsidR="00AF50A5" w:rsidRDefault="00AF50A5"/>
    <w:p w:rsidR="00CB104D" w:rsidRDefault="00D74451">
      <w:pPr>
        <w:rPr>
          <w:color w:val="000000"/>
        </w:rPr>
      </w:pPr>
      <w:r>
        <w:t xml:space="preserve">Zastupitelstvo rozhodlo o uzavření Smlouvy na svém zasedání dne </w:t>
      </w:r>
      <w:r w:rsidR="00AF50A5">
        <w:t>18.4.2018.</w:t>
      </w:r>
      <w:r w:rsidR="00C62E08">
        <w:t xml:space="preserve"> </w:t>
      </w:r>
      <w:r>
        <w:rPr>
          <w:color w:val="000000"/>
        </w:rPr>
        <w:t>Klient zároveň tímto prohlášením ve smyslu ustanovení § 41 zák. č. 128/2000 Sb. potvrzuje splnění podmínek požadovaných právními předpisy pro platné přijetí úvěru dle Smlouvy.</w:t>
      </w:r>
    </w:p>
    <w:p w:rsidR="00CB104D" w:rsidRDefault="00CB104D">
      <w:pPr>
        <w:rPr>
          <w:color w:val="000000"/>
        </w:rPr>
      </w:pPr>
    </w:p>
    <w:p w:rsidR="00CB104D" w:rsidRDefault="00D74451">
      <w:pPr>
        <w:keepNext/>
        <w:rPr>
          <w:szCs w:val="22"/>
        </w:rPr>
      </w:pPr>
      <w:r>
        <w:rPr>
          <w:b/>
          <w:szCs w:val="22"/>
        </w:rPr>
        <w:t>MĚSTO BROUMOV</w:t>
      </w:r>
    </w:p>
    <w:p w:rsidR="00CB104D" w:rsidRDefault="002C2ACC">
      <w:pPr>
        <w:keepNext/>
        <w:rPr>
          <w:szCs w:val="22"/>
        </w:rPr>
      </w:pPr>
      <w:r>
        <w:rPr>
          <w:szCs w:val="22"/>
        </w:rPr>
        <w:t>XXXXXXXXXXXXXXXXXX</w:t>
      </w:r>
    </w:p>
    <w:p w:rsidR="00CB104D" w:rsidRDefault="00CB104D">
      <w:pPr>
        <w:keepNext/>
        <w:rPr>
          <w:szCs w:val="22"/>
        </w:rPr>
      </w:pPr>
    </w:p>
    <w:p w:rsidR="00CB104D" w:rsidRDefault="00CB104D">
      <w:pPr>
        <w:keepNext/>
        <w:rPr>
          <w:szCs w:val="22"/>
        </w:rPr>
      </w:pPr>
    </w:p>
    <w:p w:rsidR="00AF50A5" w:rsidRDefault="00AF50A5">
      <w:pPr>
        <w:keepNext/>
        <w:rPr>
          <w:szCs w:val="22"/>
        </w:rPr>
      </w:pPr>
    </w:p>
    <w:p w:rsidR="0082176D" w:rsidRDefault="0082176D" w:rsidP="0082176D">
      <w:pPr>
        <w:keepNext/>
        <w:pBdr>
          <w:bottom w:val="dotted" w:sz="4" w:space="1" w:color="auto"/>
        </w:pBdr>
        <w:ind w:right="4706"/>
        <w:rPr>
          <w:szCs w:val="22"/>
        </w:rPr>
      </w:pPr>
    </w:p>
    <w:p w:rsidR="00CB104D" w:rsidRDefault="00D74451" w:rsidP="008A3539">
      <w:pPr>
        <w:keepNext/>
        <w:ind w:right="4706"/>
        <w:jc w:val="center"/>
        <w:rPr>
          <w:szCs w:val="22"/>
        </w:rPr>
      </w:pPr>
      <w:r>
        <w:rPr>
          <w:szCs w:val="22"/>
        </w:rPr>
        <w:t>Klient</w:t>
      </w:r>
    </w:p>
    <w:p w:rsidR="00CB104D" w:rsidRDefault="00D74451">
      <w:pPr>
        <w:rPr>
          <w:sz w:val="18"/>
          <w:szCs w:val="18"/>
        </w:rPr>
      </w:pPr>
      <w:r>
        <w:rPr>
          <w:sz w:val="18"/>
          <w:szCs w:val="18"/>
        </w:rPr>
        <w:t>Ověření podpisu/totožnosti:</w:t>
      </w:r>
    </w:p>
    <w:p w:rsidR="005D552A" w:rsidRDefault="005D552A" w:rsidP="005D552A"/>
    <w:p w:rsidR="005D552A" w:rsidRDefault="005D552A" w:rsidP="005D552A">
      <w:pPr>
        <w:sectPr w:rsidR="005D552A">
          <w:headerReference w:type="default" r:id="rId8"/>
          <w:footerReference w:type="default" r:id="rId9"/>
          <w:pgSz w:w="11906" w:h="16838" w:code="9"/>
          <w:pgMar w:top="1418" w:right="1418" w:bottom="1418" w:left="1418" w:header="851" w:footer="851" w:gutter="0"/>
          <w:cols w:space="708"/>
          <w:docGrid w:linePitch="360"/>
        </w:sectPr>
      </w:pPr>
    </w:p>
    <w:p w:rsidR="007F1446" w:rsidRDefault="007F1446"/>
    <w:sectPr w:rsidR="007F1446" w:rsidSect="005D552A">
      <w:type w:val="continuous"/>
      <w:pgSz w:w="11906" w:h="16838" w:code="9"/>
      <w:pgMar w:top="1418" w:right="1418" w:bottom="1418" w:left="1418"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6F" w:rsidRDefault="00F1476F">
      <w:r>
        <w:separator/>
      </w:r>
    </w:p>
  </w:endnote>
  <w:endnote w:type="continuationSeparator" w:id="0">
    <w:p w:rsidR="00F1476F" w:rsidRDefault="00F14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C4" w:rsidRDefault="00025BC4">
    <w:pPr>
      <w:pStyle w:val="Zpat"/>
      <w:pBdr>
        <w:top w:val="single" w:sz="4" w:space="1" w:color="auto"/>
        <w:bottom w:val="single" w:sz="4" w:space="1" w:color="auto"/>
      </w:pBdr>
      <w:tabs>
        <w:tab w:val="clear" w:pos="4536"/>
      </w:tabs>
      <w:rPr>
        <w:b/>
        <w:sz w:val="18"/>
        <w:szCs w:val="18"/>
      </w:rPr>
    </w:pPr>
    <w:r>
      <w:rPr>
        <w:b/>
        <w:sz w:val="18"/>
        <w:szCs w:val="18"/>
      </w:rPr>
      <w:t>Československá obchodní banka, a. s.</w:t>
    </w:r>
    <w:r>
      <w:rPr>
        <w:b/>
        <w:sz w:val="18"/>
        <w:szCs w:val="18"/>
      </w:rPr>
      <w:tab/>
      <w:t>MĚSTO BROUMOV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6F" w:rsidRDefault="00F1476F">
      <w:r>
        <w:separator/>
      </w:r>
    </w:p>
  </w:footnote>
  <w:footnote w:type="continuationSeparator" w:id="0">
    <w:p w:rsidR="00F1476F" w:rsidRDefault="00F14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C4" w:rsidRDefault="00025BC4">
    <w:pPr>
      <w:pStyle w:val="Zhlav"/>
      <w:pBdr>
        <w:top w:val="single" w:sz="4" w:space="1" w:color="auto"/>
        <w:bottom w:val="single" w:sz="4" w:space="1" w:color="auto"/>
      </w:pBdr>
      <w:tabs>
        <w:tab w:val="clear" w:pos="4536"/>
      </w:tabs>
      <w:rPr>
        <w:b/>
        <w:sz w:val="18"/>
        <w:szCs w:val="18"/>
      </w:rPr>
    </w:pPr>
    <w:r>
      <w:rPr>
        <w:b/>
        <w:sz w:val="18"/>
        <w:szCs w:val="18"/>
      </w:rPr>
      <w:t>Smlouva č. 0568/18/5650</w:t>
    </w:r>
    <w:r w:rsidR="00201494">
      <w:rPr>
        <w:b/>
        <w:sz w:val="18"/>
        <w:szCs w:val="18"/>
      </w:rPr>
      <w:t xml:space="preserve">                     </w:t>
    </w:r>
    <w:r w:rsidR="00AF50A5">
      <w:rPr>
        <w:b/>
        <w:sz w:val="18"/>
        <w:szCs w:val="18"/>
      </w:rPr>
      <w:t xml:space="preserve">           </w:t>
    </w:r>
    <w:r>
      <w:rPr>
        <w:b/>
        <w:sz w:val="18"/>
        <w:szCs w:val="18"/>
      </w:rPr>
      <w:tab/>
      <w:t xml:space="preserve">strana </w:t>
    </w:r>
    <w:r w:rsidR="003D76A6">
      <w:rPr>
        <w:b/>
        <w:sz w:val="18"/>
        <w:szCs w:val="18"/>
      </w:rPr>
      <w:fldChar w:fldCharType="begin"/>
    </w:r>
    <w:r>
      <w:rPr>
        <w:b/>
        <w:sz w:val="18"/>
        <w:szCs w:val="18"/>
      </w:rPr>
      <w:instrText xml:space="preserve"> PAGE </w:instrText>
    </w:r>
    <w:r w:rsidR="003D76A6">
      <w:rPr>
        <w:b/>
        <w:sz w:val="18"/>
        <w:szCs w:val="18"/>
      </w:rPr>
      <w:fldChar w:fldCharType="separate"/>
    </w:r>
    <w:r w:rsidR="00F448FB">
      <w:rPr>
        <w:b/>
        <w:noProof/>
        <w:sz w:val="18"/>
        <w:szCs w:val="18"/>
      </w:rPr>
      <w:t>9</w:t>
    </w:r>
    <w:r w:rsidR="003D76A6">
      <w:rPr>
        <w:b/>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7F8A608"/>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2"/>
    <w:multiLevelType w:val="singleLevel"/>
    <w:tmpl w:val="A18CF75E"/>
    <w:lvl w:ilvl="0">
      <w:start w:val="1"/>
      <w:numFmt w:val="bullet"/>
      <w:pStyle w:val="Seznamsodrkami3"/>
      <w:lvlText w:val=""/>
      <w:lvlJc w:val="left"/>
      <w:pPr>
        <w:tabs>
          <w:tab w:val="num" w:pos="926"/>
        </w:tabs>
        <w:ind w:left="926" w:hanging="360"/>
      </w:pPr>
      <w:rPr>
        <w:rFonts w:ascii="Symbol" w:hAnsi="Symbol" w:hint="default"/>
      </w:rPr>
    </w:lvl>
  </w:abstractNum>
  <w:abstractNum w:abstractNumId="2">
    <w:nsid w:val="071F6DF8"/>
    <w:multiLevelType w:val="multilevel"/>
    <w:tmpl w:val="5C580B5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1B6AE8"/>
    <w:multiLevelType w:val="multilevel"/>
    <w:tmpl w:val="2820CFA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D761C4D"/>
    <w:multiLevelType w:val="hybridMultilevel"/>
    <w:tmpl w:val="D152E266"/>
    <w:lvl w:ilvl="0" w:tplc="04050017">
      <w:start w:val="1"/>
      <w:numFmt w:val="lowerLetter"/>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nsid w:val="15B333FE"/>
    <w:multiLevelType w:val="multilevel"/>
    <w:tmpl w:val="D79AC4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D273AF"/>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2803DF9"/>
    <w:multiLevelType w:val="hybridMultilevel"/>
    <w:tmpl w:val="E67CCBE0"/>
    <w:lvl w:ilvl="0" w:tplc="14848B76">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EC305A"/>
    <w:multiLevelType w:val="multilevel"/>
    <w:tmpl w:val="BB7C17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A119F1"/>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A2F162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C102784"/>
    <w:multiLevelType w:val="multilevel"/>
    <w:tmpl w:val="5C580B5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5E22E2"/>
    <w:multiLevelType w:val="hybridMultilevel"/>
    <w:tmpl w:val="C90EAB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C740F1"/>
    <w:multiLevelType w:val="multilevel"/>
    <w:tmpl w:val="E97E322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E71B33"/>
    <w:multiLevelType w:val="multilevel"/>
    <w:tmpl w:val="81F4F38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5E6F43"/>
    <w:multiLevelType w:val="multilevel"/>
    <w:tmpl w:val="676AD022"/>
    <w:styleLink w:val="A"/>
    <w:lvl w:ilvl="0">
      <w:start w:val="1"/>
      <w:numFmt w:val="none"/>
      <w:lvlText w:val="A)"/>
      <w:lvlJc w:val="left"/>
      <w:pPr>
        <w:tabs>
          <w:tab w:val="num" w:pos="567"/>
        </w:tabs>
        <w:ind w:left="567" w:hanging="567"/>
      </w:pPr>
      <w:rPr>
        <w:rFonts w:hint="default"/>
      </w:rPr>
    </w:lvl>
    <w:lvl w:ilvl="1">
      <w:start w:val="1"/>
      <w:numFmt w:val="upperLetter"/>
      <w:lvlText w:val="%2."/>
      <w:lvlJc w:val="left"/>
      <w:pPr>
        <w:tabs>
          <w:tab w:val="num" w:pos="927"/>
        </w:tabs>
        <w:ind w:left="927" w:hanging="360"/>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616691"/>
    <w:multiLevelType w:val="hybridMultilevel"/>
    <w:tmpl w:val="4F82BEEC"/>
    <w:lvl w:ilvl="0" w:tplc="15B89E7C">
      <w:start w:val="1"/>
      <w:numFmt w:val="decimal"/>
      <w:lvlText w:val="%1)"/>
      <w:lvlJc w:val="left"/>
      <w:pPr>
        <w:tabs>
          <w:tab w:val="num" w:pos="1080"/>
        </w:tabs>
        <w:ind w:left="567" w:hanging="567"/>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442F7747"/>
    <w:multiLevelType w:val="hybridMultilevel"/>
    <w:tmpl w:val="4DCCE8DA"/>
    <w:lvl w:ilvl="0" w:tplc="D8561C40">
      <w:start w:val="1"/>
      <w:numFmt w:val="lowerLetter"/>
      <w:lvlText w:val="%1)"/>
      <w:lvlJc w:val="left"/>
      <w:pPr>
        <w:ind w:left="1137" w:hanging="570"/>
      </w:pPr>
      <w:rPr>
        <w:rFonts w:hint="default"/>
        <w:b w:val="0"/>
        <w:i w:val="0"/>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479F6D2F"/>
    <w:multiLevelType w:val="hybridMultilevel"/>
    <w:tmpl w:val="B54CB4B2"/>
    <w:lvl w:ilvl="0" w:tplc="9A9E158A">
      <w:start w:val="1"/>
      <w:numFmt w:val="lowerRoman"/>
      <w:lvlText w:val="(%1)"/>
      <w:lvlJc w:val="left"/>
      <w:pPr>
        <w:ind w:left="2302" w:hanging="720"/>
      </w:pPr>
      <w:rPr>
        <w:rFonts w:hint="default"/>
      </w:rPr>
    </w:lvl>
    <w:lvl w:ilvl="1" w:tplc="04050019">
      <w:start w:val="1"/>
      <w:numFmt w:val="lowerLetter"/>
      <w:lvlText w:val="%2."/>
      <w:lvlJc w:val="left"/>
      <w:pPr>
        <w:ind w:left="2662" w:hanging="360"/>
      </w:pPr>
    </w:lvl>
    <w:lvl w:ilvl="2" w:tplc="0405001B" w:tentative="1">
      <w:start w:val="1"/>
      <w:numFmt w:val="lowerRoman"/>
      <w:lvlText w:val="%3."/>
      <w:lvlJc w:val="right"/>
      <w:pPr>
        <w:ind w:left="3382" w:hanging="180"/>
      </w:pPr>
    </w:lvl>
    <w:lvl w:ilvl="3" w:tplc="0405000F" w:tentative="1">
      <w:start w:val="1"/>
      <w:numFmt w:val="decimal"/>
      <w:lvlText w:val="%4."/>
      <w:lvlJc w:val="left"/>
      <w:pPr>
        <w:ind w:left="4102" w:hanging="360"/>
      </w:pPr>
    </w:lvl>
    <w:lvl w:ilvl="4" w:tplc="04050019" w:tentative="1">
      <w:start w:val="1"/>
      <w:numFmt w:val="lowerLetter"/>
      <w:lvlText w:val="%5."/>
      <w:lvlJc w:val="left"/>
      <w:pPr>
        <w:ind w:left="4822" w:hanging="360"/>
      </w:pPr>
    </w:lvl>
    <w:lvl w:ilvl="5" w:tplc="0405001B" w:tentative="1">
      <w:start w:val="1"/>
      <w:numFmt w:val="lowerRoman"/>
      <w:lvlText w:val="%6."/>
      <w:lvlJc w:val="right"/>
      <w:pPr>
        <w:ind w:left="5542" w:hanging="180"/>
      </w:pPr>
    </w:lvl>
    <w:lvl w:ilvl="6" w:tplc="0405000F" w:tentative="1">
      <w:start w:val="1"/>
      <w:numFmt w:val="decimal"/>
      <w:lvlText w:val="%7."/>
      <w:lvlJc w:val="left"/>
      <w:pPr>
        <w:ind w:left="6262" w:hanging="360"/>
      </w:pPr>
    </w:lvl>
    <w:lvl w:ilvl="7" w:tplc="04050019" w:tentative="1">
      <w:start w:val="1"/>
      <w:numFmt w:val="lowerLetter"/>
      <w:lvlText w:val="%8."/>
      <w:lvlJc w:val="left"/>
      <w:pPr>
        <w:ind w:left="6982" w:hanging="360"/>
      </w:pPr>
    </w:lvl>
    <w:lvl w:ilvl="8" w:tplc="0405001B" w:tentative="1">
      <w:start w:val="1"/>
      <w:numFmt w:val="lowerRoman"/>
      <w:lvlText w:val="%9."/>
      <w:lvlJc w:val="right"/>
      <w:pPr>
        <w:ind w:left="7702" w:hanging="180"/>
      </w:pPr>
    </w:lvl>
  </w:abstractNum>
  <w:abstractNum w:abstractNumId="19">
    <w:nsid w:val="4BC0528D"/>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7E12CF"/>
    <w:multiLevelType w:val="hybridMultilevel"/>
    <w:tmpl w:val="1A20A04E"/>
    <w:lvl w:ilvl="0" w:tplc="04050011">
      <w:start w:val="1"/>
      <w:numFmt w:val="decimal"/>
      <w:lvlText w:val="%1)"/>
      <w:lvlJc w:val="left"/>
      <w:pPr>
        <w:ind w:left="720" w:hanging="360"/>
      </w:pPr>
      <w:rPr>
        <w:rFonts w:hint="default"/>
      </w:rPr>
    </w:lvl>
    <w:lvl w:ilvl="1" w:tplc="6728D218">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AD230E"/>
    <w:multiLevelType w:val="multilevel"/>
    <w:tmpl w:val="BB7C17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9997D09"/>
    <w:multiLevelType w:val="hybridMultilevel"/>
    <w:tmpl w:val="97E0FFE8"/>
    <w:lvl w:ilvl="0" w:tplc="597423B0">
      <w:start w:val="2"/>
      <w:numFmt w:val="bullet"/>
      <w:lvlText w:val="-"/>
      <w:lvlJc w:val="left"/>
      <w:pPr>
        <w:ind w:left="2623" w:hanging="360"/>
      </w:pPr>
      <w:rPr>
        <w:rFonts w:ascii="Times New Roman" w:eastAsia="Times New Roman" w:hAnsi="Times New Roman" w:cs="Times New Roman" w:hint="default"/>
      </w:rPr>
    </w:lvl>
    <w:lvl w:ilvl="1" w:tplc="04050003">
      <w:start w:val="1"/>
      <w:numFmt w:val="bullet"/>
      <w:lvlText w:val="o"/>
      <w:lvlJc w:val="left"/>
      <w:pPr>
        <w:ind w:left="3343" w:hanging="360"/>
      </w:pPr>
      <w:rPr>
        <w:rFonts w:ascii="Courier New" w:hAnsi="Courier New" w:cs="Courier New" w:hint="default"/>
      </w:rPr>
    </w:lvl>
    <w:lvl w:ilvl="2" w:tplc="04050005" w:tentative="1">
      <w:start w:val="1"/>
      <w:numFmt w:val="bullet"/>
      <w:lvlText w:val=""/>
      <w:lvlJc w:val="left"/>
      <w:pPr>
        <w:ind w:left="4063" w:hanging="360"/>
      </w:pPr>
      <w:rPr>
        <w:rFonts w:ascii="Wingdings" w:hAnsi="Wingdings" w:hint="default"/>
      </w:rPr>
    </w:lvl>
    <w:lvl w:ilvl="3" w:tplc="04050001" w:tentative="1">
      <w:start w:val="1"/>
      <w:numFmt w:val="bullet"/>
      <w:lvlText w:val=""/>
      <w:lvlJc w:val="left"/>
      <w:pPr>
        <w:ind w:left="4783" w:hanging="360"/>
      </w:pPr>
      <w:rPr>
        <w:rFonts w:ascii="Symbol" w:hAnsi="Symbol" w:hint="default"/>
      </w:rPr>
    </w:lvl>
    <w:lvl w:ilvl="4" w:tplc="04050003" w:tentative="1">
      <w:start w:val="1"/>
      <w:numFmt w:val="bullet"/>
      <w:lvlText w:val="o"/>
      <w:lvlJc w:val="left"/>
      <w:pPr>
        <w:ind w:left="5503" w:hanging="360"/>
      </w:pPr>
      <w:rPr>
        <w:rFonts w:ascii="Courier New" w:hAnsi="Courier New" w:cs="Courier New" w:hint="default"/>
      </w:rPr>
    </w:lvl>
    <w:lvl w:ilvl="5" w:tplc="04050005" w:tentative="1">
      <w:start w:val="1"/>
      <w:numFmt w:val="bullet"/>
      <w:lvlText w:val=""/>
      <w:lvlJc w:val="left"/>
      <w:pPr>
        <w:ind w:left="6223" w:hanging="360"/>
      </w:pPr>
      <w:rPr>
        <w:rFonts w:ascii="Wingdings" w:hAnsi="Wingdings" w:hint="default"/>
      </w:rPr>
    </w:lvl>
    <w:lvl w:ilvl="6" w:tplc="04050001" w:tentative="1">
      <w:start w:val="1"/>
      <w:numFmt w:val="bullet"/>
      <w:lvlText w:val=""/>
      <w:lvlJc w:val="left"/>
      <w:pPr>
        <w:ind w:left="6943" w:hanging="360"/>
      </w:pPr>
      <w:rPr>
        <w:rFonts w:ascii="Symbol" w:hAnsi="Symbol" w:hint="default"/>
      </w:rPr>
    </w:lvl>
    <w:lvl w:ilvl="7" w:tplc="04050003" w:tentative="1">
      <w:start w:val="1"/>
      <w:numFmt w:val="bullet"/>
      <w:lvlText w:val="o"/>
      <w:lvlJc w:val="left"/>
      <w:pPr>
        <w:ind w:left="7663" w:hanging="360"/>
      </w:pPr>
      <w:rPr>
        <w:rFonts w:ascii="Courier New" w:hAnsi="Courier New" w:cs="Courier New" w:hint="default"/>
      </w:rPr>
    </w:lvl>
    <w:lvl w:ilvl="8" w:tplc="04050005" w:tentative="1">
      <w:start w:val="1"/>
      <w:numFmt w:val="bullet"/>
      <w:lvlText w:val=""/>
      <w:lvlJc w:val="left"/>
      <w:pPr>
        <w:ind w:left="8383" w:hanging="360"/>
      </w:pPr>
      <w:rPr>
        <w:rFonts w:ascii="Wingdings" w:hAnsi="Wingdings" w:hint="default"/>
      </w:rPr>
    </w:lvl>
  </w:abstractNum>
  <w:abstractNum w:abstractNumId="23">
    <w:nsid w:val="5B0A563C"/>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CB859C6"/>
    <w:multiLevelType w:val="hybridMultilevel"/>
    <w:tmpl w:val="E0F809B4"/>
    <w:lvl w:ilvl="0" w:tplc="04050017">
      <w:start w:val="1"/>
      <w:numFmt w:val="lowerLetter"/>
      <w:lvlText w:val="%1)"/>
      <w:lvlJc w:val="left"/>
      <w:pPr>
        <w:tabs>
          <w:tab w:val="num" w:pos="927"/>
        </w:tabs>
        <w:ind w:left="927" w:hanging="360"/>
      </w:p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5">
    <w:nsid w:val="65EC501A"/>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DE83DC6"/>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E32531F"/>
    <w:multiLevelType w:val="hybridMultilevel"/>
    <w:tmpl w:val="421C88BC"/>
    <w:lvl w:ilvl="0" w:tplc="D0000932">
      <w:start w:val="1"/>
      <w:numFmt w:val="lowerRoman"/>
      <w:lvlText w:val="(%1)"/>
      <w:lvlJc w:val="left"/>
      <w:pPr>
        <w:ind w:left="2564" w:hanging="720"/>
      </w:pPr>
      <w:rPr>
        <w:rFonts w:hint="default"/>
      </w:rPr>
    </w:lvl>
    <w:lvl w:ilvl="1" w:tplc="04050019">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28">
    <w:nsid w:val="6E7E33B6"/>
    <w:multiLevelType w:val="multilevel"/>
    <w:tmpl w:val="BB7C17B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0AD7284"/>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56693B"/>
    <w:multiLevelType w:val="multilevel"/>
    <w:tmpl w:val="B254F6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E92643"/>
    <w:multiLevelType w:val="multilevel"/>
    <w:tmpl w:val="86DE8C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i w:val="0"/>
      </w:rPr>
    </w:lvl>
    <w:lvl w:ilvl="2">
      <w:start w:val="1"/>
      <w:numFmt w:val="bullet"/>
      <w:lvlText w:val="-"/>
      <w:lvlJc w:val="left"/>
      <w:pPr>
        <w:tabs>
          <w:tab w:val="num" w:pos="1701"/>
        </w:tabs>
        <w:ind w:left="1701" w:hanging="567"/>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5"/>
  </w:num>
  <w:num w:numId="3">
    <w:abstractNumId w:val="2"/>
  </w:num>
  <w:num w:numId="4">
    <w:abstractNumId w:val="31"/>
  </w:num>
  <w:num w:numId="5">
    <w:abstractNumId w:val="11"/>
  </w:num>
  <w:num w:numId="6">
    <w:abstractNumId w:val="14"/>
  </w:num>
  <w:num w:numId="7">
    <w:abstractNumId w:val="10"/>
  </w:num>
  <w:num w:numId="8">
    <w:abstractNumId w:val="29"/>
  </w:num>
  <w:num w:numId="9">
    <w:abstractNumId w:val="30"/>
  </w:num>
  <w:num w:numId="10">
    <w:abstractNumId w:val="3"/>
  </w:num>
  <w:num w:numId="11">
    <w:abstractNumId w:val="8"/>
  </w:num>
  <w:num w:numId="12">
    <w:abstractNumId w:val="25"/>
  </w:num>
  <w:num w:numId="13">
    <w:abstractNumId w:val="19"/>
  </w:num>
  <w:num w:numId="14">
    <w:abstractNumId w:val="23"/>
  </w:num>
  <w:num w:numId="15">
    <w:abstractNumId w:val="26"/>
  </w:num>
  <w:num w:numId="16">
    <w:abstractNumId w:val="9"/>
  </w:num>
  <w:num w:numId="17">
    <w:abstractNumId w:val="6"/>
  </w:num>
  <w:num w:numId="18">
    <w:abstractNumId w:val="16"/>
  </w:num>
  <w:num w:numId="19">
    <w:abstractNumId w:val="5"/>
  </w:num>
  <w:num w:numId="20">
    <w:abstractNumId w:val="24"/>
  </w:num>
  <w:num w:numId="21">
    <w:abstractNumId w:val="4"/>
  </w:num>
  <w:num w:numId="22">
    <w:abstractNumId w:val="1"/>
  </w:num>
  <w:num w:numId="23">
    <w:abstractNumId w:val="0"/>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7"/>
  </w:num>
  <w:num w:numId="29">
    <w:abstractNumId w:val="21"/>
  </w:num>
  <w:num w:numId="30">
    <w:abstractNumId w:val="20"/>
  </w:num>
  <w:num w:numId="31">
    <w:abstractNumId w:val="12"/>
  </w:num>
  <w:num w:numId="32">
    <w:abstractNumId w:val="18"/>
  </w:num>
  <w:num w:numId="33">
    <w:abstractNumId w:val="27"/>
  </w:num>
  <w:num w:numId="34">
    <w:abstractNumId w:val="22"/>
  </w:num>
  <w:num w:numId="35">
    <w:abstractNumId w:val="17"/>
  </w:num>
  <w:num w:numId="3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cryptProviderType="rsaFull" w:cryptAlgorithmClass="hash" w:cryptAlgorithmType="typeAny" w:cryptAlgorithmSid="4" w:cryptSpinCount="100000" w:hash="AgxX2eRmaG5sVDORkYhP9yfrvvg=" w:salt="+5PVmdABwZhv21W2CnNm+g=="/>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rsids>
    <w:rsidRoot w:val="00CB104D"/>
    <w:rsid w:val="000020F6"/>
    <w:rsid w:val="00007C49"/>
    <w:rsid w:val="00013676"/>
    <w:rsid w:val="00017359"/>
    <w:rsid w:val="00020085"/>
    <w:rsid w:val="00020B64"/>
    <w:rsid w:val="0002119E"/>
    <w:rsid w:val="0002171D"/>
    <w:rsid w:val="000245C6"/>
    <w:rsid w:val="00025BC4"/>
    <w:rsid w:val="0003054E"/>
    <w:rsid w:val="00032834"/>
    <w:rsid w:val="00032A95"/>
    <w:rsid w:val="00035515"/>
    <w:rsid w:val="00035DB6"/>
    <w:rsid w:val="000406CA"/>
    <w:rsid w:val="00040BE7"/>
    <w:rsid w:val="000421B1"/>
    <w:rsid w:val="00042502"/>
    <w:rsid w:val="00044045"/>
    <w:rsid w:val="00047C8A"/>
    <w:rsid w:val="00050C93"/>
    <w:rsid w:val="00050FBB"/>
    <w:rsid w:val="00053B89"/>
    <w:rsid w:val="0006305A"/>
    <w:rsid w:val="00063BD5"/>
    <w:rsid w:val="0007102A"/>
    <w:rsid w:val="00072BE0"/>
    <w:rsid w:val="00074E6A"/>
    <w:rsid w:val="00076D6A"/>
    <w:rsid w:val="00081D79"/>
    <w:rsid w:val="00087D24"/>
    <w:rsid w:val="00090381"/>
    <w:rsid w:val="00093972"/>
    <w:rsid w:val="00095F2D"/>
    <w:rsid w:val="000A6522"/>
    <w:rsid w:val="000A7A8E"/>
    <w:rsid w:val="000B3F4B"/>
    <w:rsid w:val="000B401B"/>
    <w:rsid w:val="000C3B6D"/>
    <w:rsid w:val="000C4D5B"/>
    <w:rsid w:val="000C7347"/>
    <w:rsid w:val="000C748D"/>
    <w:rsid w:val="000D49C2"/>
    <w:rsid w:val="000D6226"/>
    <w:rsid w:val="000F271E"/>
    <w:rsid w:val="000F512B"/>
    <w:rsid w:val="000F6D80"/>
    <w:rsid w:val="00101B87"/>
    <w:rsid w:val="00101EB4"/>
    <w:rsid w:val="00103147"/>
    <w:rsid w:val="001034B0"/>
    <w:rsid w:val="001036C0"/>
    <w:rsid w:val="00103A0A"/>
    <w:rsid w:val="00106CAB"/>
    <w:rsid w:val="001100E1"/>
    <w:rsid w:val="001147E9"/>
    <w:rsid w:val="00114A8A"/>
    <w:rsid w:val="0012244E"/>
    <w:rsid w:val="00126737"/>
    <w:rsid w:val="001356DC"/>
    <w:rsid w:val="001376FE"/>
    <w:rsid w:val="001379DB"/>
    <w:rsid w:val="00140A1A"/>
    <w:rsid w:val="00143587"/>
    <w:rsid w:val="00147C8C"/>
    <w:rsid w:val="001506C2"/>
    <w:rsid w:val="0015462C"/>
    <w:rsid w:val="001549B2"/>
    <w:rsid w:val="00157061"/>
    <w:rsid w:val="00162FAE"/>
    <w:rsid w:val="00163C2D"/>
    <w:rsid w:val="00165EA3"/>
    <w:rsid w:val="0016609D"/>
    <w:rsid w:val="00166112"/>
    <w:rsid w:val="0016643C"/>
    <w:rsid w:val="00166A5F"/>
    <w:rsid w:val="00167742"/>
    <w:rsid w:val="001677C3"/>
    <w:rsid w:val="00167EED"/>
    <w:rsid w:val="00172977"/>
    <w:rsid w:val="00181CA3"/>
    <w:rsid w:val="00182267"/>
    <w:rsid w:val="00184CB7"/>
    <w:rsid w:val="001855C5"/>
    <w:rsid w:val="0018688A"/>
    <w:rsid w:val="00193DD1"/>
    <w:rsid w:val="00194ECE"/>
    <w:rsid w:val="0019578A"/>
    <w:rsid w:val="001974B8"/>
    <w:rsid w:val="001A11A7"/>
    <w:rsid w:val="001A2363"/>
    <w:rsid w:val="001A4FBB"/>
    <w:rsid w:val="001A7E3B"/>
    <w:rsid w:val="001B1D8F"/>
    <w:rsid w:val="001B3E91"/>
    <w:rsid w:val="001B4653"/>
    <w:rsid w:val="001B7C6C"/>
    <w:rsid w:val="001C0A82"/>
    <w:rsid w:val="001C257E"/>
    <w:rsid w:val="001C3CA4"/>
    <w:rsid w:val="001C5A8B"/>
    <w:rsid w:val="001C6324"/>
    <w:rsid w:val="001D1155"/>
    <w:rsid w:val="001D16C3"/>
    <w:rsid w:val="001D48C1"/>
    <w:rsid w:val="001D49A2"/>
    <w:rsid w:val="001D59D6"/>
    <w:rsid w:val="001E1A8A"/>
    <w:rsid w:val="001E24D2"/>
    <w:rsid w:val="001E2A22"/>
    <w:rsid w:val="001E2B1D"/>
    <w:rsid w:val="001E3EFD"/>
    <w:rsid w:val="001E497C"/>
    <w:rsid w:val="001E52D7"/>
    <w:rsid w:val="001E5874"/>
    <w:rsid w:val="001E5966"/>
    <w:rsid w:val="001E6887"/>
    <w:rsid w:val="001E6AAD"/>
    <w:rsid w:val="001E778A"/>
    <w:rsid w:val="001F3962"/>
    <w:rsid w:val="001F3B32"/>
    <w:rsid w:val="001F6436"/>
    <w:rsid w:val="001F6647"/>
    <w:rsid w:val="001F6FCE"/>
    <w:rsid w:val="00201494"/>
    <w:rsid w:val="00201713"/>
    <w:rsid w:val="002023A9"/>
    <w:rsid w:val="00202708"/>
    <w:rsid w:val="002060D6"/>
    <w:rsid w:val="00206AF5"/>
    <w:rsid w:val="002102DD"/>
    <w:rsid w:val="00211C58"/>
    <w:rsid w:val="00212338"/>
    <w:rsid w:val="002129FE"/>
    <w:rsid w:val="00212CE1"/>
    <w:rsid w:val="0021395F"/>
    <w:rsid w:val="00215076"/>
    <w:rsid w:val="0021660D"/>
    <w:rsid w:val="0022245C"/>
    <w:rsid w:val="00223E77"/>
    <w:rsid w:val="00223FF2"/>
    <w:rsid w:val="002254A1"/>
    <w:rsid w:val="00225776"/>
    <w:rsid w:val="00226856"/>
    <w:rsid w:val="00227259"/>
    <w:rsid w:val="00230006"/>
    <w:rsid w:val="002343C6"/>
    <w:rsid w:val="00235908"/>
    <w:rsid w:val="00242F42"/>
    <w:rsid w:val="0024402F"/>
    <w:rsid w:val="00244646"/>
    <w:rsid w:val="002456B9"/>
    <w:rsid w:val="002460B0"/>
    <w:rsid w:val="00247E30"/>
    <w:rsid w:val="00250275"/>
    <w:rsid w:val="00250956"/>
    <w:rsid w:val="00252BD3"/>
    <w:rsid w:val="002569D2"/>
    <w:rsid w:val="002571C2"/>
    <w:rsid w:val="00260848"/>
    <w:rsid w:val="00260D90"/>
    <w:rsid w:val="00261B76"/>
    <w:rsid w:val="00262FEA"/>
    <w:rsid w:val="002633EC"/>
    <w:rsid w:val="00264AB1"/>
    <w:rsid w:val="0026567A"/>
    <w:rsid w:val="0027137E"/>
    <w:rsid w:val="00271CF3"/>
    <w:rsid w:val="0027276E"/>
    <w:rsid w:val="00272A80"/>
    <w:rsid w:val="002802C6"/>
    <w:rsid w:val="00280D20"/>
    <w:rsid w:val="00281528"/>
    <w:rsid w:val="00281ACE"/>
    <w:rsid w:val="0029353D"/>
    <w:rsid w:val="00294121"/>
    <w:rsid w:val="002A1ED7"/>
    <w:rsid w:val="002A6DC8"/>
    <w:rsid w:val="002B0E3C"/>
    <w:rsid w:val="002B241C"/>
    <w:rsid w:val="002B7700"/>
    <w:rsid w:val="002C044D"/>
    <w:rsid w:val="002C2ACC"/>
    <w:rsid w:val="002C3500"/>
    <w:rsid w:val="002C53B2"/>
    <w:rsid w:val="002D27D1"/>
    <w:rsid w:val="002D2BAA"/>
    <w:rsid w:val="002D44C6"/>
    <w:rsid w:val="002D7F8B"/>
    <w:rsid w:val="002E04A8"/>
    <w:rsid w:val="002E096F"/>
    <w:rsid w:val="002E326A"/>
    <w:rsid w:val="002E397C"/>
    <w:rsid w:val="002E55B2"/>
    <w:rsid w:val="002E57EB"/>
    <w:rsid w:val="002E63FF"/>
    <w:rsid w:val="002E6832"/>
    <w:rsid w:val="002F1133"/>
    <w:rsid w:val="002F1CEE"/>
    <w:rsid w:val="002F2D87"/>
    <w:rsid w:val="002F4C35"/>
    <w:rsid w:val="002F7068"/>
    <w:rsid w:val="002F72B2"/>
    <w:rsid w:val="002F7D24"/>
    <w:rsid w:val="002F7F2B"/>
    <w:rsid w:val="00300391"/>
    <w:rsid w:val="0030652E"/>
    <w:rsid w:val="00310B7A"/>
    <w:rsid w:val="00313183"/>
    <w:rsid w:val="003132D2"/>
    <w:rsid w:val="003142D6"/>
    <w:rsid w:val="003154B6"/>
    <w:rsid w:val="003205D3"/>
    <w:rsid w:val="00321EAB"/>
    <w:rsid w:val="003220E4"/>
    <w:rsid w:val="00324DC3"/>
    <w:rsid w:val="00327697"/>
    <w:rsid w:val="0032770C"/>
    <w:rsid w:val="00332A18"/>
    <w:rsid w:val="00332ED6"/>
    <w:rsid w:val="00333144"/>
    <w:rsid w:val="00335FE0"/>
    <w:rsid w:val="003403F2"/>
    <w:rsid w:val="00343CFA"/>
    <w:rsid w:val="00344207"/>
    <w:rsid w:val="00344B06"/>
    <w:rsid w:val="0035382C"/>
    <w:rsid w:val="00353AEE"/>
    <w:rsid w:val="003548CF"/>
    <w:rsid w:val="00360D4F"/>
    <w:rsid w:val="00361550"/>
    <w:rsid w:val="003627B1"/>
    <w:rsid w:val="00364220"/>
    <w:rsid w:val="0036549F"/>
    <w:rsid w:val="003665B0"/>
    <w:rsid w:val="00371DA3"/>
    <w:rsid w:val="00373D09"/>
    <w:rsid w:val="00383042"/>
    <w:rsid w:val="003902B2"/>
    <w:rsid w:val="00390FE4"/>
    <w:rsid w:val="003A0157"/>
    <w:rsid w:val="003A0528"/>
    <w:rsid w:val="003A1C3E"/>
    <w:rsid w:val="003A4033"/>
    <w:rsid w:val="003A6744"/>
    <w:rsid w:val="003A698B"/>
    <w:rsid w:val="003A6F5C"/>
    <w:rsid w:val="003B319E"/>
    <w:rsid w:val="003B33E8"/>
    <w:rsid w:val="003B4C73"/>
    <w:rsid w:val="003B73D3"/>
    <w:rsid w:val="003C1408"/>
    <w:rsid w:val="003C3F82"/>
    <w:rsid w:val="003C52CF"/>
    <w:rsid w:val="003C55C7"/>
    <w:rsid w:val="003C7F70"/>
    <w:rsid w:val="003D334B"/>
    <w:rsid w:val="003D64DF"/>
    <w:rsid w:val="003D6EA0"/>
    <w:rsid w:val="003D6EE4"/>
    <w:rsid w:val="003D76A6"/>
    <w:rsid w:val="003E2806"/>
    <w:rsid w:val="003E3CF3"/>
    <w:rsid w:val="003E3D20"/>
    <w:rsid w:val="003F3ED4"/>
    <w:rsid w:val="003F4FDD"/>
    <w:rsid w:val="004012B6"/>
    <w:rsid w:val="00403B6C"/>
    <w:rsid w:val="00404EEE"/>
    <w:rsid w:val="0040562A"/>
    <w:rsid w:val="00406C3C"/>
    <w:rsid w:val="00411856"/>
    <w:rsid w:val="00414DEA"/>
    <w:rsid w:val="004154A3"/>
    <w:rsid w:val="00415582"/>
    <w:rsid w:val="00420263"/>
    <w:rsid w:val="00424E5C"/>
    <w:rsid w:val="00425B59"/>
    <w:rsid w:val="004313AE"/>
    <w:rsid w:val="00431847"/>
    <w:rsid w:val="00436CD7"/>
    <w:rsid w:val="00443BBC"/>
    <w:rsid w:val="00445EB7"/>
    <w:rsid w:val="00447BA3"/>
    <w:rsid w:val="00450126"/>
    <w:rsid w:val="0045066F"/>
    <w:rsid w:val="0045112D"/>
    <w:rsid w:val="00456E17"/>
    <w:rsid w:val="0045736B"/>
    <w:rsid w:val="004574A3"/>
    <w:rsid w:val="00457F02"/>
    <w:rsid w:val="00460F4E"/>
    <w:rsid w:val="00461793"/>
    <w:rsid w:val="00461893"/>
    <w:rsid w:val="00465774"/>
    <w:rsid w:val="0047186B"/>
    <w:rsid w:val="004819AC"/>
    <w:rsid w:val="00481A84"/>
    <w:rsid w:val="00483D57"/>
    <w:rsid w:val="0048452D"/>
    <w:rsid w:val="00486A57"/>
    <w:rsid w:val="004A1372"/>
    <w:rsid w:val="004A17DF"/>
    <w:rsid w:val="004A1BEB"/>
    <w:rsid w:val="004A28F9"/>
    <w:rsid w:val="004A624E"/>
    <w:rsid w:val="004A66E4"/>
    <w:rsid w:val="004B0272"/>
    <w:rsid w:val="004B1060"/>
    <w:rsid w:val="004B10F4"/>
    <w:rsid w:val="004B1C84"/>
    <w:rsid w:val="004B4601"/>
    <w:rsid w:val="004B5A4C"/>
    <w:rsid w:val="004C0075"/>
    <w:rsid w:val="004C3081"/>
    <w:rsid w:val="004C5AF6"/>
    <w:rsid w:val="004C5E1F"/>
    <w:rsid w:val="004D1266"/>
    <w:rsid w:val="004D26AF"/>
    <w:rsid w:val="004D5753"/>
    <w:rsid w:val="004D6999"/>
    <w:rsid w:val="004E0ECB"/>
    <w:rsid w:val="004E557B"/>
    <w:rsid w:val="004E611A"/>
    <w:rsid w:val="004E6DAA"/>
    <w:rsid w:val="004F045E"/>
    <w:rsid w:val="004F22B1"/>
    <w:rsid w:val="004F6F7D"/>
    <w:rsid w:val="00504F4C"/>
    <w:rsid w:val="00505366"/>
    <w:rsid w:val="005101D3"/>
    <w:rsid w:val="00511BD8"/>
    <w:rsid w:val="00515CFD"/>
    <w:rsid w:val="00520F8C"/>
    <w:rsid w:val="00521CEC"/>
    <w:rsid w:val="00523536"/>
    <w:rsid w:val="005367D9"/>
    <w:rsid w:val="00537995"/>
    <w:rsid w:val="005423B5"/>
    <w:rsid w:val="00542984"/>
    <w:rsid w:val="0054548C"/>
    <w:rsid w:val="00547128"/>
    <w:rsid w:val="00553AA8"/>
    <w:rsid w:val="00557500"/>
    <w:rsid w:val="005612CC"/>
    <w:rsid w:val="005623C4"/>
    <w:rsid w:val="00562992"/>
    <w:rsid w:val="0056568C"/>
    <w:rsid w:val="00565974"/>
    <w:rsid w:val="005712B4"/>
    <w:rsid w:val="00573BA5"/>
    <w:rsid w:val="00574EE2"/>
    <w:rsid w:val="00575692"/>
    <w:rsid w:val="005802BF"/>
    <w:rsid w:val="005805B1"/>
    <w:rsid w:val="00580EEA"/>
    <w:rsid w:val="00583639"/>
    <w:rsid w:val="0058635B"/>
    <w:rsid w:val="00593D33"/>
    <w:rsid w:val="005944BC"/>
    <w:rsid w:val="005A1CAC"/>
    <w:rsid w:val="005A1FA6"/>
    <w:rsid w:val="005A5876"/>
    <w:rsid w:val="005A780C"/>
    <w:rsid w:val="005B47A1"/>
    <w:rsid w:val="005B5856"/>
    <w:rsid w:val="005B5B7F"/>
    <w:rsid w:val="005B5F64"/>
    <w:rsid w:val="005B6774"/>
    <w:rsid w:val="005C46FA"/>
    <w:rsid w:val="005C4B2D"/>
    <w:rsid w:val="005C7733"/>
    <w:rsid w:val="005D17BB"/>
    <w:rsid w:val="005D209E"/>
    <w:rsid w:val="005D2883"/>
    <w:rsid w:val="005D3751"/>
    <w:rsid w:val="005D3D74"/>
    <w:rsid w:val="005D5512"/>
    <w:rsid w:val="005D552A"/>
    <w:rsid w:val="005D60BB"/>
    <w:rsid w:val="005E01D9"/>
    <w:rsid w:val="005E04E6"/>
    <w:rsid w:val="005E30FE"/>
    <w:rsid w:val="005E59BC"/>
    <w:rsid w:val="005E7FE5"/>
    <w:rsid w:val="0060200A"/>
    <w:rsid w:val="00602635"/>
    <w:rsid w:val="0060311E"/>
    <w:rsid w:val="00604B97"/>
    <w:rsid w:val="00605984"/>
    <w:rsid w:val="0061072B"/>
    <w:rsid w:val="006137E9"/>
    <w:rsid w:val="00613FDA"/>
    <w:rsid w:val="0061451D"/>
    <w:rsid w:val="00614CAA"/>
    <w:rsid w:val="00620E37"/>
    <w:rsid w:val="00621631"/>
    <w:rsid w:val="006228D6"/>
    <w:rsid w:val="00623728"/>
    <w:rsid w:val="00624EAF"/>
    <w:rsid w:val="006256A8"/>
    <w:rsid w:val="00630F66"/>
    <w:rsid w:val="0063210B"/>
    <w:rsid w:val="006422FD"/>
    <w:rsid w:val="006434CC"/>
    <w:rsid w:val="006501C6"/>
    <w:rsid w:val="0065201C"/>
    <w:rsid w:val="00652205"/>
    <w:rsid w:val="00652353"/>
    <w:rsid w:val="00653C3F"/>
    <w:rsid w:val="0065401C"/>
    <w:rsid w:val="00654BB7"/>
    <w:rsid w:val="00656BA3"/>
    <w:rsid w:val="00660975"/>
    <w:rsid w:val="00661650"/>
    <w:rsid w:val="00664AE1"/>
    <w:rsid w:val="006659EC"/>
    <w:rsid w:val="00672277"/>
    <w:rsid w:val="00673B77"/>
    <w:rsid w:val="006749DA"/>
    <w:rsid w:val="00674EF0"/>
    <w:rsid w:val="00675766"/>
    <w:rsid w:val="00677087"/>
    <w:rsid w:val="00677E1A"/>
    <w:rsid w:val="00681303"/>
    <w:rsid w:val="00682B00"/>
    <w:rsid w:val="00686D54"/>
    <w:rsid w:val="00690B4E"/>
    <w:rsid w:val="00691AD7"/>
    <w:rsid w:val="00693121"/>
    <w:rsid w:val="0069684B"/>
    <w:rsid w:val="00697149"/>
    <w:rsid w:val="006A0823"/>
    <w:rsid w:val="006A2B77"/>
    <w:rsid w:val="006A45D0"/>
    <w:rsid w:val="006B2011"/>
    <w:rsid w:val="006B33ED"/>
    <w:rsid w:val="006B5422"/>
    <w:rsid w:val="006D0EAC"/>
    <w:rsid w:val="006D2FAC"/>
    <w:rsid w:val="006D752D"/>
    <w:rsid w:val="006E5182"/>
    <w:rsid w:val="006E55CE"/>
    <w:rsid w:val="006E55E6"/>
    <w:rsid w:val="006E7906"/>
    <w:rsid w:val="006F0635"/>
    <w:rsid w:val="006F14B3"/>
    <w:rsid w:val="006F27A3"/>
    <w:rsid w:val="006F4499"/>
    <w:rsid w:val="006F6C10"/>
    <w:rsid w:val="006F7933"/>
    <w:rsid w:val="00705023"/>
    <w:rsid w:val="00705F79"/>
    <w:rsid w:val="00707E7C"/>
    <w:rsid w:val="007128E1"/>
    <w:rsid w:val="0071581A"/>
    <w:rsid w:val="00715A45"/>
    <w:rsid w:val="00717674"/>
    <w:rsid w:val="00717A99"/>
    <w:rsid w:val="00717CA2"/>
    <w:rsid w:val="00721F01"/>
    <w:rsid w:val="00723308"/>
    <w:rsid w:val="00725B52"/>
    <w:rsid w:val="007263E9"/>
    <w:rsid w:val="007301D5"/>
    <w:rsid w:val="0073376F"/>
    <w:rsid w:val="007350B0"/>
    <w:rsid w:val="007371EF"/>
    <w:rsid w:val="00741FAF"/>
    <w:rsid w:val="00743037"/>
    <w:rsid w:val="00743E5E"/>
    <w:rsid w:val="00745FD1"/>
    <w:rsid w:val="00746C92"/>
    <w:rsid w:val="00750FFB"/>
    <w:rsid w:val="00753F99"/>
    <w:rsid w:val="00756B3C"/>
    <w:rsid w:val="00760CCB"/>
    <w:rsid w:val="0076107D"/>
    <w:rsid w:val="00761F37"/>
    <w:rsid w:val="00762F07"/>
    <w:rsid w:val="00764CDE"/>
    <w:rsid w:val="0076564C"/>
    <w:rsid w:val="0076777C"/>
    <w:rsid w:val="00773E40"/>
    <w:rsid w:val="00777DFD"/>
    <w:rsid w:val="0078056A"/>
    <w:rsid w:val="00780D24"/>
    <w:rsid w:val="007817C3"/>
    <w:rsid w:val="00785A3B"/>
    <w:rsid w:val="0078744F"/>
    <w:rsid w:val="00790CA2"/>
    <w:rsid w:val="00791ADD"/>
    <w:rsid w:val="007935A1"/>
    <w:rsid w:val="00796604"/>
    <w:rsid w:val="007A2CEF"/>
    <w:rsid w:val="007B3864"/>
    <w:rsid w:val="007B3E72"/>
    <w:rsid w:val="007B67B5"/>
    <w:rsid w:val="007C01F4"/>
    <w:rsid w:val="007C16A9"/>
    <w:rsid w:val="007C19AE"/>
    <w:rsid w:val="007C555D"/>
    <w:rsid w:val="007D3EC1"/>
    <w:rsid w:val="007D5E00"/>
    <w:rsid w:val="007E1FDE"/>
    <w:rsid w:val="007E2C08"/>
    <w:rsid w:val="007E3B0E"/>
    <w:rsid w:val="007E6C0E"/>
    <w:rsid w:val="007E6CCD"/>
    <w:rsid w:val="007F1446"/>
    <w:rsid w:val="007F4614"/>
    <w:rsid w:val="007F70F4"/>
    <w:rsid w:val="00800058"/>
    <w:rsid w:val="00800BA7"/>
    <w:rsid w:val="00802140"/>
    <w:rsid w:val="0080270F"/>
    <w:rsid w:val="00810B3F"/>
    <w:rsid w:val="00811A45"/>
    <w:rsid w:val="00814BED"/>
    <w:rsid w:val="0082101B"/>
    <w:rsid w:val="0082176D"/>
    <w:rsid w:val="00821E65"/>
    <w:rsid w:val="0082443A"/>
    <w:rsid w:val="008251A2"/>
    <w:rsid w:val="008258AB"/>
    <w:rsid w:val="00826A2C"/>
    <w:rsid w:val="00827F62"/>
    <w:rsid w:val="00831017"/>
    <w:rsid w:val="00834A61"/>
    <w:rsid w:val="00835B0B"/>
    <w:rsid w:val="00841B5E"/>
    <w:rsid w:val="00842921"/>
    <w:rsid w:val="008467A3"/>
    <w:rsid w:val="00850B50"/>
    <w:rsid w:val="00850D52"/>
    <w:rsid w:val="00852D2D"/>
    <w:rsid w:val="0085421F"/>
    <w:rsid w:val="00855267"/>
    <w:rsid w:val="00857F76"/>
    <w:rsid w:val="008612CC"/>
    <w:rsid w:val="00861E14"/>
    <w:rsid w:val="00863432"/>
    <w:rsid w:val="00863DB9"/>
    <w:rsid w:val="00864A0A"/>
    <w:rsid w:val="00866136"/>
    <w:rsid w:val="008663F1"/>
    <w:rsid w:val="0087013C"/>
    <w:rsid w:val="008707C0"/>
    <w:rsid w:val="00872DEF"/>
    <w:rsid w:val="00874219"/>
    <w:rsid w:val="008749E1"/>
    <w:rsid w:val="00876E37"/>
    <w:rsid w:val="00877BC6"/>
    <w:rsid w:val="00877DF0"/>
    <w:rsid w:val="00880BF4"/>
    <w:rsid w:val="008811A9"/>
    <w:rsid w:val="008811E8"/>
    <w:rsid w:val="00881E1A"/>
    <w:rsid w:val="0088225A"/>
    <w:rsid w:val="00884617"/>
    <w:rsid w:val="00885E0B"/>
    <w:rsid w:val="00886966"/>
    <w:rsid w:val="00886BD1"/>
    <w:rsid w:val="00887B90"/>
    <w:rsid w:val="00887EB8"/>
    <w:rsid w:val="00892BF0"/>
    <w:rsid w:val="0089617B"/>
    <w:rsid w:val="008A3539"/>
    <w:rsid w:val="008A43A9"/>
    <w:rsid w:val="008A43CA"/>
    <w:rsid w:val="008A4B88"/>
    <w:rsid w:val="008A6F77"/>
    <w:rsid w:val="008B0F25"/>
    <w:rsid w:val="008B2059"/>
    <w:rsid w:val="008B3A72"/>
    <w:rsid w:val="008B4745"/>
    <w:rsid w:val="008B61C3"/>
    <w:rsid w:val="008B6E2A"/>
    <w:rsid w:val="008B75C8"/>
    <w:rsid w:val="008C0DBB"/>
    <w:rsid w:val="008C0E93"/>
    <w:rsid w:val="008C3E9A"/>
    <w:rsid w:val="008C598B"/>
    <w:rsid w:val="008D2EE0"/>
    <w:rsid w:val="008D4058"/>
    <w:rsid w:val="008D41C5"/>
    <w:rsid w:val="008D6672"/>
    <w:rsid w:val="008D7FA3"/>
    <w:rsid w:val="008E0274"/>
    <w:rsid w:val="008E0CEC"/>
    <w:rsid w:val="008E104A"/>
    <w:rsid w:val="008E2027"/>
    <w:rsid w:val="008E47A0"/>
    <w:rsid w:val="008E60F9"/>
    <w:rsid w:val="008E62F8"/>
    <w:rsid w:val="008E7183"/>
    <w:rsid w:val="008F0002"/>
    <w:rsid w:val="008F0D19"/>
    <w:rsid w:val="008F2DCE"/>
    <w:rsid w:val="008F42CA"/>
    <w:rsid w:val="008F6C57"/>
    <w:rsid w:val="0090103E"/>
    <w:rsid w:val="0090247B"/>
    <w:rsid w:val="009061CB"/>
    <w:rsid w:val="009064C8"/>
    <w:rsid w:val="00910B1A"/>
    <w:rsid w:val="0091252F"/>
    <w:rsid w:val="00913B3C"/>
    <w:rsid w:val="00916450"/>
    <w:rsid w:val="00917304"/>
    <w:rsid w:val="009248E8"/>
    <w:rsid w:val="00936CA5"/>
    <w:rsid w:val="009406B5"/>
    <w:rsid w:val="00941464"/>
    <w:rsid w:val="009448D7"/>
    <w:rsid w:val="00950E58"/>
    <w:rsid w:val="009553E6"/>
    <w:rsid w:val="00955786"/>
    <w:rsid w:val="00960280"/>
    <w:rsid w:val="009608D0"/>
    <w:rsid w:val="00961F59"/>
    <w:rsid w:val="00962F33"/>
    <w:rsid w:val="009633F8"/>
    <w:rsid w:val="00963D0C"/>
    <w:rsid w:val="00964C55"/>
    <w:rsid w:val="009663EF"/>
    <w:rsid w:val="00966AC6"/>
    <w:rsid w:val="00973127"/>
    <w:rsid w:val="0097588D"/>
    <w:rsid w:val="00976650"/>
    <w:rsid w:val="00977663"/>
    <w:rsid w:val="00982E71"/>
    <w:rsid w:val="009842BC"/>
    <w:rsid w:val="00984586"/>
    <w:rsid w:val="00984ECD"/>
    <w:rsid w:val="00990FBD"/>
    <w:rsid w:val="009923BB"/>
    <w:rsid w:val="00995EE2"/>
    <w:rsid w:val="00997AD5"/>
    <w:rsid w:val="009A189D"/>
    <w:rsid w:val="009A50B4"/>
    <w:rsid w:val="009A7E91"/>
    <w:rsid w:val="009B3FF1"/>
    <w:rsid w:val="009B50B9"/>
    <w:rsid w:val="009B653F"/>
    <w:rsid w:val="009B7DA9"/>
    <w:rsid w:val="009C12E6"/>
    <w:rsid w:val="009C171F"/>
    <w:rsid w:val="009C1912"/>
    <w:rsid w:val="009C1BDD"/>
    <w:rsid w:val="009C384C"/>
    <w:rsid w:val="009C6168"/>
    <w:rsid w:val="009D02DE"/>
    <w:rsid w:val="009D0836"/>
    <w:rsid w:val="009D1439"/>
    <w:rsid w:val="009D2DB7"/>
    <w:rsid w:val="009D36F0"/>
    <w:rsid w:val="009D6418"/>
    <w:rsid w:val="009D737A"/>
    <w:rsid w:val="009E0653"/>
    <w:rsid w:val="009E1F47"/>
    <w:rsid w:val="00A06744"/>
    <w:rsid w:val="00A07194"/>
    <w:rsid w:val="00A14BBB"/>
    <w:rsid w:val="00A15372"/>
    <w:rsid w:val="00A16A4E"/>
    <w:rsid w:val="00A1788F"/>
    <w:rsid w:val="00A202D4"/>
    <w:rsid w:val="00A209E7"/>
    <w:rsid w:val="00A242BB"/>
    <w:rsid w:val="00A27638"/>
    <w:rsid w:val="00A30B1D"/>
    <w:rsid w:val="00A32A86"/>
    <w:rsid w:val="00A32AB0"/>
    <w:rsid w:val="00A32D3C"/>
    <w:rsid w:val="00A33400"/>
    <w:rsid w:val="00A34573"/>
    <w:rsid w:val="00A3464F"/>
    <w:rsid w:val="00A40DEC"/>
    <w:rsid w:val="00A43D10"/>
    <w:rsid w:val="00A44971"/>
    <w:rsid w:val="00A45B5F"/>
    <w:rsid w:val="00A46049"/>
    <w:rsid w:val="00A46AFC"/>
    <w:rsid w:val="00A50C62"/>
    <w:rsid w:val="00A520FD"/>
    <w:rsid w:val="00A52547"/>
    <w:rsid w:val="00A52B34"/>
    <w:rsid w:val="00A56DA6"/>
    <w:rsid w:val="00A624C6"/>
    <w:rsid w:val="00A63624"/>
    <w:rsid w:val="00A656FF"/>
    <w:rsid w:val="00A65EB7"/>
    <w:rsid w:val="00A674AD"/>
    <w:rsid w:val="00A7028A"/>
    <w:rsid w:val="00A71BC9"/>
    <w:rsid w:val="00A754DC"/>
    <w:rsid w:val="00A810BA"/>
    <w:rsid w:val="00A850F2"/>
    <w:rsid w:val="00A86B69"/>
    <w:rsid w:val="00A8717D"/>
    <w:rsid w:val="00A879C6"/>
    <w:rsid w:val="00A93E11"/>
    <w:rsid w:val="00A93FC0"/>
    <w:rsid w:val="00A94020"/>
    <w:rsid w:val="00A96E79"/>
    <w:rsid w:val="00AA1CC9"/>
    <w:rsid w:val="00AA2A3E"/>
    <w:rsid w:val="00AA3CA2"/>
    <w:rsid w:val="00AA4D47"/>
    <w:rsid w:val="00AA6E28"/>
    <w:rsid w:val="00AB0B9E"/>
    <w:rsid w:val="00AB0BCA"/>
    <w:rsid w:val="00AB5DFD"/>
    <w:rsid w:val="00AC0549"/>
    <w:rsid w:val="00AC3367"/>
    <w:rsid w:val="00AC692A"/>
    <w:rsid w:val="00AD0DBA"/>
    <w:rsid w:val="00AD566E"/>
    <w:rsid w:val="00AD6994"/>
    <w:rsid w:val="00AE3DCD"/>
    <w:rsid w:val="00AE4005"/>
    <w:rsid w:val="00AE4038"/>
    <w:rsid w:val="00AE52F4"/>
    <w:rsid w:val="00AE53BE"/>
    <w:rsid w:val="00AE7109"/>
    <w:rsid w:val="00AE7DB7"/>
    <w:rsid w:val="00AF07A3"/>
    <w:rsid w:val="00AF116F"/>
    <w:rsid w:val="00AF50A5"/>
    <w:rsid w:val="00AF7C37"/>
    <w:rsid w:val="00B04D43"/>
    <w:rsid w:val="00B060E8"/>
    <w:rsid w:val="00B06AA2"/>
    <w:rsid w:val="00B1104D"/>
    <w:rsid w:val="00B11BD9"/>
    <w:rsid w:val="00B15177"/>
    <w:rsid w:val="00B17C83"/>
    <w:rsid w:val="00B2626B"/>
    <w:rsid w:val="00B26FFF"/>
    <w:rsid w:val="00B276BD"/>
    <w:rsid w:val="00B327E4"/>
    <w:rsid w:val="00B337E0"/>
    <w:rsid w:val="00B33F00"/>
    <w:rsid w:val="00B34DA7"/>
    <w:rsid w:val="00B40193"/>
    <w:rsid w:val="00B41DD8"/>
    <w:rsid w:val="00B42C76"/>
    <w:rsid w:val="00B431A8"/>
    <w:rsid w:val="00B43777"/>
    <w:rsid w:val="00B442F0"/>
    <w:rsid w:val="00B4565E"/>
    <w:rsid w:val="00B45A55"/>
    <w:rsid w:val="00B526B0"/>
    <w:rsid w:val="00B54781"/>
    <w:rsid w:val="00B6091E"/>
    <w:rsid w:val="00B64364"/>
    <w:rsid w:val="00B700ED"/>
    <w:rsid w:val="00B710BD"/>
    <w:rsid w:val="00B72EB4"/>
    <w:rsid w:val="00B73217"/>
    <w:rsid w:val="00B777F7"/>
    <w:rsid w:val="00B84B86"/>
    <w:rsid w:val="00B86621"/>
    <w:rsid w:val="00B86DCF"/>
    <w:rsid w:val="00B86E36"/>
    <w:rsid w:val="00B92862"/>
    <w:rsid w:val="00B94779"/>
    <w:rsid w:val="00BA03F2"/>
    <w:rsid w:val="00BA2EE9"/>
    <w:rsid w:val="00BA3DF1"/>
    <w:rsid w:val="00BB1FF5"/>
    <w:rsid w:val="00BC14F1"/>
    <w:rsid w:val="00BC35A6"/>
    <w:rsid w:val="00BC56FB"/>
    <w:rsid w:val="00BC58BF"/>
    <w:rsid w:val="00BD23F0"/>
    <w:rsid w:val="00BD5D58"/>
    <w:rsid w:val="00BD5E60"/>
    <w:rsid w:val="00BE05EC"/>
    <w:rsid w:val="00BE05F8"/>
    <w:rsid w:val="00BE1644"/>
    <w:rsid w:val="00BE38C9"/>
    <w:rsid w:val="00BE47CF"/>
    <w:rsid w:val="00BF0C81"/>
    <w:rsid w:val="00BF1E46"/>
    <w:rsid w:val="00BF3498"/>
    <w:rsid w:val="00BF3C40"/>
    <w:rsid w:val="00BF4105"/>
    <w:rsid w:val="00BF63A2"/>
    <w:rsid w:val="00BF7BF7"/>
    <w:rsid w:val="00C00356"/>
    <w:rsid w:val="00C01CDE"/>
    <w:rsid w:val="00C03738"/>
    <w:rsid w:val="00C0559C"/>
    <w:rsid w:val="00C0726E"/>
    <w:rsid w:val="00C0779A"/>
    <w:rsid w:val="00C07E8F"/>
    <w:rsid w:val="00C167A5"/>
    <w:rsid w:val="00C237A7"/>
    <w:rsid w:val="00C26A9A"/>
    <w:rsid w:val="00C26D08"/>
    <w:rsid w:val="00C27F5A"/>
    <w:rsid w:val="00C306E6"/>
    <w:rsid w:val="00C32EA1"/>
    <w:rsid w:val="00C366CB"/>
    <w:rsid w:val="00C37EA1"/>
    <w:rsid w:val="00C40F0E"/>
    <w:rsid w:val="00C45122"/>
    <w:rsid w:val="00C45A8D"/>
    <w:rsid w:val="00C46DF2"/>
    <w:rsid w:val="00C4745F"/>
    <w:rsid w:val="00C512EF"/>
    <w:rsid w:val="00C53EFF"/>
    <w:rsid w:val="00C555F5"/>
    <w:rsid w:val="00C561B2"/>
    <w:rsid w:val="00C5623B"/>
    <w:rsid w:val="00C57336"/>
    <w:rsid w:val="00C57F45"/>
    <w:rsid w:val="00C6000B"/>
    <w:rsid w:val="00C60BA8"/>
    <w:rsid w:val="00C62051"/>
    <w:rsid w:val="00C62E08"/>
    <w:rsid w:val="00C64332"/>
    <w:rsid w:val="00C64A53"/>
    <w:rsid w:val="00C7139E"/>
    <w:rsid w:val="00C7523A"/>
    <w:rsid w:val="00C807A6"/>
    <w:rsid w:val="00C84A04"/>
    <w:rsid w:val="00C854D4"/>
    <w:rsid w:val="00C8614A"/>
    <w:rsid w:val="00C93C07"/>
    <w:rsid w:val="00C94290"/>
    <w:rsid w:val="00CA2414"/>
    <w:rsid w:val="00CA244E"/>
    <w:rsid w:val="00CA31BF"/>
    <w:rsid w:val="00CA4B60"/>
    <w:rsid w:val="00CA52EF"/>
    <w:rsid w:val="00CA5CD0"/>
    <w:rsid w:val="00CA72D6"/>
    <w:rsid w:val="00CA7313"/>
    <w:rsid w:val="00CB0C09"/>
    <w:rsid w:val="00CB104D"/>
    <w:rsid w:val="00CB5B48"/>
    <w:rsid w:val="00CB6215"/>
    <w:rsid w:val="00CC157B"/>
    <w:rsid w:val="00CC2C08"/>
    <w:rsid w:val="00CC56E5"/>
    <w:rsid w:val="00CD2663"/>
    <w:rsid w:val="00CD2F5F"/>
    <w:rsid w:val="00CD5C78"/>
    <w:rsid w:val="00CD77FF"/>
    <w:rsid w:val="00CE3853"/>
    <w:rsid w:val="00CE6080"/>
    <w:rsid w:val="00CE67ED"/>
    <w:rsid w:val="00CF7732"/>
    <w:rsid w:val="00D001BF"/>
    <w:rsid w:val="00D02311"/>
    <w:rsid w:val="00D048FD"/>
    <w:rsid w:val="00D05A6A"/>
    <w:rsid w:val="00D06F2A"/>
    <w:rsid w:val="00D070B1"/>
    <w:rsid w:val="00D07827"/>
    <w:rsid w:val="00D1033C"/>
    <w:rsid w:val="00D11320"/>
    <w:rsid w:val="00D17A39"/>
    <w:rsid w:val="00D20007"/>
    <w:rsid w:val="00D227FD"/>
    <w:rsid w:val="00D239C2"/>
    <w:rsid w:val="00D26FAA"/>
    <w:rsid w:val="00D30014"/>
    <w:rsid w:val="00D31E23"/>
    <w:rsid w:val="00D324AD"/>
    <w:rsid w:val="00D32835"/>
    <w:rsid w:val="00D32E6C"/>
    <w:rsid w:val="00D35C4F"/>
    <w:rsid w:val="00D35ED4"/>
    <w:rsid w:val="00D36428"/>
    <w:rsid w:val="00D376B5"/>
    <w:rsid w:val="00D37A40"/>
    <w:rsid w:val="00D40E51"/>
    <w:rsid w:val="00D41795"/>
    <w:rsid w:val="00D42219"/>
    <w:rsid w:val="00D44149"/>
    <w:rsid w:val="00D473F1"/>
    <w:rsid w:val="00D47E05"/>
    <w:rsid w:val="00D55F93"/>
    <w:rsid w:val="00D61DB9"/>
    <w:rsid w:val="00D61E32"/>
    <w:rsid w:val="00D62D45"/>
    <w:rsid w:val="00D641B8"/>
    <w:rsid w:val="00D64EF5"/>
    <w:rsid w:val="00D716D4"/>
    <w:rsid w:val="00D72BC0"/>
    <w:rsid w:val="00D74451"/>
    <w:rsid w:val="00D77D54"/>
    <w:rsid w:val="00D81525"/>
    <w:rsid w:val="00D84A6F"/>
    <w:rsid w:val="00D86F7B"/>
    <w:rsid w:val="00D93E2C"/>
    <w:rsid w:val="00D9758E"/>
    <w:rsid w:val="00DA29D3"/>
    <w:rsid w:val="00DA43D3"/>
    <w:rsid w:val="00DA46BA"/>
    <w:rsid w:val="00DA5F57"/>
    <w:rsid w:val="00DA72FD"/>
    <w:rsid w:val="00DB1D58"/>
    <w:rsid w:val="00DB2F1C"/>
    <w:rsid w:val="00DB5421"/>
    <w:rsid w:val="00DB7047"/>
    <w:rsid w:val="00DC0ADF"/>
    <w:rsid w:val="00DD3812"/>
    <w:rsid w:val="00DD5071"/>
    <w:rsid w:val="00DD5D15"/>
    <w:rsid w:val="00DD7822"/>
    <w:rsid w:val="00DE4C70"/>
    <w:rsid w:val="00DE71B4"/>
    <w:rsid w:val="00DE7C39"/>
    <w:rsid w:val="00DF3A2D"/>
    <w:rsid w:val="00DF4D5E"/>
    <w:rsid w:val="00DF68D4"/>
    <w:rsid w:val="00E0647C"/>
    <w:rsid w:val="00E06B9C"/>
    <w:rsid w:val="00E076BB"/>
    <w:rsid w:val="00E101D8"/>
    <w:rsid w:val="00E122EA"/>
    <w:rsid w:val="00E12AB9"/>
    <w:rsid w:val="00E1396C"/>
    <w:rsid w:val="00E13B12"/>
    <w:rsid w:val="00E2049C"/>
    <w:rsid w:val="00E209B0"/>
    <w:rsid w:val="00E2121A"/>
    <w:rsid w:val="00E232B1"/>
    <w:rsid w:val="00E31FB1"/>
    <w:rsid w:val="00E353FB"/>
    <w:rsid w:val="00E35BD2"/>
    <w:rsid w:val="00E400DD"/>
    <w:rsid w:val="00E40582"/>
    <w:rsid w:val="00E4228F"/>
    <w:rsid w:val="00E42646"/>
    <w:rsid w:val="00E428D2"/>
    <w:rsid w:val="00E4555A"/>
    <w:rsid w:val="00E501C4"/>
    <w:rsid w:val="00E50706"/>
    <w:rsid w:val="00E519A3"/>
    <w:rsid w:val="00E51B5F"/>
    <w:rsid w:val="00E53B6F"/>
    <w:rsid w:val="00E57415"/>
    <w:rsid w:val="00E577A9"/>
    <w:rsid w:val="00E6054F"/>
    <w:rsid w:val="00E60B88"/>
    <w:rsid w:val="00E62A0F"/>
    <w:rsid w:val="00E65C89"/>
    <w:rsid w:val="00E72C5A"/>
    <w:rsid w:val="00E77739"/>
    <w:rsid w:val="00E778D2"/>
    <w:rsid w:val="00E77D85"/>
    <w:rsid w:val="00E82139"/>
    <w:rsid w:val="00E82890"/>
    <w:rsid w:val="00E87679"/>
    <w:rsid w:val="00E91406"/>
    <w:rsid w:val="00E934A3"/>
    <w:rsid w:val="00E94EF9"/>
    <w:rsid w:val="00E964A2"/>
    <w:rsid w:val="00E97FD0"/>
    <w:rsid w:val="00EA0B59"/>
    <w:rsid w:val="00EA3FB1"/>
    <w:rsid w:val="00EA4853"/>
    <w:rsid w:val="00EB3533"/>
    <w:rsid w:val="00EB4844"/>
    <w:rsid w:val="00EB5357"/>
    <w:rsid w:val="00EB6F0E"/>
    <w:rsid w:val="00EC0C80"/>
    <w:rsid w:val="00EC642A"/>
    <w:rsid w:val="00EC7AF3"/>
    <w:rsid w:val="00EC7B56"/>
    <w:rsid w:val="00ED3B29"/>
    <w:rsid w:val="00ED5E3A"/>
    <w:rsid w:val="00ED710B"/>
    <w:rsid w:val="00ED78FA"/>
    <w:rsid w:val="00ED7D0C"/>
    <w:rsid w:val="00EE15FE"/>
    <w:rsid w:val="00EE3084"/>
    <w:rsid w:val="00EF260A"/>
    <w:rsid w:val="00EF35C4"/>
    <w:rsid w:val="00EF64A2"/>
    <w:rsid w:val="00F0233F"/>
    <w:rsid w:val="00F10821"/>
    <w:rsid w:val="00F11841"/>
    <w:rsid w:val="00F144AF"/>
    <w:rsid w:val="00F1476F"/>
    <w:rsid w:val="00F1545F"/>
    <w:rsid w:val="00F15A76"/>
    <w:rsid w:val="00F16AF6"/>
    <w:rsid w:val="00F20544"/>
    <w:rsid w:val="00F22A7C"/>
    <w:rsid w:val="00F22B35"/>
    <w:rsid w:val="00F25B94"/>
    <w:rsid w:val="00F279B0"/>
    <w:rsid w:val="00F27B54"/>
    <w:rsid w:val="00F30890"/>
    <w:rsid w:val="00F324AB"/>
    <w:rsid w:val="00F36C60"/>
    <w:rsid w:val="00F409BE"/>
    <w:rsid w:val="00F428A2"/>
    <w:rsid w:val="00F43553"/>
    <w:rsid w:val="00F448FB"/>
    <w:rsid w:val="00F4645A"/>
    <w:rsid w:val="00F47279"/>
    <w:rsid w:val="00F500E0"/>
    <w:rsid w:val="00F51655"/>
    <w:rsid w:val="00F51851"/>
    <w:rsid w:val="00F52065"/>
    <w:rsid w:val="00F60A35"/>
    <w:rsid w:val="00F6505C"/>
    <w:rsid w:val="00F6515F"/>
    <w:rsid w:val="00F66AE5"/>
    <w:rsid w:val="00F716C3"/>
    <w:rsid w:val="00F73E07"/>
    <w:rsid w:val="00F746FD"/>
    <w:rsid w:val="00F76215"/>
    <w:rsid w:val="00F80AF1"/>
    <w:rsid w:val="00F81CAE"/>
    <w:rsid w:val="00F900C5"/>
    <w:rsid w:val="00F909A7"/>
    <w:rsid w:val="00F963FF"/>
    <w:rsid w:val="00FA077B"/>
    <w:rsid w:val="00FA1DA3"/>
    <w:rsid w:val="00FA305C"/>
    <w:rsid w:val="00FA56CE"/>
    <w:rsid w:val="00FA5FEA"/>
    <w:rsid w:val="00FA776A"/>
    <w:rsid w:val="00FB4253"/>
    <w:rsid w:val="00FB5F2F"/>
    <w:rsid w:val="00FB61BF"/>
    <w:rsid w:val="00FC0306"/>
    <w:rsid w:val="00FD0BF6"/>
    <w:rsid w:val="00FD21E2"/>
    <w:rsid w:val="00FD4718"/>
    <w:rsid w:val="00FE0F79"/>
    <w:rsid w:val="00FE5F8C"/>
    <w:rsid w:val="00FE61D1"/>
    <w:rsid w:val="00FF2D90"/>
    <w:rsid w:val="00FF30CD"/>
    <w:rsid w:val="00FF31EC"/>
    <w:rsid w:val="00FF38FA"/>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ln">
    <w:name w:val="Normal"/>
    <w:qFormat/>
    <w:rsid w:val="00D5376A"/>
    <w:pPr>
      <w:jc w:val="both"/>
    </w:pPr>
    <w:rPr>
      <w:sz w:val="22"/>
    </w:rPr>
  </w:style>
  <w:style w:type="paragraph" w:styleId="Nadpis1">
    <w:name w:val="heading 1"/>
    <w:basedOn w:val="Normln"/>
    <w:next w:val="Normln"/>
    <w:link w:val="Nadpis1Char"/>
    <w:qFormat/>
    <w:rsid w:val="00D5376A"/>
    <w:pPr>
      <w:keepNext/>
      <w:outlineLvl w:val="0"/>
    </w:pPr>
    <w:rPr>
      <w:b/>
      <w:bCs/>
      <w:color w:val="000000"/>
      <w:szCs w:val="24"/>
    </w:rPr>
  </w:style>
  <w:style w:type="paragraph" w:styleId="Nadpis2">
    <w:name w:val="heading 2"/>
    <w:basedOn w:val="Normln"/>
    <w:next w:val="Normln"/>
    <w:link w:val="Nadpis2Char"/>
    <w:qFormat/>
    <w:rsid w:val="00D5376A"/>
    <w:pPr>
      <w:keepNext/>
      <w:widowControl w:val="0"/>
      <w:jc w:val="left"/>
      <w:outlineLvl w:val="1"/>
    </w:pPr>
    <w:rPr>
      <w:b/>
      <w:i/>
      <w:iCs/>
      <w:szCs w:val="24"/>
    </w:rPr>
  </w:style>
  <w:style w:type="paragraph" w:styleId="Nadpis3">
    <w:name w:val="heading 3"/>
    <w:basedOn w:val="Normln"/>
    <w:next w:val="Normln"/>
    <w:link w:val="Nadpis3Char"/>
    <w:qFormat/>
    <w:rsid w:val="00D5376A"/>
    <w:pPr>
      <w:keepNext/>
      <w:outlineLvl w:val="2"/>
    </w:pPr>
    <w:rPr>
      <w:b/>
      <w:color w:val="000080"/>
      <w:sz w:val="24"/>
    </w:rPr>
  </w:style>
  <w:style w:type="paragraph" w:styleId="Nadpis4">
    <w:name w:val="heading 4"/>
    <w:basedOn w:val="Normln"/>
    <w:next w:val="Normln"/>
    <w:link w:val="Nadpis4Char"/>
    <w:qFormat/>
    <w:rsid w:val="00D5376A"/>
    <w:pPr>
      <w:keepNext/>
      <w:outlineLvl w:val="3"/>
    </w:pPr>
    <w:rPr>
      <w:b/>
      <w:bCs/>
      <w:i/>
      <w:iCs/>
      <w:color w:val="000000"/>
      <w:szCs w:val="24"/>
    </w:rPr>
  </w:style>
  <w:style w:type="paragraph" w:styleId="Nadpis5">
    <w:name w:val="heading 5"/>
    <w:basedOn w:val="Normln"/>
    <w:next w:val="Normln"/>
    <w:link w:val="Nadpis5Char"/>
    <w:qFormat/>
    <w:rsid w:val="00D5376A"/>
    <w:pPr>
      <w:keepNext/>
      <w:widowControl w:val="0"/>
      <w:outlineLvl w:val="4"/>
    </w:pPr>
    <w:rPr>
      <w:b/>
      <w:bCs/>
      <w:i/>
      <w:iCs/>
      <w:szCs w:val="24"/>
    </w:rPr>
  </w:style>
  <w:style w:type="paragraph" w:styleId="Nadpis6">
    <w:name w:val="heading 6"/>
    <w:basedOn w:val="Normln"/>
    <w:next w:val="Normln"/>
    <w:link w:val="Nadpis6Char"/>
    <w:qFormat/>
    <w:rsid w:val="00D5376A"/>
    <w:pPr>
      <w:spacing w:before="240" w:after="60"/>
      <w:jc w:val="left"/>
      <w:outlineLvl w:val="5"/>
    </w:pPr>
    <w:rPr>
      <w:b/>
      <w:bCs/>
      <w:szCs w:val="22"/>
    </w:rPr>
  </w:style>
  <w:style w:type="paragraph" w:styleId="Nadpis7">
    <w:name w:val="heading 7"/>
    <w:basedOn w:val="Normln"/>
    <w:next w:val="Normln"/>
    <w:link w:val="Nadpis7Char"/>
    <w:qFormat/>
    <w:rsid w:val="00D5376A"/>
    <w:pPr>
      <w:keepNext/>
      <w:jc w:val="center"/>
      <w:outlineLvl w:val="6"/>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A">
    <w:name w:val="A)"/>
    <w:rsid w:val="00D5376A"/>
    <w:pPr>
      <w:numPr>
        <w:numId w:val="1"/>
      </w:numPr>
    </w:pPr>
  </w:style>
  <w:style w:type="character" w:customStyle="1" w:styleId="Nadpis1Char">
    <w:name w:val="Nadpis 1 Char"/>
    <w:link w:val="Nadpis1"/>
    <w:rsid w:val="00D5376A"/>
    <w:rPr>
      <w:b/>
      <w:bCs/>
      <w:color w:val="000000"/>
      <w:sz w:val="22"/>
      <w:szCs w:val="24"/>
      <w:lang w:val="cs-CZ" w:eastAsia="cs-CZ" w:bidi="ar-SA"/>
    </w:rPr>
  </w:style>
  <w:style w:type="character" w:customStyle="1" w:styleId="Nadpis2Char">
    <w:name w:val="Nadpis 2 Char"/>
    <w:link w:val="Nadpis2"/>
    <w:rsid w:val="00D5376A"/>
    <w:rPr>
      <w:b/>
      <w:i/>
      <w:iCs/>
      <w:sz w:val="22"/>
      <w:szCs w:val="24"/>
      <w:lang w:val="cs-CZ" w:eastAsia="cs-CZ" w:bidi="ar-SA"/>
    </w:rPr>
  </w:style>
  <w:style w:type="character" w:customStyle="1" w:styleId="Nadpis3Char">
    <w:name w:val="Nadpis 3 Char"/>
    <w:link w:val="Nadpis3"/>
    <w:rsid w:val="00D5376A"/>
    <w:rPr>
      <w:b/>
      <w:color w:val="000080"/>
      <w:sz w:val="24"/>
      <w:lang w:val="cs-CZ" w:eastAsia="cs-CZ" w:bidi="ar-SA"/>
    </w:rPr>
  </w:style>
  <w:style w:type="character" w:customStyle="1" w:styleId="Nadpis4Char">
    <w:name w:val="Nadpis 4 Char"/>
    <w:link w:val="Nadpis4"/>
    <w:rsid w:val="00D5376A"/>
    <w:rPr>
      <w:b/>
      <w:bCs/>
      <w:i/>
      <w:iCs/>
      <w:color w:val="000000"/>
      <w:sz w:val="22"/>
      <w:szCs w:val="24"/>
      <w:lang w:val="cs-CZ" w:eastAsia="cs-CZ" w:bidi="ar-SA"/>
    </w:rPr>
  </w:style>
  <w:style w:type="character" w:customStyle="1" w:styleId="Nadpis5Char">
    <w:name w:val="Nadpis 5 Char"/>
    <w:link w:val="Nadpis5"/>
    <w:rsid w:val="00D5376A"/>
    <w:rPr>
      <w:b/>
      <w:bCs/>
      <w:i/>
      <w:iCs/>
      <w:sz w:val="22"/>
      <w:szCs w:val="24"/>
      <w:lang w:val="cs-CZ" w:eastAsia="cs-CZ" w:bidi="ar-SA"/>
    </w:rPr>
  </w:style>
  <w:style w:type="character" w:customStyle="1" w:styleId="Nadpis6Char">
    <w:name w:val="Nadpis 6 Char"/>
    <w:link w:val="Nadpis6"/>
    <w:rsid w:val="00D5376A"/>
    <w:rPr>
      <w:b/>
      <w:bCs/>
      <w:sz w:val="22"/>
      <w:szCs w:val="22"/>
      <w:lang w:val="cs-CZ" w:eastAsia="cs-CZ" w:bidi="ar-SA"/>
    </w:rPr>
  </w:style>
  <w:style w:type="character" w:customStyle="1" w:styleId="Nadpis7Char">
    <w:name w:val="Nadpis 7 Char"/>
    <w:link w:val="Nadpis7"/>
    <w:rsid w:val="00D5376A"/>
    <w:rPr>
      <w:b/>
      <w:sz w:val="22"/>
      <w:u w:val="single"/>
      <w:lang w:val="cs-CZ" w:eastAsia="cs-CZ" w:bidi="ar-SA"/>
    </w:rPr>
  </w:style>
  <w:style w:type="paragraph" w:styleId="Zhlav">
    <w:name w:val="header"/>
    <w:basedOn w:val="Normln"/>
    <w:link w:val="ZhlavChar"/>
    <w:rsid w:val="00D5376A"/>
    <w:pPr>
      <w:tabs>
        <w:tab w:val="center" w:pos="4536"/>
        <w:tab w:val="right" w:pos="9072"/>
      </w:tabs>
    </w:pPr>
  </w:style>
  <w:style w:type="character" w:customStyle="1" w:styleId="ZhlavChar">
    <w:name w:val="Záhlaví Char"/>
    <w:link w:val="Zhlav"/>
    <w:rsid w:val="00D5376A"/>
    <w:rPr>
      <w:sz w:val="22"/>
      <w:lang w:val="cs-CZ" w:eastAsia="cs-CZ" w:bidi="ar-SA"/>
    </w:rPr>
  </w:style>
  <w:style w:type="paragraph" w:styleId="Zpat">
    <w:name w:val="footer"/>
    <w:basedOn w:val="Normln"/>
    <w:link w:val="ZpatChar"/>
    <w:rsid w:val="00D5376A"/>
    <w:pPr>
      <w:tabs>
        <w:tab w:val="center" w:pos="4536"/>
        <w:tab w:val="right" w:pos="9072"/>
      </w:tabs>
    </w:pPr>
  </w:style>
  <w:style w:type="character" w:customStyle="1" w:styleId="ZpatChar">
    <w:name w:val="Zápatí Char"/>
    <w:link w:val="Zpat"/>
    <w:rsid w:val="00D5376A"/>
    <w:rPr>
      <w:sz w:val="22"/>
      <w:lang w:val="cs-CZ" w:eastAsia="cs-CZ" w:bidi="ar-SA"/>
    </w:rPr>
  </w:style>
  <w:style w:type="paragraph" w:styleId="Zkladntext">
    <w:name w:val="Body Text"/>
    <w:basedOn w:val="Normln"/>
    <w:link w:val="ZkladntextChar"/>
    <w:rsid w:val="00D5376A"/>
  </w:style>
  <w:style w:type="character" w:customStyle="1" w:styleId="ZkladntextChar">
    <w:name w:val="Základní text Char"/>
    <w:link w:val="Zkladntext"/>
    <w:rsid w:val="00D5376A"/>
    <w:rPr>
      <w:sz w:val="22"/>
      <w:lang w:val="cs-CZ" w:eastAsia="cs-CZ" w:bidi="ar-SA"/>
    </w:rPr>
  </w:style>
  <w:style w:type="paragraph" w:customStyle="1" w:styleId="Export0">
    <w:name w:val="Export 0"/>
    <w:rsid w:val="00D5376A"/>
    <w:rPr>
      <w:rFonts w:ascii="Avinion" w:hAnsi="Avinion"/>
      <w:sz w:val="24"/>
      <w:lang w:val="en-US"/>
    </w:rPr>
  </w:style>
  <w:style w:type="paragraph" w:styleId="Zkladntextodsazen3">
    <w:name w:val="Body Text Indent 3"/>
    <w:basedOn w:val="Normln"/>
    <w:link w:val="Zkladntextodsazen3Char"/>
    <w:rsid w:val="00D5376A"/>
    <w:pPr>
      <w:autoSpaceDE w:val="0"/>
      <w:autoSpaceDN w:val="0"/>
      <w:adjustRightInd w:val="0"/>
      <w:ind w:left="540"/>
      <w:jc w:val="left"/>
    </w:pPr>
    <w:rPr>
      <w:color w:val="000000"/>
    </w:rPr>
  </w:style>
  <w:style w:type="character" w:customStyle="1" w:styleId="Zkladntextodsazen3Char">
    <w:name w:val="Základní text odsazený 3 Char"/>
    <w:link w:val="Zkladntextodsazen3"/>
    <w:rsid w:val="00D5376A"/>
    <w:rPr>
      <w:color w:val="000000"/>
      <w:sz w:val="22"/>
      <w:lang w:val="cs-CZ" w:eastAsia="cs-CZ" w:bidi="ar-SA"/>
    </w:rPr>
  </w:style>
  <w:style w:type="character" w:styleId="slostrnky">
    <w:name w:val="page number"/>
    <w:basedOn w:val="Standardnpsmoodstavce"/>
    <w:rsid w:val="00D5376A"/>
  </w:style>
  <w:style w:type="paragraph" w:styleId="Zkladntextodsazen2">
    <w:name w:val="Body Text Indent 2"/>
    <w:basedOn w:val="Normln"/>
    <w:link w:val="Zkladntextodsazen2Char"/>
    <w:rsid w:val="00D5376A"/>
    <w:pPr>
      <w:ind w:left="426"/>
    </w:pPr>
    <w:rPr>
      <w:i/>
    </w:rPr>
  </w:style>
  <w:style w:type="character" w:customStyle="1" w:styleId="Zkladntextodsazen2Char">
    <w:name w:val="Základní text odsazený 2 Char"/>
    <w:link w:val="Zkladntextodsazen2"/>
    <w:rsid w:val="00D5376A"/>
    <w:rPr>
      <w:i/>
      <w:sz w:val="22"/>
      <w:lang w:val="cs-CZ" w:eastAsia="cs-CZ" w:bidi="ar-SA"/>
    </w:rPr>
  </w:style>
  <w:style w:type="paragraph" w:styleId="Zkladntextodsazen">
    <w:name w:val="Body Text Indent"/>
    <w:basedOn w:val="Normln"/>
    <w:link w:val="ZkladntextodsazenChar"/>
    <w:rsid w:val="00D5376A"/>
    <w:pPr>
      <w:autoSpaceDE w:val="0"/>
      <w:autoSpaceDN w:val="0"/>
      <w:adjustRightInd w:val="0"/>
      <w:ind w:left="6372"/>
      <w:jc w:val="left"/>
    </w:pPr>
    <w:rPr>
      <w:szCs w:val="24"/>
    </w:rPr>
  </w:style>
  <w:style w:type="character" w:customStyle="1" w:styleId="ZkladntextodsazenChar">
    <w:name w:val="Základní text odsazený Char"/>
    <w:link w:val="Zkladntextodsazen"/>
    <w:rsid w:val="00D5376A"/>
    <w:rPr>
      <w:sz w:val="22"/>
      <w:szCs w:val="24"/>
      <w:lang w:val="cs-CZ" w:eastAsia="cs-CZ" w:bidi="ar-SA"/>
    </w:rPr>
  </w:style>
  <w:style w:type="paragraph" w:styleId="Textkomente">
    <w:name w:val="annotation text"/>
    <w:basedOn w:val="Normln"/>
    <w:link w:val="TextkomenteChar"/>
    <w:rsid w:val="00D5376A"/>
    <w:pPr>
      <w:jc w:val="left"/>
    </w:pPr>
    <w:rPr>
      <w:sz w:val="20"/>
    </w:rPr>
  </w:style>
  <w:style w:type="character" w:customStyle="1" w:styleId="TextkomenteChar">
    <w:name w:val="Text komentáře Char"/>
    <w:link w:val="Textkomente"/>
    <w:rsid w:val="00D5376A"/>
    <w:rPr>
      <w:lang w:val="cs-CZ" w:eastAsia="cs-CZ" w:bidi="ar-SA"/>
    </w:rPr>
  </w:style>
  <w:style w:type="paragraph" w:styleId="Rozvrendokumentu">
    <w:name w:val="Document Map"/>
    <w:basedOn w:val="Normln"/>
    <w:link w:val="RozvrendokumentuChar"/>
    <w:rsid w:val="00D5376A"/>
    <w:pPr>
      <w:shd w:val="clear" w:color="auto" w:fill="000080"/>
      <w:jc w:val="left"/>
    </w:pPr>
    <w:rPr>
      <w:rFonts w:ascii="Tahoma" w:hAnsi="Tahoma" w:cs="Tahoma"/>
      <w:sz w:val="20"/>
    </w:rPr>
  </w:style>
  <w:style w:type="character" w:customStyle="1" w:styleId="RozvrendokumentuChar">
    <w:name w:val="Rozvržení dokumentu Char"/>
    <w:link w:val="Rozvrendokumentu"/>
    <w:rsid w:val="00D5376A"/>
    <w:rPr>
      <w:rFonts w:ascii="Tahoma" w:hAnsi="Tahoma" w:cs="Tahoma"/>
      <w:lang w:val="cs-CZ" w:eastAsia="cs-CZ" w:bidi="ar-SA"/>
    </w:rPr>
  </w:style>
  <w:style w:type="paragraph" w:styleId="Textbubliny">
    <w:name w:val="Balloon Text"/>
    <w:basedOn w:val="Normln"/>
    <w:link w:val="TextbublinyChar"/>
    <w:rsid w:val="00D5376A"/>
    <w:pPr>
      <w:jc w:val="left"/>
    </w:pPr>
    <w:rPr>
      <w:rFonts w:ascii="Tahoma" w:hAnsi="Tahoma" w:cs="Tahoma"/>
      <w:sz w:val="16"/>
      <w:szCs w:val="16"/>
    </w:rPr>
  </w:style>
  <w:style w:type="character" w:customStyle="1" w:styleId="TextbublinyChar">
    <w:name w:val="Text bubliny Char"/>
    <w:link w:val="Textbubliny"/>
    <w:rsid w:val="00D5376A"/>
    <w:rPr>
      <w:rFonts w:ascii="Tahoma" w:hAnsi="Tahoma" w:cs="Tahoma"/>
      <w:sz w:val="16"/>
      <w:szCs w:val="16"/>
      <w:lang w:val="cs-CZ" w:eastAsia="cs-CZ" w:bidi="ar-SA"/>
    </w:rPr>
  </w:style>
  <w:style w:type="table" w:styleId="Mkatabulky">
    <w:name w:val="Table Grid"/>
    <w:basedOn w:val="Normlntabulka"/>
    <w:rsid w:val="00D53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rsid w:val="00D5376A"/>
    <w:rPr>
      <w:b/>
      <w:bCs/>
    </w:rPr>
  </w:style>
  <w:style w:type="character" w:customStyle="1" w:styleId="PedmtkomenteChar">
    <w:name w:val="Předmět komentáře Char"/>
    <w:link w:val="Pedmtkomente"/>
    <w:rsid w:val="00D5376A"/>
    <w:rPr>
      <w:b/>
      <w:bCs/>
      <w:lang w:val="cs-CZ" w:eastAsia="cs-CZ" w:bidi="ar-SA"/>
    </w:rPr>
  </w:style>
  <w:style w:type="character" w:styleId="Odkaznakoment">
    <w:name w:val="annotation reference"/>
    <w:rsid w:val="00D5376A"/>
    <w:rPr>
      <w:sz w:val="16"/>
      <w:szCs w:val="16"/>
    </w:rPr>
  </w:style>
  <w:style w:type="paragraph" w:styleId="Normlnweb">
    <w:name w:val="Normal (Web)"/>
    <w:basedOn w:val="Normln"/>
    <w:rsid w:val="00D5376A"/>
    <w:pPr>
      <w:spacing w:before="100" w:beforeAutospacing="1" w:after="100" w:afterAutospacing="1"/>
      <w:jc w:val="left"/>
    </w:pPr>
    <w:rPr>
      <w:sz w:val="24"/>
      <w:szCs w:val="24"/>
      <w:lang w:val="es-ES_tradnl"/>
    </w:rPr>
  </w:style>
  <w:style w:type="paragraph" w:styleId="Seznam">
    <w:name w:val="List"/>
    <w:basedOn w:val="Normln"/>
    <w:rsid w:val="00D5376A"/>
    <w:pPr>
      <w:ind w:left="283" w:hanging="283"/>
    </w:pPr>
  </w:style>
  <w:style w:type="paragraph" w:styleId="Seznam2">
    <w:name w:val="List 2"/>
    <w:basedOn w:val="Normln"/>
    <w:rsid w:val="00D5376A"/>
    <w:pPr>
      <w:ind w:left="566" w:hanging="283"/>
    </w:pPr>
  </w:style>
  <w:style w:type="paragraph" w:styleId="Seznam3">
    <w:name w:val="List 3"/>
    <w:basedOn w:val="Normln"/>
    <w:rsid w:val="00D5376A"/>
    <w:pPr>
      <w:ind w:left="849" w:hanging="283"/>
    </w:pPr>
  </w:style>
  <w:style w:type="paragraph" w:styleId="Seznamsodrkami3">
    <w:name w:val="List Bullet 3"/>
    <w:basedOn w:val="Normln"/>
    <w:rsid w:val="00D5376A"/>
    <w:pPr>
      <w:numPr>
        <w:numId w:val="22"/>
      </w:numPr>
    </w:pPr>
  </w:style>
  <w:style w:type="paragraph" w:styleId="Seznamsodrkami4">
    <w:name w:val="List Bullet 4"/>
    <w:basedOn w:val="Normln"/>
    <w:rsid w:val="00D5376A"/>
    <w:pPr>
      <w:numPr>
        <w:numId w:val="23"/>
      </w:numPr>
    </w:pPr>
  </w:style>
  <w:style w:type="paragraph" w:styleId="Pokraovnseznamu">
    <w:name w:val="List Continue"/>
    <w:basedOn w:val="Normln"/>
    <w:rsid w:val="00D5376A"/>
    <w:pPr>
      <w:spacing w:after="120"/>
      <w:ind w:left="283"/>
    </w:pPr>
  </w:style>
  <w:style w:type="paragraph" w:styleId="Zkladntext-prvnodsazen2">
    <w:name w:val="Body Text First Indent 2"/>
    <w:basedOn w:val="Zkladntextodsazen"/>
    <w:rsid w:val="00D5376A"/>
    <w:pPr>
      <w:autoSpaceDE/>
      <w:autoSpaceDN/>
      <w:adjustRightInd/>
      <w:spacing w:after="120"/>
      <w:ind w:left="283" w:firstLine="210"/>
      <w:jc w:val="both"/>
    </w:pPr>
    <w:rPr>
      <w:szCs w:val="20"/>
    </w:rPr>
  </w:style>
  <w:style w:type="paragraph" w:customStyle="1" w:styleId="Default">
    <w:name w:val="Default"/>
    <w:rsid w:val="00705F79"/>
    <w:pPr>
      <w:autoSpaceDE w:val="0"/>
      <w:autoSpaceDN w:val="0"/>
      <w:adjustRightInd w:val="0"/>
    </w:pPr>
    <w:rPr>
      <w:rFonts w:ascii="Arial" w:hAnsi="Arial" w:cs="Arial"/>
      <w:color w:val="000000"/>
      <w:sz w:val="24"/>
      <w:szCs w:val="24"/>
    </w:rPr>
  </w:style>
  <w:style w:type="paragraph" w:styleId="Odstavecseseznamem">
    <w:name w:val="List Paragraph"/>
    <w:basedOn w:val="Normln"/>
    <w:qFormat/>
    <w:rsid w:val="00691AD7"/>
    <w:pPr>
      <w:ind w:left="720"/>
      <w:contextualSpacing/>
      <w:jc w:val="left"/>
    </w:pPr>
    <w:rPr>
      <w:sz w:val="20"/>
    </w:rPr>
  </w:style>
  <w:style w:type="character" w:styleId="Hypertextovodkaz">
    <w:name w:val="Hyperlink"/>
    <w:rsid w:val="00691AD7"/>
    <w:rPr>
      <w:color w:val="0563C1"/>
      <w:u w:val="single"/>
    </w:rPr>
  </w:style>
</w:styles>
</file>

<file path=word/webSettings.xml><?xml version="1.0" encoding="utf-8"?>
<w:webSettings xmlns:r="http://schemas.openxmlformats.org/officeDocument/2006/relationships" xmlns:w="http://schemas.openxmlformats.org/wordprocessingml/2006/main">
  <w:divs>
    <w:div w:id="250697143">
      <w:bodyDiv w:val="1"/>
      <w:marLeft w:val="0"/>
      <w:marRight w:val="0"/>
      <w:marTop w:val="0"/>
      <w:marBottom w:val="0"/>
      <w:divBdr>
        <w:top w:val="none" w:sz="0" w:space="0" w:color="auto"/>
        <w:left w:val="none" w:sz="0" w:space="0" w:color="auto"/>
        <w:bottom w:val="none" w:sz="0" w:space="0" w:color="auto"/>
        <w:right w:val="none" w:sz="0" w:space="0" w:color="auto"/>
      </w:divBdr>
    </w:div>
    <w:div w:id="301809999">
      <w:bodyDiv w:val="1"/>
      <w:marLeft w:val="0"/>
      <w:marRight w:val="0"/>
      <w:marTop w:val="0"/>
      <w:marBottom w:val="0"/>
      <w:divBdr>
        <w:top w:val="none" w:sz="0" w:space="0" w:color="auto"/>
        <w:left w:val="none" w:sz="0" w:space="0" w:color="auto"/>
        <w:bottom w:val="none" w:sz="0" w:space="0" w:color="auto"/>
        <w:right w:val="none" w:sz="0" w:space="0" w:color="auto"/>
      </w:divBdr>
    </w:div>
    <w:div w:id="1129739112">
      <w:bodyDiv w:val="1"/>
      <w:marLeft w:val="0"/>
      <w:marRight w:val="0"/>
      <w:marTop w:val="0"/>
      <w:marBottom w:val="0"/>
      <w:divBdr>
        <w:top w:val="none" w:sz="0" w:space="0" w:color="auto"/>
        <w:left w:val="none" w:sz="0" w:space="0" w:color="auto"/>
        <w:bottom w:val="none" w:sz="0" w:space="0" w:color="auto"/>
        <w:right w:val="none" w:sz="0" w:space="0" w:color="auto"/>
      </w:divBdr>
    </w:div>
    <w:div w:id="1287809097">
      <w:bodyDiv w:val="1"/>
      <w:marLeft w:val="0"/>
      <w:marRight w:val="0"/>
      <w:marTop w:val="0"/>
      <w:marBottom w:val="0"/>
      <w:divBdr>
        <w:top w:val="none" w:sz="0" w:space="0" w:color="auto"/>
        <w:left w:val="none" w:sz="0" w:space="0" w:color="auto"/>
        <w:bottom w:val="none" w:sz="0" w:space="0" w:color="auto"/>
        <w:right w:val="none" w:sz="0" w:space="0" w:color="auto"/>
      </w:divBdr>
    </w:div>
    <w:div w:id="1416391564">
      <w:bodyDiv w:val="1"/>
      <w:marLeft w:val="0"/>
      <w:marRight w:val="0"/>
      <w:marTop w:val="0"/>
      <w:marBottom w:val="0"/>
      <w:divBdr>
        <w:top w:val="none" w:sz="0" w:space="0" w:color="auto"/>
        <w:left w:val="none" w:sz="0" w:space="0" w:color="auto"/>
        <w:bottom w:val="none" w:sz="0" w:space="0" w:color="auto"/>
        <w:right w:val="none" w:sz="0" w:space="0" w:color="auto"/>
      </w:divBdr>
    </w:div>
    <w:div w:id="1683235839">
      <w:bodyDiv w:val="1"/>
      <w:marLeft w:val="0"/>
      <w:marRight w:val="0"/>
      <w:marTop w:val="0"/>
      <w:marBottom w:val="0"/>
      <w:divBdr>
        <w:top w:val="none" w:sz="0" w:space="0" w:color="auto"/>
        <w:left w:val="none" w:sz="0" w:space="0" w:color="auto"/>
        <w:bottom w:val="none" w:sz="0" w:space="0" w:color="auto"/>
        <w:right w:val="none" w:sz="0" w:space="0" w:color="auto"/>
      </w:divBdr>
    </w:div>
    <w:div w:id="1736854064">
      <w:bodyDiv w:val="1"/>
      <w:marLeft w:val="0"/>
      <w:marRight w:val="0"/>
      <w:marTop w:val="0"/>
      <w:marBottom w:val="0"/>
      <w:divBdr>
        <w:top w:val="none" w:sz="0" w:space="0" w:color="auto"/>
        <w:left w:val="none" w:sz="0" w:space="0" w:color="auto"/>
        <w:bottom w:val="none" w:sz="0" w:space="0" w:color="auto"/>
        <w:right w:val="none" w:sz="0" w:space="0" w:color="auto"/>
      </w:divBdr>
    </w:div>
    <w:div w:id="1750806194">
      <w:bodyDiv w:val="1"/>
      <w:marLeft w:val="0"/>
      <w:marRight w:val="0"/>
      <w:marTop w:val="0"/>
      <w:marBottom w:val="0"/>
      <w:divBdr>
        <w:top w:val="none" w:sz="0" w:space="0" w:color="auto"/>
        <w:left w:val="none" w:sz="0" w:space="0" w:color="auto"/>
        <w:bottom w:val="none" w:sz="0" w:space="0" w:color="auto"/>
        <w:right w:val="none" w:sz="0" w:space="0" w:color="auto"/>
      </w:divBdr>
    </w:div>
    <w:div w:id="21170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ob.cz/portal/podnikatele-firmy-a-instituce/produkty/investicni-uvery/rozvojova-banka-rady-evr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4367</Words>
  <Characters>25766</Characters>
  <Application>Microsoft Office Word</Application>
  <DocSecurity>0</DocSecurity>
  <Lines>214</Lines>
  <Paragraphs>60</Paragraphs>
  <ScaleCrop>false</ScaleCrop>
  <Manager>Datum šablony: 19.1.2018</Manager>
  <Company>Československá obchodní banka, a. s.</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Účelový úvěr SME</dc:title>
  <dc:subject>NOZ</dc:subject>
  <dc:creator>Ing. Zbyněk BABOR</dc:creator>
  <cp:lastModifiedBy>ROUSKOVA</cp:lastModifiedBy>
  <cp:revision>2</cp:revision>
  <cp:lastPrinted>2018-04-17T07:17:00Z</cp:lastPrinted>
  <dcterms:created xsi:type="dcterms:W3CDTF">2018-04-19T10:27:00Z</dcterms:created>
  <dcterms:modified xsi:type="dcterms:W3CDTF">2018-04-19T10:27:00Z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owner="Ing. Zbyněk BABOR" position="TopLeft" marginX="0" marginY="0" classifiedOn="2018-04-17T09:18:32.5770</vt:lpwstr>
  </property>
  <property fmtid="{D5CDD505-2E9C-101B-9397-08002B2CF9AE}" pid="3" name="CSOB-DocumentTagging.ClassificationMark.P01">
    <vt:lpwstr>336+02:00" showPrintedBy="false" showPrintDate="false" language="cs" ApplicationVersion="Microsoft Word, 15.0" addinVersion="5.8.11.0" template="CSOB"&gt;&lt;history bulk="false" class="Veřejné" code="C0" user="MOLCAROVÁ Šárka" date="2018-04-17T09:18:32.57</vt:lpwstr>
  </property>
  <property fmtid="{D5CDD505-2E9C-101B-9397-08002B2CF9AE}" pid="4" name="CSOB-DocumentTagging.ClassificationMark.P02">
    <vt:lpwstr>70336+02:00"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ies>
</file>