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-1584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-1584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  <w:t xml:space="preserve">                         Hospodá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  <w:t xml:space="preserve">řská smlouva</w:t>
      </w:r>
    </w:p>
    <w:p>
      <w:pPr>
        <w:widowControl w:val="false"/>
        <w:suppressAutoHyphens w:val="true"/>
        <w:spacing w:before="0" w:after="0" w:line="240"/>
        <w:ind w:right="-1584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o poskytnutí ubytovacích, stravovacích a dalších služeb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v rekrea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čním zařízení Chata Svoboda  na O s t r a v i c i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  <w:t xml:space="preserve">Smluvní strany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Provozovatel : Jaroslav  Žídek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739 14 Ostravice  288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 : 184 77 917              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DI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Č: CZ 5510030691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Bank. spojení: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XXXXX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Objednavatel : Základní škola Ostrava - Poruba               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J. Val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číka 4411, příspěvková organizace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OSTRAVA – Poruba  7 0 8  0 0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zastoupen : p. Mgr. Antonín Dohnal, tel.: 725 059 207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 :  646 27 918                               DIČ: CZ 64627918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  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ředmět smlouvy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Provozovatel poskytne objednavateli ubytování, stravování, pop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ř.jiné služby dle dohody.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Místo pobytu: Chata Svoboda,  739 14  Ostravice  0906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Tel.: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XXXXX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, e-mail: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XXXXX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Rozsah  a cena služeb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a) ubytování a stravování pro cca 57 žák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 a 4os.- pedagogický doprovod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Stravování 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častníků bude zajištěno v tomto rozsahu: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plná penze – snídan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ě, obědy, večeře+2 x svačinka a celodenní pitný režim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ěk dětí: 2. st. ZŠ               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Ubytování je zajišt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ěno ve 2, 3 a 4- lůžkových pokojích se sociálním zařízením, v případě </w:t>
      </w:r>
    </w:p>
    <w:p>
      <w:pPr>
        <w:widowControl w:val="false"/>
        <w:tabs>
          <w:tab w:val="left" w:pos="0" w:leader="none"/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četnější skupiny také na přistýlkách.</w:t>
      </w:r>
    </w:p>
    <w:p>
      <w:pPr>
        <w:widowControl w:val="false"/>
        <w:tabs>
          <w:tab w:val="left" w:pos="0" w:leader="none"/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b) termín akce</w:t>
      </w:r>
    </w:p>
    <w:p>
      <w:pPr>
        <w:widowControl w:val="false"/>
        <w:tabs>
          <w:tab w:val="left" w:pos="0" w:leader="none"/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od :  16. 4.  do:  20.4. 2018</w:t>
      </w:r>
    </w:p>
    <w:p>
      <w:pPr>
        <w:widowControl w:val="false"/>
        <w:tabs>
          <w:tab w:val="left" w:pos="0" w:leader="none"/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Pobyt 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číná první den: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obědem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a  končí poslední den: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snídaní</w:t>
      </w:r>
    </w:p>
    <w:p>
      <w:pPr>
        <w:widowControl w:val="false"/>
        <w:tabs>
          <w:tab w:val="left" w:pos="0" w:leader="none"/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c) cena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Cena za jednu osobu a  den pobytu ( ubytování a stravování ):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ěti:  390,-  Kč/os./den, dospělí: 450,-  Kč/os./den                             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Cena za pobyt celkem: 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ěti – 1.560,- ,  dospělí – 1.800,- Kč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Poplatek z ubytovací kapacity ve výši 4,- 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č/os./den, není součástí ceny pobytu a bude objedna-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vatelem uhrazen na míst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ě.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  <w:t xml:space="preserve">                                 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Platební podmínky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Provozovatel neú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čtuje objednavateli zálohu na danou akci. Vyúčtování provede ihned po skončení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se splatností do 7 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ů.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  <w:t xml:space="preserve">Zmocn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  <w:t xml:space="preserve">ění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římým vyřizováním všech záležitostí spojených s touto smlouvou je pověřen za provozovatele: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Jaroslav Žídek, tel.: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XXXXX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XXXXX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, tel.: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XXXXX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za objednavatele : pí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XXXXX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, tel.: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XXXXX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auto" w:val="clear"/>
        </w:rPr>
        <w:t xml:space="preserve">Práva a povinnosti smluvních stran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Provozovatel je povinen: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-poskytnout objednavateli ubytovací a stravovací služby v uvedeném 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řízení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-zabezpe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čit řádný úklid všech poskytnutých prostor v rámci platných hygienických norem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a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ředpisů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-seznámit objednavatele s ustanoveními vnit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řního řádu střediska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-veškeré jednání o provozu, pr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ůběhu turnusu a podmínkách pobytu vést s vedoucím příslušného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turnusu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Objednavatel je povinen: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-telefonicky oznámit provozovateli nejpozd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ěji pět dnů před zahájením turnusu počet účastníků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-p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ředat v den nástupu turnusu vedoucímu střediska nebo jeho zástupci jmenný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seznam s adresami a daty narození 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častníků. Vedoucí skupiny se prokáže zmocněním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ředitele vysílající  organizace ( školy) k zastupování a jednání s vedoucím střediska.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-dodržovat platný ubytovací a provozní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řád střediska, jakož i požární poplachové směrnice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-zaplatit za poskytnuté služby provozovateli cenu ve výši a lh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ůtách stanovených v této smlouvě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-po skon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čení pobytu předat provozovateli všechny užívané prostory a věci, které užíval ve stavu,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v jakém je 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řevzal, s přihlédnutím k obvyklému opotřebení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-uhradit vzniklou škodu na majetku provozovateli, jež byla zp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ůsobena účastníky pobytu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Další ujednání</w:t>
      </w:r>
    </w:p>
    <w:p>
      <w:pPr>
        <w:widowControl w:val="false"/>
        <w:tabs>
          <w:tab w:val="left" w:pos="720" w:leader="none"/>
          <w:tab w:val="left" w:pos="8936" w:leader="none"/>
        </w:tabs>
        <w:suppressAutoHyphens w:val="true"/>
        <w:spacing w:before="0" w:after="0" w:line="240"/>
        <w:ind w:right="-1778" w:left="36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numPr>
          <w:ilvl w:val="0"/>
          <w:numId w:val="10"/>
        </w:numPr>
        <w:tabs>
          <w:tab w:val="left" w:pos="1080" w:leader="none"/>
          <w:tab w:val="left" w:pos="9296" w:leader="none"/>
        </w:tabs>
        <w:suppressAutoHyphens w:val="true"/>
        <w:spacing w:before="0" w:after="0" w:line="240"/>
        <w:ind w:right="-1778" w:left="108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Bez závažných 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ůvodů nemůže provozovatel ani objednavatel od smlouvy </w:t>
      </w:r>
    </w:p>
    <w:p>
      <w:pPr>
        <w:widowControl w:val="false"/>
        <w:tabs>
          <w:tab w:val="left" w:pos="1440" w:leader="none"/>
          <w:tab w:val="left" w:pos="9656" w:leader="none"/>
        </w:tabs>
        <w:suppressAutoHyphens w:val="true"/>
        <w:spacing w:before="0" w:after="0" w:line="240"/>
        <w:ind w:right="-1778" w:left="108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odstoupit.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ři závažných důvodech- např. epidemie,karanténa dětí (rozhodnutá KHS),</w:t>
      </w:r>
    </w:p>
    <w:p>
      <w:pPr>
        <w:widowControl w:val="false"/>
        <w:tabs>
          <w:tab w:val="left" w:pos="1440" w:leader="none"/>
          <w:tab w:val="left" w:pos="9656" w:leader="none"/>
        </w:tabs>
        <w:suppressAutoHyphens w:val="true"/>
        <w:spacing w:before="0" w:after="0" w:line="240"/>
        <w:ind w:right="-1778" w:left="108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zni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čení objektu-budou-li nahlášeny nejpozději 3 dny před nástupem, nebude ani jedna</w:t>
      </w:r>
    </w:p>
    <w:p>
      <w:pPr>
        <w:widowControl w:val="false"/>
        <w:tabs>
          <w:tab w:val="left" w:pos="1440" w:leader="none"/>
          <w:tab w:val="left" w:pos="9656" w:leader="none"/>
        </w:tabs>
        <w:suppressAutoHyphens w:val="true"/>
        <w:spacing w:before="0" w:after="0" w:line="240"/>
        <w:ind w:right="-1778" w:left="108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ze stran uplat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ňovat penalizační poplatky.</w:t>
      </w:r>
    </w:p>
    <w:p>
      <w:pPr>
        <w:widowControl w:val="false"/>
        <w:numPr>
          <w:ilvl w:val="0"/>
          <w:numId w:val="12"/>
        </w:numPr>
        <w:tabs>
          <w:tab w:val="left" w:pos="1080" w:leader="none"/>
          <w:tab w:val="left" w:pos="9296" w:leader="none"/>
        </w:tabs>
        <w:suppressAutoHyphens w:val="true"/>
        <w:spacing w:before="0" w:after="0" w:line="240"/>
        <w:ind w:right="-1778" w:left="108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řípadě odstoupení od smlouvy ze strany provozovatele, může uplatnit</w:t>
      </w:r>
    </w:p>
    <w:p>
      <w:pPr>
        <w:widowControl w:val="false"/>
        <w:tabs>
          <w:tab w:val="left" w:pos="1440" w:leader="none"/>
          <w:tab w:val="left" w:pos="9656" w:leader="none"/>
        </w:tabs>
        <w:suppressAutoHyphens w:val="true"/>
        <w:spacing w:before="0" w:after="0" w:line="240"/>
        <w:ind w:right="-1778" w:left="108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objednavatel náhradu náklad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ů, které již musel  prokazatelně vynaložit </w:t>
      </w:r>
    </w:p>
    <w:p>
      <w:pPr>
        <w:widowControl w:val="false"/>
        <w:tabs>
          <w:tab w:val="left" w:pos="1440" w:leader="none"/>
          <w:tab w:val="left" w:pos="9656" w:leader="none"/>
        </w:tabs>
        <w:suppressAutoHyphens w:val="true"/>
        <w:spacing w:before="0" w:after="0" w:line="240"/>
        <w:ind w:right="-1778" w:left="108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(nap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ř. autobusová doprava apod.)</w:t>
      </w:r>
    </w:p>
    <w:p>
      <w:pPr>
        <w:widowControl w:val="false"/>
        <w:tabs>
          <w:tab w:val="left" w:pos="1440" w:leader="none"/>
          <w:tab w:val="left" w:pos="9656" w:leader="none"/>
        </w:tabs>
        <w:suppressAutoHyphens w:val="true"/>
        <w:spacing w:before="0" w:after="0" w:line="240"/>
        <w:ind w:right="-1778" w:left="108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360" w:leader="none"/>
          <w:tab w:val="left" w:pos="857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3.   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řípadné návštěvy u ubytované skupiny, spojené s dalším čerpáním služeb(ubytování</w:t>
      </w:r>
    </w:p>
    <w:p>
      <w:pPr>
        <w:widowControl w:val="false"/>
        <w:tabs>
          <w:tab w:val="left" w:pos="360" w:leader="none"/>
          <w:tab w:val="left" w:pos="857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a strava), budou hlášeny a evidovány min. 1 den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ředem a na základě následné kon-</w:t>
      </w:r>
    </w:p>
    <w:p>
      <w:pPr>
        <w:widowControl w:val="false"/>
        <w:tabs>
          <w:tab w:val="left" w:pos="360" w:leader="none"/>
          <w:tab w:val="left" w:pos="857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zumace budou vyú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čtovány zvlášť od pobytu skupiny.</w:t>
      </w:r>
    </w:p>
    <w:p>
      <w:pPr>
        <w:widowControl w:val="false"/>
        <w:tabs>
          <w:tab w:val="left" w:pos="360" w:leader="none"/>
          <w:tab w:val="left" w:pos="857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Stejn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bude postupováno i u pobytu vlastních dětí doprovodného personálu.</w:t>
      </w:r>
    </w:p>
    <w:p>
      <w:pPr>
        <w:widowControl w:val="false"/>
        <w:tabs>
          <w:tab w:val="left" w:pos="720" w:leader="none"/>
          <w:tab w:val="left" w:pos="8936" w:leader="none"/>
        </w:tabs>
        <w:suppressAutoHyphens w:val="true"/>
        <w:spacing w:before="0" w:after="0" w:line="240"/>
        <w:ind w:right="-1778" w:left="36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Jiná ujednání: …….</w:t>
      </w:r>
    </w:p>
    <w:p>
      <w:pPr>
        <w:widowControl w:val="false"/>
        <w:tabs>
          <w:tab w:val="left" w:pos="10376" w:leader="none"/>
        </w:tabs>
        <w:suppressAutoHyphens w:val="true"/>
        <w:spacing w:before="0" w:after="0" w:line="240"/>
        <w:ind w:right="-1778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10376" w:leader="none"/>
        </w:tabs>
        <w:suppressAutoHyphens w:val="true"/>
        <w:spacing w:before="0" w:after="0" w:line="240"/>
        <w:ind w:right="-1778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Kauce</w:t>
      </w:r>
    </w:p>
    <w:p>
      <w:pPr>
        <w:widowControl w:val="false"/>
        <w:tabs>
          <w:tab w:val="left" w:pos="10376" w:leader="none"/>
        </w:tabs>
        <w:suppressAutoHyphens w:val="true"/>
        <w:spacing w:before="0" w:after="0" w:line="240"/>
        <w:ind w:right="-1778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tabs>
          <w:tab w:val="left" w:pos="10376" w:leader="none"/>
        </w:tabs>
        <w:suppressAutoHyphens w:val="true"/>
        <w:spacing w:before="0" w:after="0" w:line="240"/>
        <w:ind w:right="-1778" w:left="7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Vedoucí akce složí oproti potvrzení v den nástupu u poskytovatele finan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ční kauci</w:t>
      </w:r>
    </w:p>
    <w:p>
      <w:pPr>
        <w:widowControl w:val="false"/>
        <w:tabs>
          <w:tab w:val="left" w:pos="10376" w:leader="none"/>
        </w:tabs>
        <w:suppressAutoHyphens w:val="true"/>
        <w:spacing w:before="0" w:after="0" w:line="240"/>
        <w:ind w:right="-1778" w:left="7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ve výši 1. 000,- 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č. Tato kauce slouží k pokrytí případných škod, popř. i ztrát na zařízení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a vybavení ubytovacího za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řízení.          </w:t>
      </w:r>
    </w:p>
    <w:p>
      <w:pPr>
        <w:widowControl w:val="false"/>
        <w:tabs>
          <w:tab w:val="left" w:pos="10376" w:leader="none"/>
        </w:tabs>
        <w:suppressAutoHyphens w:val="true"/>
        <w:spacing w:before="0" w:after="0" w:line="240"/>
        <w:ind w:right="-1778" w:left="7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Pokud pobyt skupiny prob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ěhne bez závad, kauce bude při odjezdu vrácena v plné výši.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  Stornovací podmínky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2"/>
        </w:numPr>
        <w:tabs>
          <w:tab w:val="left" w:pos="2160" w:leader="none"/>
          <w:tab w:val="left" w:pos="9656" w:leader="none"/>
        </w:tabs>
        <w:suppressAutoHyphens w:val="true"/>
        <w:spacing w:before="0" w:after="0" w:line="240"/>
        <w:ind w:right="-1778" w:left="216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více než 60 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                                            1.000,- Kč</w:t>
      </w:r>
    </w:p>
    <w:p>
      <w:pPr>
        <w:widowControl w:val="false"/>
        <w:numPr>
          <w:ilvl w:val="0"/>
          <w:numId w:val="22"/>
        </w:numPr>
        <w:tabs>
          <w:tab w:val="left" w:pos="2160" w:leader="none"/>
          <w:tab w:val="left" w:pos="9656" w:leader="none"/>
        </w:tabs>
        <w:suppressAutoHyphens w:val="true"/>
        <w:spacing w:before="0" w:after="0" w:line="240"/>
        <w:ind w:right="-1778" w:left="216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59 - 30 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                                                  30% celkové ceny pobytu</w:t>
      </w:r>
    </w:p>
    <w:p>
      <w:pPr>
        <w:widowControl w:val="false"/>
        <w:numPr>
          <w:ilvl w:val="0"/>
          <w:numId w:val="22"/>
        </w:numPr>
        <w:tabs>
          <w:tab w:val="left" w:pos="2160" w:leader="none"/>
          <w:tab w:val="left" w:pos="9656" w:leader="none"/>
        </w:tabs>
        <w:suppressAutoHyphens w:val="true"/>
        <w:spacing w:before="0" w:after="0" w:line="240"/>
        <w:ind w:right="-1778" w:left="216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29 – 15 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                                                 50% celkové ceny pobytu</w:t>
      </w:r>
    </w:p>
    <w:p>
      <w:pPr>
        <w:widowControl w:val="false"/>
        <w:numPr>
          <w:ilvl w:val="0"/>
          <w:numId w:val="22"/>
        </w:numPr>
        <w:tabs>
          <w:tab w:val="left" w:pos="2160" w:leader="none"/>
          <w:tab w:val="left" w:pos="9345" w:leader="none"/>
        </w:tabs>
        <w:suppressAutoHyphens w:val="true"/>
        <w:spacing w:before="0" w:after="0" w:line="240"/>
        <w:ind w:right="-1778" w:left="216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14 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 a méně                                             100% celkové ceny pobytu</w:t>
      </w:r>
    </w:p>
    <w:p>
      <w:pPr>
        <w:widowControl w:val="false"/>
        <w:tabs>
          <w:tab w:val="left" w:pos="2520" w:leader="none"/>
          <w:tab w:val="left" w:pos="9705" w:leader="none"/>
        </w:tabs>
        <w:suppressAutoHyphens w:val="true"/>
        <w:spacing w:before="0" w:after="0" w:line="240"/>
        <w:ind w:right="-1778" w:left="216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ři neopodstatněném stornu,(a to i individuálním) ať už před pobytem, na jeho začátku,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či v jeho průběhu, nebude brán zřetel na jeho okolnosti a pobyt účastníka bude vyúčtován 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v plné výši.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Záv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  <w:t xml:space="preserve">ěrečná ustanovení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tabs>
          <w:tab w:val="left" w:pos="16776700" w:leader="none"/>
          <w:tab w:val="left" w:pos="1677699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suppressAutoHyphens w:val="true"/>
        <w:spacing w:before="0" w:after="0" w:line="240"/>
        <w:ind w:right="0" w:left="-87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Smlouva je vyhotovena ve 2 výtiscích, z nichž každá smluvní strana obdrží po 1 výtisku.</w:t>
      </w:r>
    </w:p>
    <w:p>
      <w:pPr>
        <w:widowControl w:val="false"/>
        <w:tabs>
          <w:tab w:val="left" w:pos="16776638" w:leader="none"/>
          <w:tab w:val="left" w:pos="16776936" w:leader="none"/>
          <w:tab w:val="left" w:pos="18" w:leader="none"/>
          <w:tab w:val="left" w:pos="316" w:leader="none"/>
          <w:tab w:val="left" w:pos="614" w:leader="none"/>
          <w:tab w:val="left" w:pos="912" w:leader="none"/>
          <w:tab w:val="left" w:pos="1210" w:leader="none"/>
          <w:tab w:val="left" w:pos="1508" w:leader="none"/>
          <w:tab w:val="left" w:pos="1806" w:leader="none"/>
          <w:tab w:val="left" w:pos="2104" w:leader="none"/>
          <w:tab w:val="left" w:pos="2402" w:leader="none"/>
          <w:tab w:val="left" w:pos="2700" w:leader="none"/>
          <w:tab w:val="left" w:pos="2998" w:leader="none"/>
          <w:tab w:val="left" w:pos="3296" w:leader="none"/>
          <w:tab w:val="left" w:pos="3594" w:leader="none"/>
          <w:tab w:val="left" w:pos="13188" w:leader="none"/>
        </w:tabs>
        <w:suppressAutoHyphens w:val="true"/>
        <w:spacing w:before="0" w:after="0" w:line="240"/>
        <w:ind w:right="0" w:left="-938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Tato smlouva nabývá platnosti dnem podpisu smluvních stran.</w:t>
      </w:r>
    </w:p>
    <w:p>
      <w:pPr>
        <w:widowControl w:val="false"/>
        <w:tabs>
          <w:tab w:val="left" w:pos="16776700" w:leader="none"/>
          <w:tab w:val="left" w:pos="1677699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suppressAutoHyphens w:val="true"/>
        <w:spacing w:before="0" w:after="0" w:line="240"/>
        <w:ind w:right="0" w:left="-87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Smlouva 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ůže být měněna pouze písemnými dodatky smluvních stran.</w:t>
      </w:r>
    </w:p>
    <w:p>
      <w:pPr>
        <w:widowControl w:val="false"/>
        <w:tabs>
          <w:tab w:val="left" w:pos="16776700" w:leader="none"/>
          <w:tab w:val="left" w:pos="1677699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suppressAutoHyphens w:val="true"/>
        <w:spacing w:before="0" w:after="0" w:line="240"/>
        <w:ind w:right="0" w:left="-87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16776700" w:leader="none"/>
          <w:tab w:val="left" w:pos="1677699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suppressAutoHyphens w:val="true"/>
        <w:spacing w:before="0" w:after="0" w:line="240"/>
        <w:ind w:right="0" w:left="-87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16776700" w:leader="none"/>
          <w:tab w:val="left" w:pos="1677699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suppressAutoHyphens w:val="true"/>
        <w:spacing w:before="0" w:after="0" w:line="240"/>
        <w:ind w:right="0" w:left="-87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V Ostravici dne: 11. 4. 2018                                                       V Ostrav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 dne 11. 4. 2018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-----------------------------                        ------------------------------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provozovatel                                                    objednavatel</w:t>
      </w:r>
    </w:p>
    <w:p>
      <w:pPr>
        <w:widowControl w:val="false"/>
        <w:tabs>
          <w:tab w:val="left" w:pos="9656" w:leader="none"/>
        </w:tabs>
        <w:suppressAutoHyphens w:val="true"/>
        <w:spacing w:before="0" w:after="0" w:line="240"/>
        <w:ind w:right="-1778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2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