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B9" w:rsidRDefault="00C12E17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5126990</wp:posOffset>
            </wp:positionH>
            <wp:positionV relativeFrom="paragraph">
              <wp:posOffset>12700</wp:posOffset>
            </wp:positionV>
            <wp:extent cx="2432050" cy="14204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205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10B9" w:rsidRDefault="00C12E17">
      <w:pPr>
        <w:pStyle w:val="Nadpis30"/>
        <w:keepNext/>
        <w:keepLines/>
        <w:shd w:val="clear" w:color="auto" w:fill="auto"/>
        <w:spacing w:line="240" w:lineRule="auto"/>
      </w:pPr>
      <w:bookmarkStart w:id="0" w:name="bookmark0"/>
      <w:r>
        <w:t>Dílčí smlouva o poskytování služeb</w:t>
      </w:r>
      <w:bookmarkEnd w:id="0"/>
    </w:p>
    <w:p w:rsidR="00BB10B9" w:rsidRDefault="00C12E17">
      <w:pPr>
        <w:pStyle w:val="Nadpis20"/>
        <w:keepNext/>
        <w:keepLines/>
        <w:shd w:val="clear" w:color="auto" w:fill="auto"/>
        <w:spacing w:line="216" w:lineRule="auto"/>
      </w:pPr>
      <w:bookmarkStart w:id="1" w:name="bookmark1"/>
      <w:r>
        <w:rPr>
          <w:lang w:val="en-US" w:eastAsia="en-US" w:bidi="en-US"/>
        </w:rPr>
        <w:t xml:space="preserve">Vodafone </w:t>
      </w:r>
      <w:proofErr w:type="spellStart"/>
      <w:r>
        <w:rPr>
          <w:lang w:val="en-US" w:eastAsia="en-US" w:bidi="en-US"/>
        </w:rPr>
        <w:t>OneNet</w:t>
      </w:r>
      <w:proofErr w:type="spellEnd"/>
      <w:r>
        <w:rPr>
          <w:lang w:val="en-US" w:eastAsia="en-US" w:bidi="en-US"/>
        </w:rPr>
        <w:t xml:space="preserve"> - </w:t>
      </w:r>
      <w:r>
        <w:t>Hlasové služby</w:t>
      </w:r>
      <w:bookmarkEnd w:id="1"/>
    </w:p>
    <w:p w:rsidR="00BB10B9" w:rsidRDefault="00C12E17">
      <w:pPr>
        <w:pStyle w:val="Nadpis20"/>
        <w:keepNext/>
        <w:keepLines/>
        <w:shd w:val="clear" w:color="auto" w:fill="auto"/>
        <w:spacing w:line="230" w:lineRule="auto"/>
      </w:pPr>
      <w:bookmarkStart w:id="2" w:name="bookmark2"/>
      <w:r>
        <w:t>(Technická specifikace)</w:t>
      </w:r>
      <w:bookmarkEnd w:id="2"/>
    </w:p>
    <w:p w:rsidR="00BB10B9" w:rsidRDefault="00C12E17">
      <w:pPr>
        <w:pStyle w:val="Nadpis40"/>
        <w:keepNext/>
        <w:keepLines/>
        <w:shd w:val="clear" w:color="auto" w:fill="auto"/>
        <w:spacing w:after="0"/>
        <w:jc w:val="both"/>
      </w:pPr>
      <w:bookmarkStart w:id="3" w:name="bookmark3"/>
      <w:r>
        <w:t>K RÁMCOVÉ DOHODĚ O POSKYTOVÁNÍ SLUŽEB MOBILNÍHO OPERÁTORA PRO RESORT MINISTERSTVA KULTURY</w:t>
      </w:r>
      <w:bookmarkEnd w:id="3"/>
    </w:p>
    <w:p w:rsidR="00BB10B9" w:rsidRDefault="00C12E17">
      <w:pPr>
        <w:pStyle w:val="Zkladntext20"/>
        <w:shd w:val="clear" w:color="auto" w:fill="auto"/>
        <w:spacing w:after="46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č. j</w:t>
      </w:r>
      <w:r>
        <w:t xml:space="preserve">.: MK 77184/2017, uzavřené dne: 12. </w:t>
      </w:r>
      <w:proofErr w:type="gramStart"/>
      <w:r>
        <w:t>12 .2017</w:t>
      </w:r>
      <w:proofErr w:type="gramEnd"/>
      <w:r>
        <w:t xml:space="preserve"> (dále jen „Rámcová dohoda“)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5563"/>
      </w:tblGrid>
      <w:tr w:rsidR="00BB10B9">
        <w:trPr>
          <w:trHeight w:hRule="exact" w:val="331"/>
          <w:jc w:val="center"/>
        </w:trPr>
        <w:tc>
          <w:tcPr>
            <w:tcW w:w="10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spacing w:before="80"/>
              <w:ind w:left="1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Identifikace smluvních stran</w:t>
            </w:r>
          </w:p>
        </w:tc>
      </w:tr>
      <w:tr w:rsidR="00BB10B9">
        <w:trPr>
          <w:trHeight w:hRule="exact" w:val="835"/>
          <w:jc w:val="center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spacing w:after="80"/>
              <w:ind w:firstLine="140"/>
              <w:jc w:val="left"/>
            </w:pPr>
            <w:r>
              <w:rPr>
                <w:b/>
                <w:bCs/>
              </w:rPr>
              <w:t xml:space="preserve">Poskytovatel: </w:t>
            </w:r>
            <w:r>
              <w:rPr>
                <w:lang w:val="en-US" w:eastAsia="en-US" w:bidi="en-US"/>
              </w:rPr>
              <w:t xml:space="preserve">Vodafone Czech Republic </w:t>
            </w:r>
            <w:r>
              <w:t>a.s.</w:t>
            </w:r>
          </w:p>
          <w:p w:rsidR="00BB10B9" w:rsidRDefault="00C12E17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b/>
                <w:bCs/>
              </w:rPr>
              <w:t xml:space="preserve">Sídlo: </w:t>
            </w:r>
            <w:r>
              <w:t>náměstí Junkových 2, 155 00 Praha 5</w:t>
            </w:r>
          </w:p>
        </w:tc>
        <w:tc>
          <w:tcPr>
            <w:tcW w:w="5563" w:type="dxa"/>
            <w:tcBorders>
              <w:top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spacing w:after="40"/>
              <w:ind w:left="2340" w:hanging="16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>Účastník</w:t>
            </w:r>
            <w:r>
              <w:rPr>
                <w:rFonts w:ascii="Tahoma" w:eastAsia="Tahoma" w:hAnsi="Tahoma" w:cs="Tahoma"/>
                <w:sz w:val="16"/>
                <w:szCs w:val="16"/>
              </w:rPr>
              <w:t>: Národní galerie v Praze</w:t>
            </w:r>
          </w:p>
          <w:p w:rsidR="00BB10B9" w:rsidRDefault="00C12E17">
            <w:pPr>
              <w:pStyle w:val="Jin0"/>
              <w:shd w:val="clear" w:color="auto" w:fill="auto"/>
              <w:spacing w:after="40"/>
              <w:ind w:left="2340" w:hanging="16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Sídlo/místo podnikání: </w:t>
            </w:r>
            <w:r>
              <w:rPr>
                <w:rFonts w:ascii="Tahoma" w:eastAsia="Tahoma" w:hAnsi="Tahoma" w:cs="Tahoma"/>
                <w:sz w:val="16"/>
                <w:szCs w:val="16"/>
              </w:rPr>
              <w:t>Staroměstské náměstí 606/12,</w:t>
            </w:r>
          </w:p>
          <w:p w:rsidR="00BB10B9" w:rsidRDefault="00C12E17">
            <w:pPr>
              <w:pStyle w:val="Jin0"/>
              <w:shd w:val="clear" w:color="auto" w:fill="auto"/>
              <w:spacing w:after="40"/>
              <w:ind w:left="2340" w:hanging="1680"/>
              <w:jc w:val="left"/>
            </w:pPr>
            <w:r>
              <w:t>11000 Praha</w:t>
            </w:r>
          </w:p>
        </w:tc>
      </w:tr>
      <w:tr w:rsidR="00BB10B9">
        <w:trPr>
          <w:trHeight w:hRule="exact" w:val="1104"/>
          <w:jc w:val="center"/>
        </w:trPr>
        <w:tc>
          <w:tcPr>
            <w:tcW w:w="4680" w:type="dxa"/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spacing w:after="60"/>
              <w:ind w:firstLine="1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rFonts w:ascii="Tahoma" w:eastAsia="Tahoma" w:hAnsi="Tahoma" w:cs="Tahoma"/>
                <w:sz w:val="16"/>
                <w:szCs w:val="16"/>
              </w:rPr>
              <w:t>25788001</w:t>
            </w:r>
          </w:p>
          <w:p w:rsidR="00BB10B9" w:rsidRDefault="00C12E17">
            <w:pPr>
              <w:pStyle w:val="Jin0"/>
              <w:shd w:val="clear" w:color="auto" w:fill="auto"/>
              <w:spacing w:after="280"/>
              <w:ind w:firstLine="140"/>
              <w:jc w:val="left"/>
            </w:pPr>
            <w:r>
              <w:rPr>
                <w:b/>
                <w:bCs/>
              </w:rPr>
              <w:t xml:space="preserve">Oprávněný zástupce: </w:t>
            </w:r>
            <w:r>
              <w:t>Václav Kubík</w:t>
            </w:r>
          </w:p>
          <w:p w:rsidR="00BB10B9" w:rsidRDefault="00C12E17">
            <w:pPr>
              <w:pStyle w:val="Jin0"/>
              <w:shd w:val="clear" w:color="auto" w:fill="auto"/>
              <w:spacing w:after="160"/>
              <w:ind w:firstLine="140"/>
              <w:jc w:val="left"/>
            </w:pPr>
            <w:r>
              <w:t xml:space="preserve">(dále jen </w:t>
            </w:r>
            <w:r>
              <w:rPr>
                <w:b/>
                <w:bCs/>
              </w:rPr>
              <w:t>„Poskytovatel“</w:t>
            </w:r>
            <w:r>
              <w:t>)</w:t>
            </w:r>
          </w:p>
        </w:tc>
        <w:tc>
          <w:tcPr>
            <w:tcW w:w="5563" w:type="dxa"/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spacing w:line="286" w:lineRule="auto"/>
              <w:ind w:left="2340" w:hanging="16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rFonts w:ascii="Tahoma" w:eastAsia="Tahoma" w:hAnsi="Tahoma" w:cs="Tahoma"/>
                <w:sz w:val="16"/>
                <w:szCs w:val="16"/>
              </w:rPr>
              <w:t>00023281</w:t>
            </w:r>
          </w:p>
          <w:p w:rsidR="00E7217F" w:rsidRDefault="00C12E17">
            <w:pPr>
              <w:pStyle w:val="Jin0"/>
              <w:shd w:val="clear" w:color="auto" w:fill="auto"/>
              <w:spacing w:line="286" w:lineRule="auto"/>
              <w:ind w:left="2340" w:hanging="1680"/>
              <w:jc w:val="lef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b/>
                <w:bCs/>
              </w:rPr>
              <w:t xml:space="preserve">Oprávněný zástupce: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Doc. Dr. et Ing. Jiří Fajt, </w:t>
            </w:r>
            <w:r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 xml:space="preserve">Ph.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D., </w:t>
            </w:r>
          </w:p>
          <w:p w:rsidR="00BB10B9" w:rsidRDefault="00E7217F">
            <w:pPr>
              <w:pStyle w:val="Jin0"/>
              <w:shd w:val="clear" w:color="auto" w:fill="auto"/>
              <w:spacing w:line="286" w:lineRule="auto"/>
              <w:ind w:left="2340" w:hanging="16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="00C12E17">
              <w:rPr>
                <w:rFonts w:ascii="Tahoma" w:eastAsia="Tahoma" w:hAnsi="Tahoma" w:cs="Tahoma"/>
                <w:sz w:val="16"/>
                <w:szCs w:val="16"/>
              </w:rPr>
              <w:t>generální ředitel</w:t>
            </w:r>
          </w:p>
          <w:p w:rsidR="00BB10B9" w:rsidRDefault="00C12E17">
            <w:pPr>
              <w:pStyle w:val="Jin0"/>
              <w:shd w:val="clear" w:color="auto" w:fill="auto"/>
              <w:spacing w:line="317" w:lineRule="auto"/>
              <w:ind w:left="2340" w:hanging="1680"/>
              <w:jc w:val="left"/>
            </w:pPr>
            <w:r>
              <w:t xml:space="preserve">(dále jen </w:t>
            </w:r>
            <w:r>
              <w:rPr>
                <w:b/>
                <w:bCs/>
              </w:rPr>
              <w:t>„Účastník“</w:t>
            </w:r>
            <w:r>
              <w:t>)</w:t>
            </w:r>
          </w:p>
        </w:tc>
      </w:tr>
      <w:tr w:rsidR="00BB10B9">
        <w:trPr>
          <w:trHeight w:hRule="exact" w:val="302"/>
          <w:jc w:val="center"/>
        </w:trPr>
        <w:tc>
          <w:tcPr>
            <w:tcW w:w="10243" w:type="dxa"/>
            <w:gridSpan w:val="2"/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ind w:left="140"/>
              <w:jc w:val="left"/>
            </w:pPr>
            <w:r>
              <w:rPr>
                <w:b/>
                <w:bCs/>
              </w:rPr>
              <w:t>Osoby oprávněné k jednání za Účastníka ve věci:</w:t>
            </w:r>
          </w:p>
        </w:tc>
      </w:tr>
      <w:tr w:rsidR="00BB10B9">
        <w:trPr>
          <w:trHeight w:hRule="exact" w:val="715"/>
          <w:jc w:val="center"/>
        </w:trPr>
        <w:tc>
          <w:tcPr>
            <w:tcW w:w="4680" w:type="dxa"/>
            <w:shd w:val="clear" w:color="auto" w:fill="FFFFFF"/>
            <w:vAlign w:val="bottom"/>
          </w:tcPr>
          <w:p w:rsidR="00BB10B9" w:rsidRDefault="00EC164F">
            <w:pPr>
              <w:pStyle w:val="Jin0"/>
              <w:shd w:val="clear" w:color="auto" w:fill="auto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Změn Objednávky služeb: XXXXXXXXXXXX</w:t>
            </w:r>
          </w:p>
          <w:p w:rsidR="007F2BD6" w:rsidRDefault="00C12E17">
            <w:pPr>
              <w:pStyle w:val="Jin0"/>
              <w:shd w:val="clear" w:color="auto" w:fill="auto"/>
              <w:spacing w:line="276" w:lineRule="auto"/>
              <w:jc w:val="lef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Vyúčtován</w:t>
            </w:r>
            <w:r w:rsidR="00EC164F">
              <w:rPr>
                <w:rFonts w:ascii="Tahoma" w:eastAsia="Tahoma" w:hAnsi="Tahoma" w:cs="Tahoma"/>
                <w:sz w:val="16"/>
                <w:szCs w:val="16"/>
              </w:rPr>
              <w:t>í ceny za poskytnuté Služby: XXXXXXXXXXXXX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:rsidR="00BB10B9" w:rsidRDefault="00C12E17">
            <w:pPr>
              <w:pStyle w:val="Jin0"/>
              <w:shd w:val="clear" w:color="auto" w:fill="auto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Technick</w:t>
            </w:r>
            <w:r w:rsidR="00EC164F">
              <w:rPr>
                <w:rFonts w:ascii="Tahoma" w:eastAsia="Tahoma" w:hAnsi="Tahoma" w:cs="Tahoma"/>
                <w:sz w:val="16"/>
                <w:szCs w:val="16"/>
              </w:rPr>
              <w:t xml:space="preserve">ých </w:t>
            </w:r>
            <w:proofErr w:type="gramStart"/>
            <w:r w:rsidR="00EC164F">
              <w:rPr>
                <w:rFonts w:ascii="Tahoma" w:eastAsia="Tahoma" w:hAnsi="Tahoma" w:cs="Tahoma"/>
                <w:sz w:val="16"/>
                <w:szCs w:val="16"/>
              </w:rPr>
              <w:t>záležitostech</w:t>
            </w:r>
            <w:proofErr w:type="gramEnd"/>
            <w:r w:rsidR="00EC164F">
              <w:rPr>
                <w:rFonts w:ascii="Tahoma" w:eastAsia="Tahoma" w:hAnsi="Tahoma" w:cs="Tahoma"/>
                <w:sz w:val="16"/>
                <w:szCs w:val="16"/>
              </w:rPr>
              <w:t>: XXXXXXXXXXXXXX</w:t>
            </w: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Tel: /email: </w:t>
            </w:r>
            <w:r w:rsidR="00EC164F">
              <w:rPr>
                <w:rFonts w:ascii="Tahoma" w:eastAsia="Tahoma" w:hAnsi="Tahoma" w:cs="Tahoma"/>
                <w:sz w:val="16"/>
                <w:szCs w:val="16"/>
              </w:rPr>
              <w:t>XXXXXXXXX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Fonts w:ascii="Tahoma" w:eastAsia="Tahoma" w:hAnsi="Tahoma" w:cs="Tahoma"/>
                  <w:sz w:val="16"/>
                  <w:szCs w:val="16"/>
                </w:rPr>
                <w:t xml:space="preserve">/ </w:t>
              </w:r>
            </w:hyperlink>
            <w:r w:rsidR="00EC164F">
              <w:rPr>
                <w:rFonts w:ascii="Tahoma" w:eastAsia="Tahoma" w:hAnsi="Tahoma" w:cs="Tahoma"/>
                <w:color w:val="0000FF"/>
                <w:sz w:val="16"/>
                <w:szCs w:val="16"/>
                <w:lang w:val="en-US" w:eastAsia="en-US" w:bidi="en-US"/>
              </w:rPr>
              <w:t>XXXXXXXXXXXXXXXXXX</w:t>
            </w:r>
          </w:p>
          <w:p w:rsidR="00BB10B9" w:rsidRDefault="00EC164F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Tel: /email: XXXXXXXXX</w:t>
            </w:r>
            <w:r w:rsidR="00C12E1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hyperlink r:id="rId9" w:history="1">
              <w:r w:rsidR="00C12E17">
                <w:rPr>
                  <w:rFonts w:ascii="Tahoma" w:eastAsia="Tahoma" w:hAnsi="Tahoma" w:cs="Tahoma"/>
                  <w:sz w:val="16"/>
                  <w:szCs w:val="16"/>
                </w:rPr>
                <w:t xml:space="preserve">/ </w:t>
              </w:r>
            </w:hyperlink>
            <w:r>
              <w:rPr>
                <w:rFonts w:ascii="Tahoma" w:eastAsia="Tahoma" w:hAnsi="Tahoma" w:cs="Tahoma"/>
                <w:color w:val="0000FF"/>
                <w:sz w:val="16"/>
                <w:szCs w:val="16"/>
                <w:lang w:val="en-US" w:eastAsia="en-US" w:bidi="en-US"/>
              </w:rPr>
              <w:t>XXXXXXXXXXXXXXXXXX</w:t>
            </w:r>
          </w:p>
          <w:p w:rsidR="00BB10B9" w:rsidRDefault="00C12E17" w:rsidP="00EC164F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Tel: /email: </w:t>
            </w:r>
            <w:r w:rsidR="00EC164F">
              <w:rPr>
                <w:rFonts w:ascii="Tahoma" w:eastAsia="Tahoma" w:hAnsi="Tahoma" w:cs="Tahoma"/>
                <w:sz w:val="16"/>
                <w:szCs w:val="16"/>
              </w:rPr>
              <w:t>XXXXXXXXX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hyperlink r:id="rId10" w:history="1">
              <w:r>
                <w:rPr>
                  <w:rFonts w:ascii="Tahoma" w:eastAsia="Tahoma" w:hAnsi="Tahoma" w:cs="Tahoma"/>
                  <w:sz w:val="16"/>
                  <w:szCs w:val="16"/>
                </w:rPr>
                <w:t xml:space="preserve">/ </w:t>
              </w:r>
            </w:hyperlink>
            <w:r w:rsidR="00EC164F">
              <w:rPr>
                <w:rFonts w:ascii="Tahoma" w:eastAsia="Tahoma" w:hAnsi="Tahoma" w:cs="Tahoma"/>
                <w:color w:val="0000FF"/>
                <w:sz w:val="16"/>
                <w:szCs w:val="16"/>
                <w:lang w:val="en-US" w:eastAsia="en-US" w:bidi="en-US"/>
              </w:rPr>
              <w:t>XXXXXXXXXXXXXXXXXX</w:t>
            </w:r>
          </w:p>
        </w:tc>
      </w:tr>
    </w:tbl>
    <w:p w:rsidR="00BB10B9" w:rsidRDefault="00BB10B9">
      <w:pPr>
        <w:spacing w:after="726" w:line="14" w:lineRule="exact"/>
      </w:pPr>
    </w:p>
    <w:p w:rsidR="00BB10B9" w:rsidRDefault="00C12E17">
      <w:pPr>
        <w:pStyle w:val="Nadpis40"/>
        <w:keepNext/>
        <w:keepLines/>
        <w:shd w:val="clear" w:color="auto" w:fill="auto"/>
        <w:spacing w:after="140" w:line="298" w:lineRule="auto"/>
        <w:jc w:val="both"/>
      </w:pPr>
      <w:bookmarkStart w:id="4" w:name="bookmark4"/>
      <w:r>
        <w:t>Předmět Dílčí smlouvy</w:t>
      </w:r>
      <w:bookmarkEnd w:id="4"/>
    </w:p>
    <w:p w:rsidR="00BB10B9" w:rsidRDefault="00C12E17">
      <w:pPr>
        <w:pStyle w:val="Zkladntext1"/>
        <w:shd w:val="clear" w:color="auto" w:fill="auto"/>
        <w:spacing w:after="160" w:line="331" w:lineRule="auto"/>
      </w:pPr>
      <w:r>
        <w:t xml:space="preserve">V souladu se zněním Rámcové smlouvy se smluvní strany dohodly na poskytování služeb elektronických komunikací, jiných služeb a zboží ze strany Poskytovatele za podmínek uvedených v této Dílčí smlouvě a Obchodních podmínkách </w:t>
      </w:r>
      <w:proofErr w:type="spellStart"/>
      <w:r>
        <w:t>OneNet</w:t>
      </w:r>
      <w:proofErr w:type="spellEnd"/>
      <w:r>
        <w:t>. Poskytování služeb se bude řídit specifikacemi uvedenými níže v této Dílčí smlouvě.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5395"/>
      </w:tblGrid>
      <w:tr w:rsidR="00BB10B9">
        <w:trPr>
          <w:trHeight w:hRule="exact" w:val="331"/>
          <w:jc w:val="center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Identifikace služby</w:t>
            </w:r>
          </w:p>
        </w:tc>
      </w:tr>
      <w:tr w:rsidR="00BB10B9">
        <w:trPr>
          <w:trHeight w:hRule="exact" w:val="322"/>
          <w:jc w:val="center"/>
        </w:trPr>
        <w:tc>
          <w:tcPr>
            <w:tcW w:w="4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Souhrnný název služeb: </w:t>
            </w:r>
            <w:r>
              <w:t xml:space="preserve">Vodafone </w:t>
            </w:r>
            <w:proofErr w:type="spellStart"/>
            <w:r>
              <w:t>OneNet</w:t>
            </w:r>
            <w:proofErr w:type="spellEnd"/>
            <w:r>
              <w:t xml:space="preserve"> - Hlasové služby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BB10B9" w:rsidRDefault="00BB10B9">
            <w:pPr>
              <w:rPr>
                <w:sz w:val="10"/>
                <w:szCs w:val="10"/>
              </w:rPr>
            </w:pPr>
          </w:p>
        </w:tc>
      </w:tr>
      <w:tr w:rsidR="00BB10B9">
        <w:trPr>
          <w:trHeight w:hRule="exact" w:val="322"/>
          <w:jc w:val="center"/>
        </w:trPr>
        <w:tc>
          <w:tcPr>
            <w:tcW w:w="4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k Rámcové dohodě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č. j.: </w:t>
            </w:r>
            <w:r>
              <w:t>MK 77184/2017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ind w:left="400"/>
              <w:jc w:val="left"/>
            </w:pPr>
            <w:r>
              <w:rPr>
                <w:b/>
                <w:bCs/>
              </w:rPr>
              <w:t xml:space="preserve">Požadavek </w:t>
            </w:r>
            <w:proofErr w:type="gramStart"/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 xml:space="preserve">: </w:t>
            </w:r>
            <w:r>
              <w:t>zřízení služby</w:t>
            </w:r>
          </w:p>
        </w:tc>
      </w:tr>
      <w:tr w:rsidR="00BB10B9">
        <w:trPr>
          <w:trHeight w:hRule="exact" w:val="336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Dílčí smlouva/verze: </w:t>
            </w:r>
            <w:r>
              <w:t>1/1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ind w:left="400"/>
              <w:jc w:val="left"/>
            </w:pPr>
            <w:r>
              <w:rPr>
                <w:b/>
                <w:bCs/>
              </w:rPr>
              <w:t>Nahrazuje Dílčí smlouvu/verzi:</w:t>
            </w:r>
          </w:p>
        </w:tc>
      </w:tr>
    </w:tbl>
    <w:p w:rsidR="00BB10B9" w:rsidRDefault="00BB10B9">
      <w:pPr>
        <w:spacing w:after="206" w:line="14" w:lineRule="exact"/>
      </w:pPr>
    </w:p>
    <w:p w:rsidR="00BB10B9" w:rsidRDefault="00BB10B9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5112"/>
      </w:tblGrid>
      <w:tr w:rsidR="00BB10B9">
        <w:trPr>
          <w:trHeight w:hRule="exact" w:val="346"/>
          <w:jc w:val="center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Fakturační údaje</w:t>
            </w:r>
          </w:p>
        </w:tc>
      </w:tr>
      <w:tr w:rsidR="00BB10B9">
        <w:trPr>
          <w:trHeight w:hRule="exact" w:val="322"/>
          <w:jc w:val="center"/>
        </w:trPr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Fakturační skupina č.: 1</w:t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0B9" w:rsidRDefault="00BB10B9">
            <w:pPr>
              <w:rPr>
                <w:sz w:val="10"/>
                <w:szCs w:val="10"/>
              </w:rPr>
            </w:pPr>
          </w:p>
        </w:tc>
      </w:tr>
      <w:tr w:rsidR="00BB10B9">
        <w:trPr>
          <w:trHeight w:hRule="exact" w:val="322"/>
          <w:jc w:val="center"/>
        </w:trPr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Adresát: Národní galerie v Praze</w:t>
            </w:r>
          </w:p>
        </w:tc>
        <w:tc>
          <w:tcPr>
            <w:tcW w:w="5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0B9" w:rsidRDefault="00BB10B9"/>
        </w:tc>
      </w:tr>
      <w:tr w:rsidR="00BB10B9">
        <w:trPr>
          <w:trHeight w:hRule="exact" w:val="326"/>
          <w:jc w:val="center"/>
        </w:trPr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Ulice, č. p.: Staroměstské náměstí 606/12</w:t>
            </w:r>
          </w:p>
        </w:tc>
        <w:tc>
          <w:tcPr>
            <w:tcW w:w="5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0B9" w:rsidRDefault="00BB10B9"/>
        </w:tc>
      </w:tr>
      <w:tr w:rsidR="00BB10B9">
        <w:trPr>
          <w:trHeight w:hRule="exact" w:val="322"/>
          <w:jc w:val="center"/>
        </w:trPr>
        <w:tc>
          <w:tcPr>
            <w:tcW w:w="5117" w:type="dxa"/>
            <w:tcBorders>
              <w:top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PSČ, Město: 11000 Praha</w:t>
            </w:r>
          </w:p>
        </w:tc>
        <w:tc>
          <w:tcPr>
            <w:tcW w:w="5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0B9" w:rsidRDefault="00BB10B9"/>
        </w:tc>
      </w:tr>
      <w:tr w:rsidR="00BB10B9">
        <w:trPr>
          <w:trHeight w:hRule="exact" w:val="331"/>
          <w:jc w:val="center"/>
        </w:trPr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Tarifní plány: vše</w:t>
            </w:r>
          </w:p>
        </w:tc>
        <w:tc>
          <w:tcPr>
            <w:tcW w:w="5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0B9" w:rsidRDefault="00BB10B9"/>
        </w:tc>
      </w:tr>
    </w:tbl>
    <w:p w:rsidR="00BB10B9" w:rsidRDefault="00BB10B9">
      <w:pPr>
        <w:spacing w:after="786" w:line="14" w:lineRule="exact"/>
      </w:pPr>
    </w:p>
    <w:p w:rsidR="00BB10B9" w:rsidRDefault="00C12E17">
      <w:pPr>
        <w:pStyle w:val="Nadpis40"/>
        <w:keepNext/>
        <w:keepLines/>
        <w:shd w:val="clear" w:color="auto" w:fill="auto"/>
        <w:spacing w:after="160" w:line="262" w:lineRule="auto"/>
        <w:jc w:val="both"/>
      </w:pPr>
      <w:bookmarkStart w:id="5" w:name="bookmark5"/>
      <w:r>
        <w:t>Termíny a doba trvání Dílčí smlouvy</w:t>
      </w:r>
      <w:bookmarkEnd w:id="5"/>
    </w:p>
    <w:p w:rsidR="00BB10B9" w:rsidRDefault="00C12E17">
      <w:pPr>
        <w:pStyle w:val="Zkladntext1"/>
        <w:shd w:val="clear" w:color="auto" w:fill="auto"/>
        <w:spacing w:after="260" w:line="290" w:lineRule="auto"/>
      </w:pPr>
      <w:r>
        <w:t>Služba bude zřízena nejpozději do 60 dnů ode dne účinnosti této Dílčí smlouvy, nebude-li mezi stranami písemně dohodnuto jinak. Dílčí smlouva se uzavírá na dobu určitou, a to na dobu 48 měsíců od okamžiku její účinnosti.</w:t>
      </w:r>
    </w:p>
    <w:p w:rsidR="00BB10B9" w:rsidRDefault="00C12E17">
      <w:pPr>
        <w:pStyle w:val="Nadpis40"/>
        <w:keepNext/>
        <w:keepLines/>
        <w:shd w:val="clear" w:color="auto" w:fill="auto"/>
        <w:spacing w:after="160"/>
        <w:jc w:val="both"/>
      </w:pPr>
      <w:bookmarkStart w:id="6" w:name="bookmark6"/>
      <w:r>
        <w:t>Hlasový tarifní plán</w:t>
      </w:r>
      <w:bookmarkEnd w:id="6"/>
    </w:p>
    <w:p w:rsidR="00BB10B9" w:rsidRDefault="00C12E17">
      <w:pPr>
        <w:pStyle w:val="Titulektabulky0"/>
        <w:shd w:val="clear" w:color="auto" w:fill="auto"/>
        <w:ind w:left="58"/>
      </w:pPr>
      <w:r>
        <w:t>Tarifní plán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6672"/>
      </w:tblGrid>
      <w:tr w:rsidR="00BB10B9">
        <w:trPr>
          <w:trHeight w:hRule="exact" w:val="384"/>
          <w:jc w:val="center"/>
        </w:trPr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TP1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 xml:space="preserve">Uživatel mobilního čísla s minutovou sazbou </w:t>
            </w:r>
            <w:r>
              <w:rPr>
                <w:b/>
                <w:bCs/>
              </w:rPr>
              <w:t>(pravidelná měsíční)</w:t>
            </w:r>
          </w:p>
        </w:tc>
      </w:tr>
      <w:tr w:rsidR="00BB10B9">
        <w:trPr>
          <w:trHeight w:hRule="exact" w:val="322"/>
          <w:jc w:val="center"/>
        </w:trPr>
        <w:tc>
          <w:tcPr>
            <w:tcW w:w="35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Hlasový tarif s minutovou sazbou</w:t>
            </w:r>
          </w:p>
        </w:tc>
        <w:tc>
          <w:tcPr>
            <w:tcW w:w="6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 w:rsidP="00E7217F">
            <w:pPr>
              <w:pStyle w:val="Jin0"/>
              <w:shd w:val="clear" w:color="auto" w:fill="auto"/>
            </w:pPr>
            <w:proofErr w:type="gramStart"/>
            <w:r>
              <w:t>1</w:t>
            </w:r>
            <w:r w:rsidR="00E7217F">
              <w:t xml:space="preserve"> </w:t>
            </w:r>
            <w:r>
              <w:t>,- Kč</w:t>
            </w:r>
            <w:proofErr w:type="gramEnd"/>
          </w:p>
        </w:tc>
      </w:tr>
    </w:tbl>
    <w:p w:rsidR="00BB10B9" w:rsidRDefault="00C12E17">
      <w:pPr>
        <w:spacing w:line="1" w:lineRule="exact"/>
        <w:rPr>
          <w:sz w:val="2"/>
          <w:szCs w:val="2"/>
        </w:rPr>
      </w:pPr>
      <w:r>
        <w:br w:type="page"/>
      </w:r>
    </w:p>
    <w:p w:rsidR="00BB10B9" w:rsidRDefault="00C12E17">
      <w:pPr>
        <w:pStyle w:val="Nadpis30"/>
        <w:keepNext/>
        <w:keepLines/>
        <w:shd w:val="clear" w:color="auto" w:fill="auto"/>
        <w:spacing w:line="240" w:lineRule="auto"/>
      </w:pPr>
      <w:bookmarkStart w:id="7" w:name="bookmark7"/>
      <w:r>
        <w:lastRenderedPageBreak/>
        <w:t>Dílčí smlouva o poskytování služeb</w:t>
      </w:r>
      <w:bookmarkEnd w:id="7"/>
    </w:p>
    <w:p w:rsidR="00BB10B9" w:rsidRDefault="00C12E17">
      <w:pPr>
        <w:pStyle w:val="Zkladntext50"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5114925</wp:posOffset>
            </wp:positionH>
            <wp:positionV relativeFrom="margin">
              <wp:posOffset>-684530</wp:posOffset>
            </wp:positionV>
            <wp:extent cx="2432050" cy="142049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205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Je-li hlasová služba poskytována pomocí ADSL/VDSL, nevztahuje se na ní Dohoda o garantované úrovni služeb.</w:t>
      </w:r>
    </w:p>
    <w:p w:rsidR="00BB10B9" w:rsidRDefault="00C12E17">
      <w:pPr>
        <w:pStyle w:val="Titulektabulky0"/>
        <w:shd w:val="clear" w:color="auto" w:fill="auto"/>
      </w:pPr>
      <w:r>
        <w:t>INDIVIDUÁLNĚ SJEDNANÉ CENY</w:t>
      </w:r>
    </w:p>
    <w:p w:rsidR="00BB10B9" w:rsidRDefault="00C12E17">
      <w:pPr>
        <w:pStyle w:val="Titulektabulky0"/>
        <w:shd w:val="clear" w:color="auto" w:fill="auto"/>
      </w:pPr>
      <w:r>
        <w:rPr>
          <w:b w:val="0"/>
          <w:bCs w:val="0"/>
        </w:rPr>
        <w:t>Volání v rámci ČR: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3398"/>
        <w:gridCol w:w="3274"/>
      </w:tblGrid>
      <w:tr w:rsidR="00BB10B9">
        <w:trPr>
          <w:trHeight w:hRule="exact" w:val="307"/>
          <w:jc w:val="center"/>
        </w:trPr>
        <w:tc>
          <w:tcPr>
            <w:tcW w:w="3562" w:type="dxa"/>
            <w:vMerge w:val="restart"/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Typ služby</w:t>
            </w:r>
          </w:p>
        </w:tc>
        <w:tc>
          <w:tcPr>
            <w:tcW w:w="66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za jednotku</w:t>
            </w:r>
          </w:p>
        </w:tc>
      </w:tr>
      <w:tr w:rsidR="00BB10B9">
        <w:trPr>
          <w:trHeight w:hRule="exact" w:val="307"/>
          <w:jc w:val="center"/>
        </w:trPr>
        <w:tc>
          <w:tcPr>
            <w:tcW w:w="3562" w:type="dxa"/>
            <w:vMerge/>
            <w:shd w:val="clear" w:color="auto" w:fill="FFFFFF"/>
            <w:vAlign w:val="center"/>
          </w:tcPr>
          <w:p w:rsidR="00BB10B9" w:rsidRDefault="00BB10B9"/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 sítě </w:t>
            </w:r>
            <w:r>
              <w:rPr>
                <w:b/>
                <w:bCs/>
                <w:lang w:val="en-US" w:eastAsia="en-US" w:bidi="en-US"/>
              </w:rPr>
              <w:t>Vodafone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 ostatních národních sítí</w:t>
            </w:r>
          </w:p>
        </w:tc>
      </w:tr>
      <w:tr w:rsidR="00BB10B9">
        <w:trPr>
          <w:trHeight w:hRule="exact" w:val="312"/>
          <w:jc w:val="center"/>
        </w:trPr>
        <w:tc>
          <w:tcPr>
            <w:tcW w:w="3562" w:type="dxa"/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Z mobilu na mobil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0,35 Kč/min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0,35 Kč/min</w:t>
            </w:r>
          </w:p>
        </w:tc>
      </w:tr>
      <w:tr w:rsidR="00BB10B9">
        <w:trPr>
          <w:trHeight w:hRule="exact" w:val="312"/>
          <w:jc w:val="center"/>
        </w:trPr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Z mobilu na pevnou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0,35 Kč/min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0,35 Kč/min</w:t>
            </w:r>
          </w:p>
        </w:tc>
      </w:tr>
      <w:tr w:rsidR="00BB10B9">
        <w:trPr>
          <w:trHeight w:hRule="exact" w:val="312"/>
          <w:jc w:val="center"/>
        </w:trPr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Vnitrofiremní volání (VPN)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0,- Kč/min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/</w:t>
            </w:r>
          </w:p>
        </w:tc>
      </w:tr>
      <w:tr w:rsidR="00BB10B9">
        <w:trPr>
          <w:trHeight w:hRule="exact" w:val="322"/>
          <w:jc w:val="center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SMS - textové zprávy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0,60 Kč/SMS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0,60 Kč/SMS</w:t>
            </w:r>
          </w:p>
        </w:tc>
      </w:tr>
    </w:tbl>
    <w:p w:rsidR="00BB10B9" w:rsidRDefault="00BB10B9">
      <w:pPr>
        <w:spacing w:after="466" w:line="14" w:lineRule="exact"/>
      </w:pPr>
    </w:p>
    <w:p w:rsidR="00BB10B9" w:rsidRDefault="00BB10B9">
      <w:pPr>
        <w:spacing w:line="14" w:lineRule="exact"/>
      </w:pPr>
    </w:p>
    <w:p w:rsidR="00BB10B9" w:rsidRDefault="00C12E17">
      <w:pPr>
        <w:pStyle w:val="Titulektabulky0"/>
        <w:shd w:val="clear" w:color="auto" w:fill="auto"/>
      </w:pPr>
      <w:r>
        <w:t>Tarifní plán č.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2"/>
        <w:gridCol w:w="1133"/>
        <w:gridCol w:w="1133"/>
        <w:gridCol w:w="1277"/>
        <w:gridCol w:w="1277"/>
        <w:gridCol w:w="1853"/>
      </w:tblGrid>
      <w:tr w:rsidR="00BB10B9">
        <w:trPr>
          <w:trHeight w:hRule="exact" w:val="581"/>
          <w:jc w:val="center"/>
        </w:trPr>
        <w:tc>
          <w:tcPr>
            <w:tcW w:w="3552" w:type="dxa"/>
            <w:shd w:val="clear" w:color="auto" w:fill="FFFFFF"/>
          </w:tcPr>
          <w:p w:rsidR="00BB10B9" w:rsidRDefault="00BB10B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spacing w:before="100"/>
            </w:pPr>
            <w:r>
              <w:rPr>
                <w:b/>
                <w:bCs/>
              </w:rPr>
              <w:t>Uživatelský</w:t>
            </w:r>
          </w:p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poplatek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Datový tarif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Automatický</w:t>
            </w:r>
          </w:p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Dokup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Objem </w:t>
            </w:r>
            <w:proofErr w:type="spellStart"/>
            <w:r>
              <w:rPr>
                <w:b/>
                <w:bCs/>
              </w:rPr>
              <w:t>dokupu</w:t>
            </w:r>
            <w:proofErr w:type="spellEnd"/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Cena za </w:t>
            </w:r>
            <w:proofErr w:type="gramStart"/>
            <w:r>
              <w:rPr>
                <w:b/>
                <w:bCs/>
              </w:rPr>
              <w:t>dokup</w:t>
            </w:r>
            <w:proofErr w:type="gramEnd"/>
            <w:r>
              <w:rPr>
                <w:b/>
                <w:bCs/>
              </w:rPr>
              <w:t xml:space="preserve"> dat</w:t>
            </w:r>
          </w:p>
        </w:tc>
      </w:tr>
      <w:tr w:rsidR="00BB10B9">
        <w:trPr>
          <w:trHeight w:hRule="exact" w:val="528"/>
          <w:jc w:val="center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t>Neomezené volání a SMS v rámci ČR - TP2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170 ,- Kč</w:t>
            </w:r>
            <w:proofErr w:type="gramEnd"/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</w:pPr>
            <w:r>
              <w:t>Bez Dat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0B9" w:rsidRDefault="00E7217F" w:rsidP="00E7217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0B9" w:rsidRDefault="00E7217F" w:rsidP="00E7217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0B9" w:rsidRDefault="00E7217F" w:rsidP="00E7217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bookmarkStart w:id="8" w:name="_GoBack"/>
            <w:bookmarkEnd w:id="8"/>
          </w:p>
        </w:tc>
      </w:tr>
    </w:tbl>
    <w:p w:rsidR="00BB10B9" w:rsidRDefault="00BB10B9">
      <w:pPr>
        <w:spacing w:after="546" w:line="14" w:lineRule="exact"/>
      </w:pPr>
    </w:p>
    <w:p w:rsidR="00BB10B9" w:rsidRDefault="00C12E17">
      <w:pPr>
        <w:pStyle w:val="Nadpis40"/>
        <w:keepNext/>
        <w:keepLines/>
        <w:shd w:val="clear" w:color="auto" w:fill="auto"/>
        <w:spacing w:after="320"/>
      </w:pPr>
      <w:bookmarkStart w:id="9" w:name="bookmark8"/>
      <w:r>
        <w:t>Volání v rámci ČR: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3398"/>
        <w:gridCol w:w="3274"/>
      </w:tblGrid>
      <w:tr w:rsidR="00BB10B9">
        <w:trPr>
          <w:trHeight w:hRule="exact" w:val="307"/>
          <w:jc w:val="center"/>
        </w:trPr>
        <w:tc>
          <w:tcPr>
            <w:tcW w:w="3562" w:type="dxa"/>
            <w:vMerge w:val="restart"/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TP2</w:t>
            </w:r>
          </w:p>
        </w:tc>
        <w:tc>
          <w:tcPr>
            <w:tcW w:w="66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za jednotku</w:t>
            </w:r>
          </w:p>
        </w:tc>
      </w:tr>
      <w:tr w:rsidR="00BB10B9">
        <w:trPr>
          <w:trHeight w:hRule="exact" w:val="307"/>
          <w:jc w:val="center"/>
        </w:trPr>
        <w:tc>
          <w:tcPr>
            <w:tcW w:w="3562" w:type="dxa"/>
            <w:vMerge/>
            <w:shd w:val="clear" w:color="auto" w:fill="FFFFFF"/>
            <w:vAlign w:val="center"/>
          </w:tcPr>
          <w:p w:rsidR="00BB10B9" w:rsidRDefault="00BB10B9"/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 sítě </w:t>
            </w:r>
            <w:r>
              <w:rPr>
                <w:b/>
                <w:bCs/>
                <w:lang w:val="en-US" w:eastAsia="en-US" w:bidi="en-US"/>
              </w:rPr>
              <w:t>Vodafone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 ostatních sítí</w:t>
            </w:r>
          </w:p>
        </w:tc>
      </w:tr>
      <w:tr w:rsidR="00BB10B9">
        <w:trPr>
          <w:trHeight w:hRule="exact" w:val="312"/>
          <w:jc w:val="center"/>
        </w:trPr>
        <w:tc>
          <w:tcPr>
            <w:tcW w:w="3562" w:type="dxa"/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Z mobilu na mobil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0,- Kč/min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0,- Kč/min</w:t>
            </w:r>
          </w:p>
        </w:tc>
      </w:tr>
      <w:tr w:rsidR="00BB10B9">
        <w:trPr>
          <w:trHeight w:hRule="exact" w:val="312"/>
          <w:jc w:val="center"/>
        </w:trPr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Z mobilu na pevnou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0,- Kč/min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0,- Kč/min</w:t>
            </w:r>
          </w:p>
        </w:tc>
      </w:tr>
      <w:tr w:rsidR="00BB10B9">
        <w:trPr>
          <w:trHeight w:hRule="exact" w:val="312"/>
          <w:jc w:val="center"/>
        </w:trPr>
        <w:tc>
          <w:tcPr>
            <w:tcW w:w="3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Volání v rámci VPN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0,- Kč/min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/</w:t>
            </w:r>
          </w:p>
        </w:tc>
      </w:tr>
      <w:tr w:rsidR="00BB10B9">
        <w:trPr>
          <w:trHeight w:hRule="exact" w:val="350"/>
          <w:jc w:val="center"/>
        </w:trPr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SMS - textové zprávy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0,- Kč/SMS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0,- Kč/SMS</w:t>
            </w:r>
          </w:p>
        </w:tc>
      </w:tr>
    </w:tbl>
    <w:p w:rsidR="00BB10B9" w:rsidRDefault="00BB10B9">
      <w:pPr>
        <w:spacing w:after="906" w:line="14" w:lineRule="exact"/>
      </w:pPr>
    </w:p>
    <w:p w:rsidR="00BB10B9" w:rsidRDefault="00C12E17">
      <w:pPr>
        <w:pStyle w:val="Nadpis40"/>
        <w:keepNext/>
        <w:keepLines/>
        <w:shd w:val="clear" w:color="auto" w:fill="auto"/>
        <w:spacing w:after="380"/>
      </w:pPr>
      <w:bookmarkStart w:id="10" w:name="bookmark9"/>
      <w:r>
        <w:t>ROAMING</w:t>
      </w:r>
      <w:bookmarkEnd w:id="10"/>
    </w:p>
    <w:p w:rsidR="00BB10B9" w:rsidRDefault="00C12E17">
      <w:pPr>
        <w:pStyle w:val="Zkladntext20"/>
        <w:shd w:val="clear" w:color="auto" w:fill="auto"/>
        <w:spacing w:line="293" w:lineRule="auto"/>
        <w:ind w:left="380"/>
      </w:pPr>
      <w:r>
        <w:t xml:space="preserve">Ceny služeb </w:t>
      </w:r>
      <w:proofErr w:type="spellStart"/>
      <w:r>
        <w:t>OneNet</w:t>
      </w:r>
      <w:proofErr w:type="spellEnd"/>
      <w:r>
        <w:t xml:space="preserve"> Roaming EU &amp; </w:t>
      </w:r>
      <w:proofErr w:type="spellStart"/>
      <w:r>
        <w:t>World</w:t>
      </w:r>
      <w:proofErr w:type="spellEnd"/>
      <w:r>
        <w:t xml:space="preserve"> v zóně 1, odpovídají cenám služeb platných do ostatních mobilních </w:t>
      </w:r>
      <w:proofErr w:type="gramStart"/>
      <w:r>
        <w:t>sítích</w:t>
      </w:r>
      <w:proofErr w:type="gramEnd"/>
      <w:r>
        <w:t xml:space="preserve"> v České republice a sjednaných ve Smlouvě jako Tarifní plány.</w:t>
      </w:r>
      <w:r>
        <w:br w:type="page"/>
      </w:r>
    </w:p>
    <w:p w:rsidR="00BB10B9" w:rsidRDefault="00C12E17">
      <w:pPr>
        <w:pStyle w:val="Nadpis30"/>
        <w:keepNext/>
        <w:keepLines/>
        <w:shd w:val="clear" w:color="auto" w:fill="auto"/>
        <w:spacing w:after="1460" w:line="240" w:lineRule="auto"/>
      </w:pPr>
      <w:bookmarkStart w:id="11" w:name="bookmark10"/>
      <w:r>
        <w:lastRenderedPageBreak/>
        <w:t>Dílčí smlouva o poskytování služeb</w:t>
      </w:r>
      <w:bookmarkEnd w:id="11"/>
    </w:p>
    <w:p w:rsidR="00BB10B9" w:rsidRDefault="00C12E17">
      <w:pPr>
        <w:pStyle w:val="Nadpis40"/>
        <w:keepNext/>
        <w:keepLines/>
        <w:shd w:val="clear" w:color="auto" w:fill="auto"/>
        <w:spacing w:after="720"/>
        <w:ind w:left="200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5125720</wp:posOffset>
            </wp:positionH>
            <wp:positionV relativeFrom="margin">
              <wp:posOffset>-678180</wp:posOffset>
            </wp:positionV>
            <wp:extent cx="2432050" cy="142049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205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bookmark11"/>
      <w:r>
        <w:t>Tarify Připojení - Mobilní data</w:t>
      </w:r>
      <w:bookmarkEnd w:id="12"/>
    </w:p>
    <w:p w:rsidR="00BB10B9" w:rsidRDefault="00C12E17">
      <w:pPr>
        <w:pStyle w:val="Titulektabulky0"/>
        <w:shd w:val="clear" w:color="auto" w:fill="auto"/>
      </w:pPr>
      <w:proofErr w:type="spellStart"/>
      <w:r>
        <w:rPr>
          <w:b w:val="0"/>
          <w:bCs w:val="0"/>
        </w:rPr>
        <w:t>OneNet</w:t>
      </w:r>
      <w:proofErr w:type="spellEnd"/>
      <w:r>
        <w:rPr>
          <w:b w:val="0"/>
          <w:bCs w:val="0"/>
        </w:rPr>
        <w:t xml:space="preserve"> Mobilní připojení nesdílené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994"/>
        <w:gridCol w:w="994"/>
        <w:gridCol w:w="1133"/>
        <w:gridCol w:w="1133"/>
        <w:gridCol w:w="1133"/>
        <w:gridCol w:w="1138"/>
        <w:gridCol w:w="1133"/>
        <w:gridCol w:w="998"/>
      </w:tblGrid>
      <w:tr w:rsidR="00BB10B9">
        <w:trPr>
          <w:trHeight w:hRule="exact" w:val="298"/>
          <w:jc w:val="center"/>
        </w:trPr>
        <w:tc>
          <w:tcPr>
            <w:tcW w:w="1574" w:type="dxa"/>
            <w:vMerge w:val="restart"/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Tarifní plán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Datový</w:t>
            </w:r>
          </w:p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objem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spacing w:line="288" w:lineRule="auto"/>
            </w:pPr>
            <w:r>
              <w:rPr>
                <w:b/>
                <w:bCs/>
              </w:rPr>
              <w:t>Měsíční platba [ Kč ]</w:t>
            </w:r>
          </w:p>
        </w:tc>
        <w:tc>
          <w:tcPr>
            <w:tcW w:w="453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Dostupné </w:t>
            </w:r>
            <w:proofErr w:type="spellStart"/>
            <w:r>
              <w:rPr>
                <w:b/>
                <w:bCs/>
              </w:rPr>
              <w:t>dokupy</w:t>
            </w:r>
            <w:proofErr w:type="spellEnd"/>
          </w:p>
        </w:tc>
        <w:tc>
          <w:tcPr>
            <w:tcW w:w="213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Automatické </w:t>
            </w:r>
            <w:proofErr w:type="spellStart"/>
            <w:r>
              <w:rPr>
                <w:b/>
                <w:bCs/>
              </w:rPr>
              <w:t>dokupy</w:t>
            </w:r>
            <w:proofErr w:type="spellEnd"/>
          </w:p>
        </w:tc>
      </w:tr>
      <w:tr w:rsidR="00BB10B9">
        <w:trPr>
          <w:trHeight w:hRule="exact" w:val="293"/>
          <w:jc w:val="center"/>
        </w:trPr>
        <w:tc>
          <w:tcPr>
            <w:tcW w:w="1574" w:type="dxa"/>
            <w:vMerge/>
            <w:shd w:val="clear" w:color="auto" w:fill="FFFFFF"/>
            <w:vAlign w:val="center"/>
          </w:tcPr>
          <w:p w:rsidR="00BB10B9" w:rsidRDefault="00BB10B9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BB10B9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BB10B9"/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Dokup č. 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Dokup č. 2</w:t>
            </w:r>
          </w:p>
        </w:tc>
        <w:tc>
          <w:tcPr>
            <w:tcW w:w="21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BB10B9"/>
        </w:tc>
      </w:tr>
      <w:tr w:rsidR="00BB10B9">
        <w:trPr>
          <w:trHeight w:hRule="exact" w:val="298"/>
          <w:jc w:val="center"/>
        </w:trPr>
        <w:tc>
          <w:tcPr>
            <w:tcW w:w="1574" w:type="dxa"/>
            <w:vMerge/>
            <w:shd w:val="clear" w:color="auto" w:fill="FFFFFF"/>
            <w:vAlign w:val="center"/>
          </w:tcPr>
          <w:p w:rsidR="00BB10B9" w:rsidRDefault="00BB10B9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BB10B9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BB10B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Objem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Cena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Objem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Cena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Dokup č.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</w:pPr>
            <w:r>
              <w:t>Počet</w:t>
            </w:r>
          </w:p>
        </w:tc>
      </w:tr>
      <w:tr w:rsidR="00BB10B9">
        <w:trPr>
          <w:trHeight w:hRule="exact" w:val="422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spacing w:line="286" w:lineRule="auto"/>
              <w:jc w:val="left"/>
            </w:pPr>
            <w:proofErr w:type="spellStart"/>
            <w:r>
              <w:t>OneNet</w:t>
            </w:r>
            <w:proofErr w:type="spellEnd"/>
            <w:r>
              <w:t xml:space="preserve"> Mobilní připojení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 GB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70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 GB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130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</w:t>
            </w:r>
          </w:p>
        </w:tc>
      </w:tr>
      <w:tr w:rsidR="00BB10B9">
        <w:trPr>
          <w:trHeight w:hRule="exact" w:val="523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  <w:spacing w:line="286" w:lineRule="auto"/>
              <w:jc w:val="left"/>
            </w:pPr>
            <w:proofErr w:type="spellStart"/>
            <w:r>
              <w:t>OneNet</w:t>
            </w:r>
            <w:proofErr w:type="spellEnd"/>
            <w:r>
              <w:t xml:space="preserve"> Mobilní připojení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3 GB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100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 GB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130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</w:t>
            </w:r>
          </w:p>
        </w:tc>
      </w:tr>
      <w:tr w:rsidR="00BB10B9">
        <w:trPr>
          <w:trHeight w:hRule="exact" w:val="422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spacing w:line="286" w:lineRule="auto"/>
              <w:jc w:val="left"/>
            </w:pPr>
            <w:proofErr w:type="spellStart"/>
            <w:r>
              <w:t>OneNet</w:t>
            </w:r>
            <w:proofErr w:type="spellEnd"/>
            <w:r>
              <w:t xml:space="preserve"> Mobilní připojení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10 GB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160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 GB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130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</w:t>
            </w:r>
          </w:p>
        </w:tc>
      </w:tr>
      <w:tr w:rsidR="00BB10B9">
        <w:trPr>
          <w:trHeight w:hRule="exact" w:val="437"/>
          <w:jc w:val="center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0B9" w:rsidRDefault="00C12E17">
            <w:pPr>
              <w:pStyle w:val="Jin0"/>
              <w:shd w:val="clear" w:color="auto" w:fill="auto"/>
              <w:spacing w:line="286" w:lineRule="auto"/>
              <w:jc w:val="left"/>
            </w:pPr>
            <w:proofErr w:type="spellStart"/>
            <w:r>
              <w:t>OneNet</w:t>
            </w:r>
            <w:proofErr w:type="spellEnd"/>
            <w:r>
              <w:t xml:space="preserve"> Mobilní připojení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50 GB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330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 GB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proofErr w:type="gramStart"/>
            <w:r>
              <w:t>130 ,-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0B9" w:rsidRDefault="00C12E17">
            <w:pPr>
              <w:pStyle w:val="Jin0"/>
              <w:shd w:val="clear" w:color="auto" w:fill="auto"/>
            </w:pPr>
            <w:r>
              <w:t>0</w:t>
            </w:r>
          </w:p>
        </w:tc>
      </w:tr>
    </w:tbl>
    <w:p w:rsidR="00BB10B9" w:rsidRDefault="00BB10B9">
      <w:pPr>
        <w:spacing w:after="746" w:line="14" w:lineRule="exact"/>
      </w:pPr>
    </w:p>
    <w:p w:rsidR="00BB10B9" w:rsidRDefault="00C12E17">
      <w:pPr>
        <w:pStyle w:val="Nadpis40"/>
        <w:keepNext/>
        <w:keepLines/>
        <w:shd w:val="clear" w:color="auto" w:fill="auto"/>
        <w:spacing w:after="0" w:line="425" w:lineRule="auto"/>
        <w:ind w:right="2780"/>
      </w:pPr>
      <w:bookmarkStart w:id="13" w:name="bookmark12"/>
      <w:r>
        <w:t>Hlasová VPN a Virtuální ústředna Vytvoření hlasové VPN:</w:t>
      </w:r>
      <w:bookmarkEnd w:id="13"/>
    </w:p>
    <w:p w:rsidR="00BB10B9" w:rsidRDefault="00C12E17">
      <w:pPr>
        <w:pStyle w:val="Zkladntext1"/>
        <w:shd w:val="clear" w:color="auto" w:fill="auto"/>
        <w:spacing w:after="640" w:line="470" w:lineRule="auto"/>
      </w:pPr>
      <w:r>
        <w:t>Název hlasové VPN:</w:t>
      </w:r>
    </w:p>
    <w:p w:rsidR="00BB10B9" w:rsidRDefault="00C12E17">
      <w:pPr>
        <w:pStyle w:val="Nadpis40"/>
        <w:keepNext/>
        <w:keepLines/>
        <w:shd w:val="clear" w:color="auto" w:fill="auto"/>
        <w:spacing w:after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3385185</wp:posOffset>
                </wp:positionH>
                <wp:positionV relativeFrom="margin">
                  <wp:posOffset>4603750</wp:posOffset>
                </wp:positionV>
                <wp:extent cx="1009015" cy="15557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10B9" w:rsidRDefault="00C12E1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Ministerstvo kultury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66.55000000000001pt;margin-top:362.5pt;width:79.450000000000003pt;height:12.25pt;z-index:-125829372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kultury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14" w:name="bookmark13"/>
      <w:r>
        <w:t>Zavedení administrátorského hesla</w:t>
      </w:r>
      <w:bookmarkEnd w:id="14"/>
    </w:p>
    <w:p w:rsidR="00BB10B9" w:rsidRDefault="00C12E17">
      <w:pPr>
        <w:pStyle w:val="Zkladntext1"/>
        <w:shd w:val="clear" w:color="auto" w:fill="auto"/>
        <w:tabs>
          <w:tab w:val="left" w:leader="underscore" w:pos="9566"/>
        </w:tabs>
        <w:spacing w:line="240" w:lineRule="auto"/>
      </w:pPr>
      <w:r>
        <w:rPr>
          <w:b/>
          <w:bCs/>
        </w:rPr>
        <w:t xml:space="preserve">V souladu s čl. 5.1 Obchodních podmínek </w:t>
      </w:r>
      <w:proofErr w:type="spellStart"/>
      <w:r>
        <w:rPr>
          <w:b/>
          <w:bCs/>
        </w:rPr>
        <w:t>OneNet</w:t>
      </w:r>
      <w:proofErr w:type="spellEnd"/>
      <w:r>
        <w:rPr>
          <w:b/>
          <w:bCs/>
        </w:rPr>
        <w:t xml:space="preserve"> bude zavedeno 6ti </w:t>
      </w:r>
      <w:proofErr w:type="spellStart"/>
      <w:r>
        <w:rPr>
          <w:b/>
          <w:bCs/>
        </w:rPr>
        <w:t>místné</w:t>
      </w:r>
      <w:proofErr w:type="spellEnd"/>
      <w:r>
        <w:rPr>
          <w:b/>
          <w:bCs/>
        </w:rPr>
        <w:t xml:space="preserve"> číselné administrátorské heslo:</w:t>
      </w:r>
      <w:r>
        <w:rPr>
          <w:b/>
          <w:bCs/>
        </w:rPr>
        <w:tab/>
      </w:r>
      <w:r>
        <w:br w:type="page"/>
      </w:r>
    </w:p>
    <w:p w:rsidR="00BB10B9" w:rsidRDefault="00C12E17">
      <w:pPr>
        <w:pStyle w:val="Nadpis30"/>
        <w:keepNext/>
        <w:keepLines/>
        <w:shd w:val="clear" w:color="auto" w:fill="auto"/>
        <w:spacing w:after="1960" w:line="240" w:lineRule="auto"/>
      </w:pPr>
      <w:bookmarkStart w:id="15" w:name="bookmark14"/>
      <w:r>
        <w:lastRenderedPageBreak/>
        <w:t>Dílčí smlouva o poskytování služeb</w:t>
      </w:r>
      <w:bookmarkEnd w:id="15"/>
    </w:p>
    <w:p w:rsidR="00BB10B9" w:rsidRDefault="00C12E17">
      <w:pPr>
        <w:pStyle w:val="Nadpis40"/>
        <w:keepNext/>
        <w:keepLines/>
        <w:shd w:val="clear" w:color="auto" w:fill="auto"/>
        <w:spacing w:after="580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5119370</wp:posOffset>
            </wp:positionH>
            <wp:positionV relativeFrom="margin">
              <wp:posOffset>-678180</wp:posOffset>
            </wp:positionV>
            <wp:extent cx="2432050" cy="142049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205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bookmark15"/>
      <w:r>
        <w:t>Obecná ustanovení</w:t>
      </w:r>
      <w:bookmarkEnd w:id="16"/>
    </w:p>
    <w:p w:rsidR="00BB10B9" w:rsidRDefault="00C12E17">
      <w:pPr>
        <w:pStyle w:val="Zkladntext1"/>
        <w:numPr>
          <w:ilvl w:val="0"/>
          <w:numId w:val="1"/>
        </w:numPr>
        <w:shd w:val="clear" w:color="auto" w:fill="auto"/>
        <w:tabs>
          <w:tab w:val="left" w:pos="592"/>
        </w:tabs>
        <w:ind w:left="580" w:hanging="420"/>
      </w:pPr>
      <w:r>
        <w:t>Veškeré ceny uvedené v této Dílčí smlouvě jsou uvedeny bez DPH; k cenám bude připočtena aktuální sazba DPH.</w:t>
      </w:r>
    </w:p>
    <w:p w:rsidR="00BB10B9" w:rsidRDefault="00C12E17">
      <w:pPr>
        <w:pStyle w:val="Zkladntext1"/>
        <w:numPr>
          <w:ilvl w:val="0"/>
          <w:numId w:val="1"/>
        </w:numPr>
        <w:shd w:val="clear" w:color="auto" w:fill="auto"/>
        <w:tabs>
          <w:tab w:val="left" w:pos="592"/>
        </w:tabs>
        <w:ind w:left="580" w:hanging="420"/>
      </w:pPr>
      <w:r>
        <w:t xml:space="preserve">Pokud není v této Dílčí smlouvě uvedeno jinak, slova začínající velkým písmenem mají význam specifikovaný v Rámcové smlouvě a Obchodních podmínkách </w:t>
      </w:r>
      <w:proofErr w:type="spellStart"/>
      <w:r>
        <w:t>OneNet</w:t>
      </w:r>
      <w:proofErr w:type="spellEnd"/>
      <w:r>
        <w:t>.</w:t>
      </w:r>
    </w:p>
    <w:p w:rsidR="00BB10B9" w:rsidRDefault="00C12E17">
      <w:pPr>
        <w:pStyle w:val="Zkladntext1"/>
        <w:numPr>
          <w:ilvl w:val="0"/>
          <w:numId w:val="1"/>
        </w:numPr>
        <w:shd w:val="clear" w:color="auto" w:fill="auto"/>
        <w:tabs>
          <w:tab w:val="left" w:pos="592"/>
        </w:tabs>
        <w:ind w:left="580" w:hanging="420"/>
      </w:pPr>
      <w:r>
        <w:t xml:space="preserve">Pokud není v této Dílčí smlouvě uvedeno jinak, použijí se na poskytování služeb Obchodní podmínky </w:t>
      </w:r>
      <w:proofErr w:type="spellStart"/>
      <w:r>
        <w:t>OneNet</w:t>
      </w:r>
      <w:proofErr w:type="spellEnd"/>
      <w:r>
        <w:t xml:space="preserve"> a platný Ceník, který je k dispozici n</w:t>
      </w:r>
      <w:hyperlink r:id="rId11" w:history="1">
        <w:r>
          <w:t>a www.vodafone.cz</w:t>
        </w:r>
      </w:hyperlink>
    </w:p>
    <w:p w:rsidR="00BB10B9" w:rsidRDefault="00C12E17">
      <w:pPr>
        <w:pStyle w:val="Zkladntext1"/>
        <w:numPr>
          <w:ilvl w:val="0"/>
          <w:numId w:val="1"/>
        </w:numPr>
        <w:shd w:val="clear" w:color="auto" w:fill="auto"/>
        <w:tabs>
          <w:tab w:val="left" w:pos="592"/>
        </w:tabs>
        <w:ind w:left="580" w:hanging="420"/>
      </w:pPr>
      <w:r>
        <w:t>Účastník podpisem této Dílčí smlouvy potvrzuje, že se seznámil s obecnou specifikací služby, která stanoví bližší podmínky poskytování této služby a že s touto obecnou specifikací služby souhlasí. Aktuální verze této obecné specifikace je k dispozici buď na</w:t>
      </w:r>
      <w:hyperlink r:id="rId12" w:history="1">
        <w:r>
          <w:t xml:space="preserve"> </w:t>
        </w:r>
        <w:r>
          <w:rPr>
            <w:rFonts w:ascii="Times New Roman" w:eastAsia="Times New Roman" w:hAnsi="Times New Roman" w:cs="Times New Roman"/>
            <w:sz w:val="18"/>
            <w:szCs w:val="18"/>
          </w:rPr>
          <w:t>vodafone.cz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t>nebo na vyžádání u Poskytovatele.</w:t>
      </w:r>
    </w:p>
    <w:p w:rsidR="00BB10B9" w:rsidRDefault="00C12E17">
      <w:pPr>
        <w:pStyle w:val="Zkladntext1"/>
        <w:numPr>
          <w:ilvl w:val="0"/>
          <w:numId w:val="1"/>
        </w:numPr>
        <w:shd w:val="clear" w:color="auto" w:fill="auto"/>
        <w:tabs>
          <w:tab w:val="left" w:pos="592"/>
        </w:tabs>
        <w:ind w:left="580" w:hanging="420"/>
      </w:pPr>
      <w:r>
        <w:t xml:space="preserve">Sítí Vodafone je pro účely poskytování služeb Vodafone </w:t>
      </w:r>
      <w:proofErr w:type="spellStart"/>
      <w:r>
        <w:t>OneNet</w:t>
      </w:r>
      <w:proofErr w:type="spellEnd"/>
      <w:r>
        <w:t xml:space="preserve"> myšlena telekomunikační síť společnosti Vodafone Czech Republic, a.s., na území České republiky.</w:t>
      </w:r>
    </w:p>
    <w:p w:rsidR="00BB10B9" w:rsidRDefault="00C12E17">
      <w:pPr>
        <w:pStyle w:val="Zkladntext1"/>
        <w:numPr>
          <w:ilvl w:val="0"/>
          <w:numId w:val="1"/>
        </w:numPr>
        <w:shd w:val="clear" w:color="auto" w:fill="auto"/>
        <w:tabs>
          <w:tab w:val="left" w:pos="592"/>
        </w:tabs>
        <w:spacing w:after="660"/>
        <w:ind w:left="580" w:hanging="420"/>
      </w:pPr>
      <w:r>
        <w:t>Tato Dílčí smlouva se uzavírá ve dvou (2) stejnopisech, z nichž každá ze smluvních stran obdrží po jednom. Tato Dílčí smlouva může být měněna pouze písemně; písemnou formou není pro účely změny Dílčí smlouvy výměna e-mailových či jiných elektronických zpráv.</w:t>
      </w:r>
    </w:p>
    <w:p w:rsidR="00BB10B9" w:rsidRDefault="00C12E17">
      <w:pPr>
        <w:pStyle w:val="Zkladntext1"/>
        <w:shd w:val="clear" w:color="auto" w:fill="auto"/>
        <w:spacing w:after="240" w:line="240" w:lineRule="auto"/>
        <w:jc w:val="left"/>
      </w:pPr>
      <w:r>
        <w:rPr>
          <w:b/>
          <w:bCs/>
        </w:rPr>
        <w:t>Seznam příloh:</w:t>
      </w:r>
    </w:p>
    <w:p w:rsidR="00BB10B9" w:rsidRDefault="00C12E17">
      <w:pPr>
        <w:pStyle w:val="Zkladntext1"/>
        <w:shd w:val="clear" w:color="auto" w:fill="auto"/>
        <w:spacing w:line="240" w:lineRule="auto"/>
        <w:jc w:val="left"/>
        <w:sectPr w:rsidR="00BB10B9">
          <w:footerReference w:type="default" r:id="rId13"/>
          <w:pgSz w:w="11900" w:h="16840"/>
          <w:pgMar w:top="1162" w:right="821" w:bottom="1179" w:left="793" w:header="734" w:footer="3" w:gutter="0"/>
          <w:pgNumType w:start="1"/>
          <w:cols w:space="720"/>
          <w:noEndnote/>
          <w:docGrid w:linePitch="360"/>
        </w:sectPr>
      </w:pPr>
      <w:r>
        <w:t xml:space="preserve">Příloha k Dílčí smlouvě </w:t>
      </w:r>
      <w:proofErr w:type="spellStart"/>
      <w:r>
        <w:t>OneNet</w:t>
      </w:r>
      <w:proofErr w:type="spellEnd"/>
      <w:r>
        <w:t xml:space="preserve"> hlas -: Přehled telefonních čísel</w:t>
      </w:r>
    </w:p>
    <w:p w:rsidR="00BB10B9" w:rsidRDefault="00BB10B9">
      <w:pPr>
        <w:spacing w:line="240" w:lineRule="exact"/>
        <w:rPr>
          <w:sz w:val="19"/>
          <w:szCs w:val="19"/>
        </w:rPr>
      </w:pPr>
    </w:p>
    <w:p w:rsidR="00BB10B9" w:rsidRDefault="00BB10B9">
      <w:pPr>
        <w:spacing w:line="240" w:lineRule="exact"/>
        <w:rPr>
          <w:sz w:val="19"/>
          <w:szCs w:val="19"/>
        </w:rPr>
      </w:pPr>
    </w:p>
    <w:p w:rsidR="00BB10B9" w:rsidRDefault="00BB10B9">
      <w:pPr>
        <w:spacing w:before="3" w:after="3" w:line="240" w:lineRule="exact"/>
        <w:rPr>
          <w:sz w:val="19"/>
          <w:szCs w:val="19"/>
        </w:rPr>
      </w:pPr>
    </w:p>
    <w:p w:rsidR="00BB10B9" w:rsidRDefault="00BB10B9">
      <w:pPr>
        <w:spacing w:line="14" w:lineRule="exact"/>
        <w:sectPr w:rsidR="00BB10B9">
          <w:type w:val="continuous"/>
          <w:pgSz w:w="11900" w:h="16840"/>
          <w:pgMar w:top="1" w:right="0" w:bottom="1072" w:left="0" w:header="0" w:footer="3" w:gutter="0"/>
          <w:cols w:space="720"/>
          <w:noEndnote/>
          <w:docGrid w:linePitch="360"/>
        </w:sectPr>
      </w:pPr>
    </w:p>
    <w:p w:rsidR="00BB10B9" w:rsidRDefault="00C12E17">
      <w:pPr>
        <w:pStyle w:val="Zkladntext1"/>
        <w:framePr w:w="2539" w:h="211" w:wrap="none" w:vAnchor="text" w:hAnchor="page" w:x="926" w:y="21"/>
        <w:shd w:val="clear" w:color="auto" w:fill="auto"/>
        <w:tabs>
          <w:tab w:val="left" w:leader="dot" w:pos="2482"/>
        </w:tabs>
        <w:spacing w:line="240" w:lineRule="auto"/>
      </w:pPr>
      <w:r>
        <w:t>Datum:</w:t>
      </w:r>
      <w:r>
        <w:tab/>
      </w:r>
    </w:p>
    <w:p w:rsidR="00BB10B9" w:rsidRDefault="00C12E17">
      <w:pPr>
        <w:pStyle w:val="Zkladntext1"/>
        <w:framePr w:w="3614" w:h="1502" w:wrap="none" w:vAnchor="text" w:hAnchor="page" w:x="6172" w:y="21"/>
        <w:shd w:val="clear" w:color="auto" w:fill="auto"/>
        <w:tabs>
          <w:tab w:val="left" w:leader="dot" w:pos="2482"/>
        </w:tabs>
        <w:spacing w:after="100" w:line="240" w:lineRule="auto"/>
      </w:pPr>
      <w:r>
        <w:t>Datum:</w:t>
      </w:r>
      <w:r>
        <w:tab/>
      </w:r>
    </w:p>
    <w:p w:rsidR="00BB10B9" w:rsidRDefault="00BB10B9">
      <w:pPr>
        <w:pStyle w:val="Nadpis30"/>
        <w:keepNext/>
        <w:keepLines/>
        <w:framePr w:w="1363" w:h="1190" w:wrap="none" w:vAnchor="text" w:hAnchor="page" w:x="6811" w:y="308"/>
        <w:shd w:val="clear" w:color="auto" w:fill="auto"/>
        <w:spacing w:line="286" w:lineRule="auto"/>
      </w:pPr>
    </w:p>
    <w:p w:rsidR="00BB10B9" w:rsidRDefault="00BB10B9">
      <w:pPr>
        <w:spacing w:line="360" w:lineRule="exact"/>
      </w:pPr>
    </w:p>
    <w:p w:rsidR="00BB10B9" w:rsidRDefault="00BB10B9">
      <w:pPr>
        <w:spacing w:line="360" w:lineRule="exact"/>
      </w:pPr>
    </w:p>
    <w:p w:rsidR="00BB10B9" w:rsidRDefault="00BB10B9">
      <w:pPr>
        <w:spacing w:line="360" w:lineRule="exact"/>
      </w:pPr>
    </w:p>
    <w:p w:rsidR="00BB10B9" w:rsidRDefault="00BB10B9">
      <w:pPr>
        <w:spacing w:after="447" w:line="14" w:lineRule="exact"/>
      </w:pPr>
    </w:p>
    <w:p w:rsidR="00BB10B9" w:rsidRDefault="00BB10B9">
      <w:pPr>
        <w:spacing w:line="14" w:lineRule="exact"/>
        <w:sectPr w:rsidR="00BB10B9">
          <w:type w:val="continuous"/>
          <w:pgSz w:w="11900" w:h="16840"/>
          <w:pgMar w:top="1" w:right="0" w:bottom="1072" w:left="817" w:header="0" w:footer="3" w:gutter="0"/>
          <w:cols w:space="720"/>
          <w:noEndnote/>
          <w:docGrid w:linePitch="360"/>
        </w:sectPr>
      </w:pPr>
    </w:p>
    <w:p w:rsidR="00BB10B9" w:rsidRDefault="00C12E17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60" w:line="240" w:lineRule="auto"/>
        <w:jc w:val="left"/>
      </w:pPr>
      <w:r>
        <w:t xml:space="preserve">Václav Kubík, </w:t>
      </w:r>
      <w:r>
        <w:rPr>
          <w:lang w:val="en-US" w:eastAsia="en-US" w:bidi="en-US"/>
        </w:rPr>
        <w:t xml:space="preserve">Key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BB10B9" w:rsidRDefault="00C12E17">
      <w:pPr>
        <w:pStyle w:val="Zkladntext1"/>
        <w:shd w:val="clear" w:color="auto" w:fill="auto"/>
        <w:spacing w:line="240" w:lineRule="auto"/>
        <w:jc w:val="left"/>
      </w:pPr>
      <w:r>
        <w:t>Jméno a funkce oprávněného zástupce Poskytovatele</w:t>
      </w:r>
    </w:p>
    <w:p w:rsidR="00BB10B9" w:rsidRDefault="00C12E17">
      <w:pPr>
        <w:pStyle w:val="Zkladntext20"/>
        <w:pBdr>
          <w:top w:val="single" w:sz="4" w:space="0" w:color="auto"/>
        </w:pBdr>
        <w:shd w:val="clear" w:color="auto" w:fill="auto"/>
        <w:spacing w:line="240" w:lineRule="auto"/>
        <w:ind w:left="0"/>
      </w:pPr>
      <w:r>
        <w:t xml:space="preserve">Doc. Dr. et Ing. Jiří Fajt, </w:t>
      </w:r>
      <w:r>
        <w:rPr>
          <w:lang w:val="en-US" w:eastAsia="en-US" w:bidi="en-US"/>
        </w:rPr>
        <w:t xml:space="preserve">Ph. </w:t>
      </w:r>
      <w:r>
        <w:t>D., generální ředitel</w:t>
      </w:r>
    </w:p>
    <w:p w:rsidR="00BB10B9" w:rsidRDefault="00C12E17">
      <w:pPr>
        <w:pStyle w:val="Zkladntext1"/>
        <w:shd w:val="clear" w:color="auto" w:fill="auto"/>
        <w:spacing w:line="240" w:lineRule="auto"/>
        <w:jc w:val="left"/>
        <w:sectPr w:rsidR="00BB10B9">
          <w:type w:val="continuous"/>
          <w:pgSz w:w="11900" w:h="16840"/>
          <w:pgMar w:top="1" w:right="2131" w:bottom="1172" w:left="922" w:header="0" w:footer="3" w:gutter="0"/>
          <w:cols w:num="2" w:space="1391"/>
          <w:noEndnote/>
          <w:docGrid w:linePitch="360"/>
        </w:sectPr>
      </w:pPr>
      <w:r>
        <w:t>Jméno a funkce oprávněného zástupce Účastníka</w:t>
      </w:r>
    </w:p>
    <w:p w:rsidR="00C12E17" w:rsidRDefault="00C12E17"/>
    <w:sectPr w:rsidR="00C12E17">
      <w:type w:val="continuous"/>
      <w:pgSz w:w="11900" w:h="16840"/>
      <w:pgMar w:top="1" w:right="2131" w:bottom="1172" w:left="922" w:header="0" w:footer="3" w:gutter="0"/>
      <w:cols w:num="2" w:space="139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F8" w:rsidRDefault="00367AF8">
      <w:r>
        <w:separator/>
      </w:r>
    </w:p>
  </w:endnote>
  <w:endnote w:type="continuationSeparator" w:id="0">
    <w:p w:rsidR="00367AF8" w:rsidRDefault="0036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0B9" w:rsidRDefault="00C12E1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561340</wp:posOffset>
              </wp:positionH>
              <wp:positionV relativeFrom="page">
                <wp:posOffset>10017125</wp:posOffset>
              </wp:positionV>
              <wp:extent cx="3950335" cy="3136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033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10B9" w:rsidRDefault="00C12E1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46464"/>
                              <w:sz w:val="14"/>
                              <w:szCs w:val="14"/>
                            </w:rPr>
                            <w:t>Poskytovatel: Vodafone Czech Republic a.s., náměstí Junkových 2, 155 00 Praha 5</w:t>
                          </w:r>
                        </w:p>
                        <w:p w:rsidR="00BB10B9" w:rsidRDefault="00C12E1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46464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Vodafone </w:t>
                          </w:r>
                          <w:r>
                            <w:rPr>
                              <w:color w:val="646464"/>
                              <w:sz w:val="14"/>
                              <w:szCs w:val="14"/>
                            </w:rPr>
                            <w:t xml:space="preserve">firemní péče: 800 777 780, </w:t>
                          </w:r>
                          <w:r>
                            <w:rPr>
                              <w:color w:val="0000FF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VIP@vodafone.cz</w:t>
                          </w:r>
                          <w:r>
                            <w:rPr>
                              <w:color w:val="646464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, </w:t>
                          </w:r>
                          <w:r>
                            <w:rPr>
                              <w:color w:val="646464"/>
                              <w:sz w:val="14"/>
                              <w:szCs w:val="14"/>
                            </w:rPr>
                            <w:t xml:space="preserve">IČO: 25788001, DIČ: CZ25788001, </w:t>
                          </w:r>
                          <w:r>
                            <w:rPr>
                              <w:color w:val="646464"/>
                              <w:sz w:val="14"/>
                              <w:szCs w:val="14"/>
                              <w:lang w:val="en-US" w:eastAsia="en-US" w:bidi="en-US"/>
                            </w:rPr>
                            <w:t>vodafone.cz</w:t>
                          </w:r>
                        </w:p>
                        <w:p w:rsidR="00BB10B9" w:rsidRDefault="00C12E1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46464"/>
                              <w:sz w:val="14"/>
                              <w:szCs w:val="14"/>
                            </w:rPr>
                            <w:t>Společnost zapsaná v obchodním rejstříku vedeném Městským soudem v Praze, oddíl B, vložka 6064.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4.200000000000003pt;margin-top:788.75pt;width:311.05000000000001pt;height:24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Poskytovatel: Vodafone Czech Republic a.s., náměstí Junkových 2, 155 00 Praha 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Vodafone </w:t>
                    </w: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firemní péče: 800 777 780, </w:t>
                    </w:r>
                    <w:r>
                      <w:rPr>
                        <w:color w:val="0000FF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  <w:shd w:val="clear" w:color="auto" w:fill="auto"/>
                        <w:lang w:val="en-US" w:eastAsia="en-US" w:bidi="en-US"/>
                      </w:rPr>
                      <w:t>VIP@vodafone.cz</w:t>
                    </w: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, </w:t>
                    </w: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IČO: 25788001, DIČ: CZ25788001, </w:t>
                    </w: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vodafone.cz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64646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Společnost zapsaná v obchodním rejstříku vedeném Městským soudem v Praze, oddíl B, vložka 6064.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6706235</wp:posOffset>
              </wp:positionH>
              <wp:positionV relativeFrom="page">
                <wp:posOffset>10258425</wp:posOffset>
              </wp:positionV>
              <wp:extent cx="307975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10B9" w:rsidRDefault="00C12E17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4A4D4E"/>
                              <w:sz w:val="13"/>
                              <w:szCs w:val="13"/>
                            </w:rPr>
                            <w:t xml:space="preserve">Str.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17F" w:rsidRPr="00E7217F">
                            <w:rPr>
                              <w:b/>
                              <w:bCs/>
                              <w:noProof/>
                              <w:color w:val="4A4D4E"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4A4D4E"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4A4D4E"/>
                              <w:sz w:val="13"/>
                              <w:szCs w:val="13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528.05pt;margin-top:807.75pt;width:24.2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" filled="f" stroked="f">
              <v:textbox style="mso-fit-shape-to-text:t" inset="0,0,0,0">
                <w:txbxContent>
                  <w:p w:rsidR="00BB10B9" w:rsidRDefault="00C12E17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proofErr w:type="gramStart"/>
                    <w:r>
                      <w:rPr>
                        <w:b/>
                        <w:bCs/>
                        <w:color w:val="4A4D4E"/>
                        <w:sz w:val="13"/>
                        <w:szCs w:val="13"/>
                      </w:rPr>
                      <w:t xml:space="preserve">Str.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17F" w:rsidRPr="00E7217F">
                      <w:rPr>
                        <w:b/>
                        <w:bCs/>
                        <w:noProof/>
                        <w:color w:val="4A4D4E"/>
                        <w:sz w:val="13"/>
                        <w:szCs w:val="13"/>
                      </w:rPr>
                      <w:t>4</w:t>
                    </w:r>
                    <w:r>
                      <w:rPr>
                        <w:b/>
                        <w:bCs/>
                        <w:color w:val="4A4D4E"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b/>
                        <w:bCs/>
                        <w:color w:val="4A4D4E"/>
                        <w:sz w:val="13"/>
                        <w:szCs w:val="13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9890760</wp:posOffset>
              </wp:positionV>
              <wp:extent cx="646811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8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950000000000003pt;margin-top:778.79999999999995pt;width:50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F8" w:rsidRDefault="00367AF8"/>
  </w:footnote>
  <w:footnote w:type="continuationSeparator" w:id="0">
    <w:p w:rsidR="00367AF8" w:rsidRDefault="00367A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929"/>
    <w:multiLevelType w:val="multilevel"/>
    <w:tmpl w:val="D812B75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B9"/>
    <w:rsid w:val="00367AF8"/>
    <w:rsid w:val="0040139D"/>
    <w:rsid w:val="007F2BD6"/>
    <w:rsid w:val="00BB10B9"/>
    <w:rsid w:val="00C12E17"/>
    <w:rsid w:val="00E7217F"/>
    <w:rsid w:val="00E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4B9"/>
  <w15:docId w15:val="{C95DD5B1-2BF9-4FBC-B25A-AFA531D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000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left="190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outlineLvl w:val="2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outlineLvl w:val="1"/>
    </w:pPr>
    <w:rPr>
      <w:rFonts w:ascii="Segoe UI" w:eastAsia="Segoe UI" w:hAnsi="Segoe UI" w:cs="Segoe UI"/>
      <w:color w:val="FF0000"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30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3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ndara" w:eastAsia="Candara" w:hAnsi="Candara" w:cs="Candara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5" w:lineRule="auto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auto"/>
      <w:ind w:left="216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rejcirik@ngpragu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odafon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dafone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n.krejcirik@ngpragu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krejcirik@ngpragu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V2 Access to voice and Data</dc:title>
  <dc:subject/>
  <dc:creator>Horák, Tomáš, VF-CZ</dc:creator>
  <cp:keywords/>
  <cp:lastModifiedBy>Zdenka Šímová</cp:lastModifiedBy>
  <cp:revision>5</cp:revision>
  <dcterms:created xsi:type="dcterms:W3CDTF">2018-04-10T10:09:00Z</dcterms:created>
  <dcterms:modified xsi:type="dcterms:W3CDTF">2018-04-17T08:59:00Z</dcterms:modified>
</cp:coreProperties>
</file>