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FKSP-11/18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Olomouc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772 11  Olomouc 9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12.04.2018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107-5829811/0710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poukázky FOKUS PASS v níže uvedených nominálních hodnotách pro zaměstnance</w:t>
      </w:r>
    </w:p>
    <w:p>
      <w:pPr>
        <w:pStyle w:val="Row19"/>
      </w:pPr>
      <w:r>
        <w:tab/>
      </w:r>
      <w:r>
        <w:rPr>
          <w:highlight w:val="white"/>
          <w:rStyle w:val="Text1"/>
        </w:rPr>
        <w:t>Katastrálního pracoviště Olomouc: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	-  680 ks  á  100,-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1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Lenka Štěrbová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68 000.00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585 552 225</w: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lenka.sterbova@cuzk.cz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1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FKSP-11/18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2018-04-12T07:57:14Z</dcterms:created>
  <dcterms:modified xsi:type="dcterms:W3CDTF">2018-04-12T07:57:14Z</dcterms:modified>
  <cp:category/>
</cp:coreProperties>
</file>