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33" w:rsidRDefault="00B12D33" w:rsidP="00B12D33">
      <w:pPr>
        <w:rPr>
          <w:rFonts w:ascii="Times New Roman" w:hAnsi="Times New Roman" w:cs="Times New Roman"/>
          <w:b/>
        </w:rPr>
      </w:pPr>
      <w:r>
        <w:rPr>
          <w:rFonts w:ascii="Times New Roman" w:hAnsi="Times New Roman" w:cs="Times New Roman"/>
          <w:b/>
        </w:rPr>
        <w:t xml:space="preserve">Brněnské papírny, státní podnik </w:t>
      </w:r>
      <w:r w:rsidR="00AC37E2">
        <w:rPr>
          <w:rFonts w:ascii="Times New Roman" w:hAnsi="Times New Roman" w:cs="Times New Roman"/>
          <w:b/>
        </w:rPr>
        <w:t>- v likvidaci,</w:t>
      </w:r>
    </w:p>
    <w:p w:rsidR="00E0370B" w:rsidRDefault="00E0370B" w:rsidP="00E0370B">
      <w:pPr>
        <w:spacing w:after="0"/>
        <w:rPr>
          <w:rFonts w:ascii="Times New Roman" w:hAnsi="Times New Roman" w:cs="Times New Roman"/>
        </w:rPr>
      </w:pPr>
      <w:r>
        <w:rPr>
          <w:rFonts w:ascii="Times New Roman" w:hAnsi="Times New Roman" w:cs="Times New Roman"/>
        </w:rPr>
        <w:t>IČ: 00012343</w:t>
      </w:r>
    </w:p>
    <w:p w:rsidR="00B12D33" w:rsidRDefault="00B12D33" w:rsidP="00E0370B">
      <w:pPr>
        <w:spacing w:after="0"/>
        <w:rPr>
          <w:rFonts w:ascii="Times New Roman" w:hAnsi="Times New Roman" w:cs="Times New Roman"/>
        </w:rPr>
      </w:pPr>
      <w:r>
        <w:rPr>
          <w:rFonts w:ascii="Times New Roman" w:hAnsi="Times New Roman" w:cs="Times New Roman"/>
        </w:rPr>
        <w:t>se sídlem</w:t>
      </w:r>
      <w:r>
        <w:rPr>
          <w:rFonts w:ascii="Arial" w:eastAsia="Times New Roman" w:hAnsi="Arial" w:cs="Arial"/>
          <w:lang w:eastAsia="cs-CZ"/>
        </w:rPr>
        <w:t xml:space="preserve"> </w:t>
      </w:r>
      <w:r>
        <w:rPr>
          <w:rFonts w:ascii="Times New Roman" w:hAnsi="Times New Roman" w:cs="Times New Roman"/>
        </w:rPr>
        <w:t xml:space="preserve">U </w:t>
      </w:r>
      <w:r w:rsidR="00AC37E2">
        <w:rPr>
          <w:rFonts w:ascii="Times New Roman" w:hAnsi="Times New Roman" w:cs="Times New Roman"/>
        </w:rPr>
        <w:t>Mlýna 1755/5, Záběhlice, 141 00</w:t>
      </w:r>
      <w:r>
        <w:rPr>
          <w:rFonts w:ascii="Times New Roman" w:hAnsi="Times New Roman" w:cs="Times New Roman"/>
        </w:rPr>
        <w:t xml:space="preserve"> Praha 4,</w:t>
      </w:r>
    </w:p>
    <w:p w:rsidR="00E0370B" w:rsidRDefault="00B12D33" w:rsidP="00B12D33">
      <w:pPr>
        <w:rPr>
          <w:rFonts w:ascii="Times New Roman" w:hAnsi="Times New Roman" w:cs="Times New Roman"/>
        </w:rPr>
      </w:pPr>
      <w:r>
        <w:rPr>
          <w:rFonts w:ascii="Times New Roman" w:hAnsi="Times New Roman" w:cs="Times New Roman"/>
        </w:rPr>
        <w:t>zapsáno u obchodního rejstříku Městského soudu v Praze v oddílu A, vložka 76031,</w:t>
      </w:r>
    </w:p>
    <w:p w:rsidR="00B12D33" w:rsidRDefault="00B12D33" w:rsidP="00B12D33">
      <w:pPr>
        <w:rPr>
          <w:rFonts w:ascii="Times New Roman" w:hAnsi="Times New Roman" w:cs="Times New Roman"/>
        </w:rPr>
      </w:pPr>
      <w:r>
        <w:rPr>
          <w:rFonts w:ascii="Times New Roman" w:hAnsi="Times New Roman" w:cs="Times New Roman"/>
        </w:rPr>
        <w:t xml:space="preserve">jednající likvidátorem Mgr. Tomášem </w:t>
      </w:r>
      <w:proofErr w:type="spellStart"/>
      <w:r>
        <w:rPr>
          <w:rFonts w:ascii="Times New Roman" w:hAnsi="Times New Roman" w:cs="Times New Roman"/>
        </w:rPr>
        <w:t>Čumpelíkem</w:t>
      </w:r>
      <w:proofErr w:type="spellEnd"/>
      <w:r>
        <w:rPr>
          <w:rFonts w:ascii="Times New Roman" w:hAnsi="Times New Roman" w:cs="Times New Roman"/>
        </w:rPr>
        <w:t>.</w:t>
      </w:r>
    </w:p>
    <w:p w:rsidR="00B12D33" w:rsidRDefault="00B12D33" w:rsidP="00B12D33">
      <w:pPr>
        <w:rPr>
          <w:rFonts w:ascii="Times New Roman" w:hAnsi="Times New Roman" w:cs="Times New Roman"/>
          <w:b/>
        </w:rPr>
      </w:pPr>
      <w:r>
        <w:rPr>
          <w:rFonts w:ascii="Times New Roman" w:hAnsi="Times New Roman" w:cs="Times New Roman"/>
          <w:b/>
        </w:rPr>
        <w:t>(dále jako „prodávající“)</w:t>
      </w:r>
    </w:p>
    <w:p w:rsidR="00B12D33" w:rsidRDefault="00B12D33" w:rsidP="00B12D33">
      <w:pPr>
        <w:rPr>
          <w:rFonts w:ascii="Times New Roman" w:hAnsi="Times New Roman" w:cs="Times New Roman"/>
        </w:rPr>
      </w:pPr>
      <w:r>
        <w:rPr>
          <w:rFonts w:ascii="Times New Roman" w:hAnsi="Times New Roman" w:cs="Times New Roman"/>
        </w:rPr>
        <w:t>A</w:t>
      </w:r>
    </w:p>
    <w:p w:rsidR="00B12D33" w:rsidRDefault="00B12D33" w:rsidP="00B12D33">
      <w:pPr>
        <w:rPr>
          <w:rFonts w:ascii="Times New Roman" w:hAnsi="Times New Roman" w:cs="Times New Roman"/>
          <w:b/>
        </w:rPr>
      </w:pPr>
      <w:r>
        <w:rPr>
          <w:rFonts w:ascii="Times New Roman" w:hAnsi="Times New Roman" w:cs="Times New Roman"/>
          <w:b/>
        </w:rPr>
        <w:t>Ing. Vladimír Cetkovský</w:t>
      </w:r>
    </w:p>
    <w:p w:rsidR="00B12D33" w:rsidRDefault="00B12D33" w:rsidP="00E0370B">
      <w:pPr>
        <w:spacing w:after="0"/>
        <w:rPr>
          <w:rFonts w:ascii="Times New Roman" w:hAnsi="Times New Roman" w:cs="Times New Roman"/>
        </w:rPr>
      </w:pPr>
      <w:proofErr w:type="spellStart"/>
      <w:proofErr w:type="gramStart"/>
      <w:r>
        <w:rPr>
          <w:rFonts w:ascii="Times New Roman" w:hAnsi="Times New Roman" w:cs="Times New Roman"/>
        </w:rPr>
        <w:t>r.č</w:t>
      </w:r>
      <w:proofErr w:type="spellEnd"/>
      <w:r>
        <w:rPr>
          <w:rFonts w:ascii="Times New Roman" w:hAnsi="Times New Roman" w:cs="Times New Roman"/>
        </w:rPr>
        <w:t>.</w:t>
      </w:r>
      <w:proofErr w:type="gramEnd"/>
      <w:r w:rsidR="00E0370B">
        <w:rPr>
          <w:rFonts w:ascii="Times New Roman" w:hAnsi="Times New Roman" w:cs="Times New Roman"/>
        </w:rPr>
        <w:t>: 451001/ 458</w:t>
      </w:r>
    </w:p>
    <w:p w:rsidR="00B12D33" w:rsidRDefault="00E0370B" w:rsidP="00B12D33">
      <w:pPr>
        <w:rPr>
          <w:rFonts w:ascii="Times New Roman" w:hAnsi="Times New Roman" w:cs="Times New Roman"/>
        </w:rPr>
      </w:pPr>
      <w:r>
        <w:rPr>
          <w:rFonts w:ascii="Times New Roman" w:hAnsi="Times New Roman" w:cs="Times New Roman"/>
        </w:rPr>
        <w:t>b</w:t>
      </w:r>
      <w:r w:rsidR="00B12D33">
        <w:rPr>
          <w:rFonts w:ascii="Times New Roman" w:hAnsi="Times New Roman" w:cs="Times New Roman"/>
        </w:rPr>
        <w:t>ytem</w:t>
      </w:r>
      <w:r>
        <w:rPr>
          <w:rFonts w:ascii="Times New Roman" w:hAnsi="Times New Roman" w:cs="Times New Roman"/>
        </w:rPr>
        <w:t xml:space="preserve"> Komenského 1036, 666 02 Předklášteří</w:t>
      </w:r>
    </w:p>
    <w:p w:rsidR="00B12D33" w:rsidRDefault="00B12D33" w:rsidP="00B12D33">
      <w:pPr>
        <w:spacing w:line="240" w:lineRule="atLeast"/>
        <w:rPr>
          <w:rFonts w:ascii="Times New Roman" w:hAnsi="Times New Roman" w:cs="Times New Roman"/>
          <w:b/>
        </w:rPr>
      </w:pPr>
      <w:r>
        <w:rPr>
          <w:rFonts w:ascii="Times New Roman" w:hAnsi="Times New Roman" w:cs="Times New Roman"/>
          <w:b/>
        </w:rPr>
        <w:t xml:space="preserve"> (dále jen „kupující“) </w:t>
      </w:r>
    </w:p>
    <w:p w:rsidR="00B12D33" w:rsidRDefault="00B12D33" w:rsidP="00B12D33">
      <w:pPr>
        <w:pStyle w:val="Odstavec"/>
        <w:widowControl/>
        <w:ind w:firstLine="0"/>
        <w:rPr>
          <w:b/>
          <w:color w:val="auto"/>
          <w:sz w:val="22"/>
          <w:szCs w:val="22"/>
        </w:rPr>
      </w:pPr>
    </w:p>
    <w:p w:rsidR="00B12D33" w:rsidRDefault="00B12D33" w:rsidP="00B12D33">
      <w:pPr>
        <w:pStyle w:val="Odstavec"/>
        <w:widowControl/>
        <w:ind w:firstLine="0"/>
        <w:rPr>
          <w:b/>
          <w:color w:val="auto"/>
          <w:sz w:val="22"/>
          <w:szCs w:val="22"/>
        </w:rPr>
      </w:pPr>
      <w:r>
        <w:rPr>
          <w:b/>
          <w:color w:val="auto"/>
          <w:sz w:val="22"/>
          <w:szCs w:val="22"/>
        </w:rPr>
        <w:t>dále společně také jen „smluvní strany“</w:t>
      </w:r>
    </w:p>
    <w:p w:rsidR="00B12D33" w:rsidRDefault="00B12D33" w:rsidP="00B12D33">
      <w:pPr>
        <w:pStyle w:val="Odstavec"/>
        <w:widowControl/>
        <w:ind w:firstLine="0"/>
        <w:rPr>
          <w:b/>
          <w:color w:val="auto"/>
          <w:sz w:val="22"/>
          <w:szCs w:val="22"/>
        </w:rPr>
      </w:pPr>
    </w:p>
    <w:p w:rsidR="00B12D33" w:rsidRDefault="00B12D33" w:rsidP="00B12D33">
      <w:pPr>
        <w:jc w:val="both"/>
        <w:rPr>
          <w:rFonts w:ascii="Times New Roman" w:hAnsi="Times New Roman" w:cs="Times New Roman"/>
          <w:b/>
        </w:rPr>
      </w:pPr>
      <w:r>
        <w:rPr>
          <w:rFonts w:ascii="Times New Roman" w:hAnsi="Times New Roman" w:cs="Times New Roman"/>
          <w:iCs/>
        </w:rPr>
        <w:t>uzavírají podle § 2128 a násl. zákona č. 89/2012 Sb., občanský zákoník a podle § 16 zákona č. 77/ 1997 Sb., o státním podniku dnešního</w:t>
      </w:r>
      <w:r>
        <w:rPr>
          <w:rFonts w:ascii="Times New Roman" w:hAnsi="Times New Roman" w:cs="Times New Roman"/>
        </w:rPr>
        <w:t xml:space="preserve"> dne </w:t>
      </w:r>
      <w:r>
        <w:rPr>
          <w:rFonts w:ascii="Times New Roman" w:hAnsi="Times New Roman" w:cs="Times New Roman"/>
          <w:iCs/>
        </w:rPr>
        <w:t>tuto</w:t>
      </w:r>
    </w:p>
    <w:p w:rsidR="00B12D33" w:rsidRDefault="00B12D33" w:rsidP="00B12D33">
      <w:pPr>
        <w:jc w:val="center"/>
        <w:rPr>
          <w:rFonts w:ascii="Times New Roman" w:hAnsi="Times New Roman" w:cs="Times New Roman"/>
          <w:b/>
          <w:sz w:val="24"/>
          <w:szCs w:val="24"/>
        </w:rPr>
      </w:pPr>
    </w:p>
    <w:p w:rsidR="00B12D33" w:rsidRDefault="00B12D33" w:rsidP="00B12D33">
      <w:pPr>
        <w:jc w:val="center"/>
        <w:rPr>
          <w:rFonts w:ascii="Times New Roman" w:hAnsi="Times New Roman" w:cs="Times New Roman"/>
          <w:b/>
          <w:sz w:val="24"/>
          <w:szCs w:val="24"/>
        </w:rPr>
      </w:pPr>
      <w:r>
        <w:rPr>
          <w:rFonts w:ascii="Times New Roman" w:hAnsi="Times New Roman" w:cs="Times New Roman"/>
          <w:b/>
          <w:sz w:val="24"/>
          <w:szCs w:val="24"/>
        </w:rPr>
        <w:t xml:space="preserve">KUPNÍ SMLOUVU </w:t>
      </w:r>
    </w:p>
    <w:p w:rsidR="00B12D33" w:rsidRDefault="00B12D33" w:rsidP="00B12D33">
      <w:pPr>
        <w:jc w:val="center"/>
        <w:rPr>
          <w:rFonts w:ascii="Times New Roman" w:hAnsi="Times New Roman" w:cs="Times New Roman"/>
        </w:rPr>
      </w:pPr>
      <w:r>
        <w:rPr>
          <w:rFonts w:ascii="Times New Roman" w:hAnsi="Times New Roman" w:cs="Times New Roman"/>
        </w:rPr>
        <w:t>I.</w:t>
      </w:r>
    </w:p>
    <w:p w:rsidR="00B12D33" w:rsidRDefault="00B12D33" w:rsidP="00B12D33">
      <w:pPr>
        <w:pStyle w:val="Odstavecseseznamem"/>
        <w:numPr>
          <w:ilvl w:val="0"/>
          <w:numId w:val="1"/>
        </w:numPr>
        <w:spacing w:line="240" w:lineRule="auto"/>
        <w:ind w:left="284" w:hanging="284"/>
        <w:jc w:val="both"/>
        <w:rPr>
          <w:rFonts w:ascii="Times New Roman" w:hAnsi="Times New Roman" w:cs="Times New Roman"/>
        </w:rPr>
      </w:pPr>
      <w:r>
        <w:rPr>
          <w:rFonts w:ascii="Times New Roman" w:hAnsi="Times New Roman" w:cs="Times New Roman"/>
          <w:sz w:val="24"/>
          <w:szCs w:val="24"/>
        </w:rPr>
        <w:t xml:space="preserve">Prodávající je státním podnikem v likvidaci, který na základě § 16 odst. 2 zákona č. 77/1997 Sb., o státním podniku hospodaří s majetkem České republiky a vykonává při hospodaření s majetkem státu práva vlastníka podle zvláštních právních předpisů, a vlastním jménem jedná v právních vztazích týkajících se majetku státu. </w:t>
      </w:r>
      <w:r>
        <w:rPr>
          <w:rFonts w:ascii="Times New Roman" w:hAnsi="Times New Roman" w:cs="Times New Roman"/>
        </w:rPr>
        <w:t xml:space="preserve"> Zakladatelem prodávajícího je Česká republika, Ministerstvo průmyslu a obchodu.</w:t>
      </w:r>
    </w:p>
    <w:p w:rsidR="00B12D33" w:rsidRDefault="00B12D33" w:rsidP="00B12D33">
      <w:pPr>
        <w:pStyle w:val="Odstavecseseznamem"/>
        <w:spacing w:line="240" w:lineRule="auto"/>
        <w:ind w:left="284"/>
        <w:jc w:val="both"/>
        <w:rPr>
          <w:rFonts w:ascii="Times New Roman" w:hAnsi="Times New Roman" w:cs="Times New Roman"/>
        </w:rPr>
      </w:pPr>
    </w:p>
    <w:p w:rsidR="00B12D33" w:rsidRDefault="00B12D33" w:rsidP="00B12D33">
      <w:pPr>
        <w:pStyle w:val="Odstavecseseznamem"/>
        <w:numPr>
          <w:ilvl w:val="0"/>
          <w:numId w:val="1"/>
        </w:numPr>
        <w:spacing w:line="240" w:lineRule="auto"/>
        <w:ind w:left="284" w:hanging="284"/>
        <w:jc w:val="both"/>
        <w:rPr>
          <w:rFonts w:ascii="Times New Roman" w:hAnsi="Times New Roman" w:cs="Times New Roman"/>
        </w:rPr>
      </w:pPr>
      <w:r>
        <w:rPr>
          <w:rFonts w:ascii="Times New Roman" w:hAnsi="Times New Roman" w:cs="Times New Roman"/>
        </w:rPr>
        <w:t xml:space="preserve">Prodávající </w:t>
      </w:r>
      <w:proofErr w:type="gramStart"/>
      <w:r>
        <w:rPr>
          <w:rFonts w:ascii="Times New Roman" w:hAnsi="Times New Roman" w:cs="Times New Roman"/>
        </w:rPr>
        <w:t>má  právo</w:t>
      </w:r>
      <w:proofErr w:type="gramEnd"/>
      <w:r>
        <w:rPr>
          <w:rFonts w:ascii="Times New Roman" w:hAnsi="Times New Roman" w:cs="Times New Roman"/>
        </w:rPr>
        <w:t xml:space="preserve"> hospodaření s majetkem České republiky, a to  s nemovitými věcmi:</w:t>
      </w:r>
    </w:p>
    <w:p w:rsidR="00B12D33" w:rsidRDefault="00B12D33" w:rsidP="00B12D33">
      <w:pPr>
        <w:pStyle w:val="Odstavecseseznamem"/>
        <w:spacing w:line="240" w:lineRule="auto"/>
        <w:ind w:left="284"/>
        <w:jc w:val="both"/>
        <w:rPr>
          <w:rFonts w:ascii="Times New Roman" w:hAnsi="Times New Roman" w:cs="Times New Roman"/>
        </w:rPr>
      </w:pP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49/3,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49/7,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49/8,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49/9,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146,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147,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153,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492,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493,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494,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495,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lastRenderedPageBreak/>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496,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497,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xml:space="preserve">, </w:t>
      </w:r>
      <w:r w:rsidR="00E8296F">
        <w:rPr>
          <w:rFonts w:ascii="Times New Roman" w:hAnsi="Times New Roman" w:cs="Times New Roman"/>
        </w:rPr>
        <w:t>jiná stavba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543, zastavěná plocha a nádvoří, jehož souč</w:t>
      </w:r>
      <w:r w:rsidR="00E8296F">
        <w:rPr>
          <w:rFonts w:ascii="Times New Roman" w:hAnsi="Times New Roman" w:cs="Times New Roman"/>
        </w:rPr>
        <w:t xml:space="preserve">ástí je stavba bez </w:t>
      </w:r>
      <w:proofErr w:type="spellStart"/>
      <w:r w:rsidR="00E8296F">
        <w:rPr>
          <w:rFonts w:ascii="Times New Roman" w:hAnsi="Times New Roman" w:cs="Times New Roman"/>
        </w:rPr>
        <w:t>čp</w:t>
      </w:r>
      <w:proofErr w:type="spellEnd"/>
      <w:r w:rsidR="00E8296F">
        <w:rPr>
          <w:rFonts w:ascii="Times New Roman" w:hAnsi="Times New Roman" w:cs="Times New Roman"/>
        </w:rPr>
        <w:t>/</w:t>
      </w:r>
      <w:proofErr w:type="spellStart"/>
      <w:r w:rsidR="00E8296F">
        <w:rPr>
          <w:rFonts w:ascii="Times New Roman" w:hAnsi="Times New Roman" w:cs="Times New Roman"/>
        </w:rPr>
        <w:t>če</w:t>
      </w:r>
      <w:proofErr w:type="spellEnd"/>
      <w:r w:rsidR="00E8296F">
        <w:rPr>
          <w:rFonts w:ascii="Times New Roman" w:hAnsi="Times New Roman" w:cs="Times New Roman"/>
        </w:rPr>
        <w:t xml:space="preserve">, </w:t>
      </w:r>
      <w:proofErr w:type="spellStart"/>
      <w:r w:rsidR="00E8296F">
        <w:rPr>
          <w:rFonts w:ascii="Times New Roman" w:hAnsi="Times New Roman" w:cs="Times New Roman"/>
        </w:rPr>
        <w:t>tech.vyb</w:t>
      </w:r>
      <w:proofErr w:type="spellEnd"/>
      <w:r w:rsidR="00E8296F">
        <w:rPr>
          <w:rFonts w:ascii="Times New Roman" w:hAnsi="Times New Roman" w:cs="Times New Roman"/>
        </w:rPr>
        <w:t>.</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544, zastavěná plocha a nádvoří, jehož souč</w:t>
      </w:r>
      <w:r w:rsidR="00E8296F">
        <w:rPr>
          <w:rFonts w:ascii="Times New Roman" w:hAnsi="Times New Roman" w:cs="Times New Roman"/>
        </w:rPr>
        <w:t xml:space="preserve">ástí je stavba bez </w:t>
      </w:r>
      <w:proofErr w:type="spellStart"/>
      <w:r w:rsidR="00E8296F">
        <w:rPr>
          <w:rFonts w:ascii="Times New Roman" w:hAnsi="Times New Roman" w:cs="Times New Roman"/>
        </w:rPr>
        <w:t>čp</w:t>
      </w:r>
      <w:proofErr w:type="spellEnd"/>
      <w:r w:rsidR="00E8296F">
        <w:rPr>
          <w:rFonts w:ascii="Times New Roman" w:hAnsi="Times New Roman" w:cs="Times New Roman"/>
        </w:rPr>
        <w:t>/</w:t>
      </w:r>
      <w:proofErr w:type="spellStart"/>
      <w:r w:rsidR="00E8296F">
        <w:rPr>
          <w:rFonts w:ascii="Times New Roman" w:hAnsi="Times New Roman" w:cs="Times New Roman"/>
        </w:rPr>
        <w:t>če</w:t>
      </w:r>
      <w:proofErr w:type="spellEnd"/>
      <w:r w:rsidR="00E8296F">
        <w:rPr>
          <w:rFonts w:ascii="Times New Roman" w:hAnsi="Times New Roman" w:cs="Times New Roman"/>
        </w:rPr>
        <w:t xml:space="preserve">, </w:t>
      </w:r>
      <w:proofErr w:type="spellStart"/>
      <w:r w:rsidR="00E8296F">
        <w:rPr>
          <w:rFonts w:ascii="Times New Roman" w:hAnsi="Times New Roman" w:cs="Times New Roman"/>
        </w:rPr>
        <w:t>tech.vyb</w:t>
      </w:r>
      <w:proofErr w:type="spellEnd"/>
      <w:r w:rsidR="00E8296F">
        <w:rPr>
          <w:rFonts w:ascii="Times New Roman" w:hAnsi="Times New Roman" w:cs="Times New Roman"/>
        </w:rPr>
        <w:t>.</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st. 552, zastavěná plocha a nádvoří, jehož součástí je stavba bez </w:t>
      </w:r>
      <w:proofErr w:type="spellStart"/>
      <w:r>
        <w:rPr>
          <w:rFonts w:ascii="Times New Roman" w:hAnsi="Times New Roman" w:cs="Times New Roman"/>
        </w:rPr>
        <w:t>čp</w:t>
      </w:r>
      <w:proofErr w:type="spellEnd"/>
      <w:r>
        <w:rPr>
          <w:rFonts w:ascii="Times New Roman" w:hAnsi="Times New Roman" w:cs="Times New Roman"/>
        </w:rPr>
        <w:t>/</w:t>
      </w:r>
      <w:proofErr w:type="spellStart"/>
      <w:r>
        <w:rPr>
          <w:rFonts w:ascii="Times New Roman" w:hAnsi="Times New Roman" w:cs="Times New Roman"/>
        </w:rPr>
        <w:t>če</w:t>
      </w:r>
      <w:proofErr w:type="spellEnd"/>
      <w:r>
        <w:rPr>
          <w:rFonts w:ascii="Times New Roman" w:hAnsi="Times New Roman" w:cs="Times New Roman"/>
        </w:rPr>
        <w:t>, výroba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103/2, ostatní plocha, jiná plocha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103/3, ostatní plocha, jiná plocha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103/4, ostatní plocha, jiná plocha</w:t>
      </w:r>
    </w:p>
    <w:p w:rsidR="00B12D33" w:rsidRDefault="00B12D33" w:rsidP="00B12D33">
      <w:pPr>
        <w:rPr>
          <w:rFonts w:ascii="Times New Roman" w:hAnsi="Times New Roman" w:cs="Times New Roman"/>
        </w:rPr>
      </w:pPr>
      <w:r>
        <w:rPr>
          <w:rFonts w:ascii="Times New Roman" w:hAnsi="Times New Roman" w:cs="Times New Roman"/>
        </w:rPr>
        <w:t xml:space="preserve">Pozemek parc. </w:t>
      </w:r>
      <w:proofErr w:type="gramStart"/>
      <w:r>
        <w:rPr>
          <w:rFonts w:ascii="Times New Roman" w:hAnsi="Times New Roman" w:cs="Times New Roman"/>
        </w:rPr>
        <w:t>č.</w:t>
      </w:r>
      <w:proofErr w:type="gramEnd"/>
      <w:r>
        <w:rPr>
          <w:rFonts w:ascii="Times New Roman" w:hAnsi="Times New Roman" w:cs="Times New Roman"/>
        </w:rPr>
        <w:t xml:space="preserve"> 103/5, ostatní plocha, jiná plocha</w:t>
      </w:r>
    </w:p>
    <w:p w:rsidR="00B12D33" w:rsidRDefault="00B12D33" w:rsidP="00B12D33">
      <w:pPr>
        <w:rPr>
          <w:rFonts w:ascii="Times New Roman" w:hAnsi="Times New Roman" w:cs="Times New Roman"/>
        </w:rPr>
      </w:pPr>
    </w:p>
    <w:p w:rsidR="00B12D33" w:rsidRDefault="00B12D33" w:rsidP="00A60F3B">
      <w:pPr>
        <w:jc w:val="both"/>
        <w:rPr>
          <w:rFonts w:ascii="Times New Roman" w:hAnsi="Times New Roman" w:cs="Times New Roman"/>
        </w:rPr>
      </w:pPr>
      <w:r>
        <w:rPr>
          <w:rFonts w:ascii="Times New Roman" w:hAnsi="Times New Roman" w:cs="Times New Roman"/>
        </w:rPr>
        <w:t xml:space="preserve">vše zapsáno na LV 92 pro k. ú. Předklášteří, obec Předklášteří, u Katastrálního úřadu pro Jihomoravský kraj, Katastrální pracoviště </w:t>
      </w:r>
      <w:proofErr w:type="gramStart"/>
      <w:r>
        <w:rPr>
          <w:rFonts w:ascii="Times New Roman" w:hAnsi="Times New Roman" w:cs="Times New Roman"/>
        </w:rPr>
        <w:t>Brno-venkov ( dále</w:t>
      </w:r>
      <w:proofErr w:type="gramEnd"/>
      <w:r>
        <w:rPr>
          <w:rFonts w:ascii="Times New Roman" w:hAnsi="Times New Roman" w:cs="Times New Roman"/>
        </w:rPr>
        <w:t xml:space="preserve"> jen „nemovité věci“).</w:t>
      </w:r>
    </w:p>
    <w:p w:rsidR="00B12D33" w:rsidRDefault="00B12D33" w:rsidP="00B12D33">
      <w:pPr>
        <w:spacing w:before="120" w:line="240" w:lineRule="auto"/>
        <w:jc w:val="center"/>
        <w:rPr>
          <w:rFonts w:ascii="Times New Roman" w:hAnsi="Times New Roman" w:cs="Times New Roman"/>
        </w:rPr>
      </w:pPr>
    </w:p>
    <w:p w:rsidR="00B12D33" w:rsidRDefault="00B12D33" w:rsidP="00B12D33">
      <w:pPr>
        <w:spacing w:before="120" w:line="240" w:lineRule="auto"/>
        <w:jc w:val="center"/>
        <w:rPr>
          <w:rFonts w:ascii="Times New Roman" w:hAnsi="Times New Roman" w:cs="Times New Roman"/>
        </w:rPr>
      </w:pPr>
      <w:r>
        <w:rPr>
          <w:rFonts w:ascii="Times New Roman" w:hAnsi="Times New Roman" w:cs="Times New Roman"/>
        </w:rPr>
        <w:t>II.</w:t>
      </w:r>
    </w:p>
    <w:p w:rsidR="00B12D33" w:rsidRDefault="00B12D33" w:rsidP="00B12D33">
      <w:pPr>
        <w:pStyle w:val="Odstavecseseznamem"/>
        <w:numPr>
          <w:ilvl w:val="0"/>
          <w:numId w:val="2"/>
        </w:numPr>
        <w:spacing w:after="240" w:line="240" w:lineRule="auto"/>
        <w:ind w:left="284" w:hanging="284"/>
        <w:jc w:val="both"/>
        <w:rPr>
          <w:rFonts w:ascii="Times New Roman" w:hAnsi="Times New Roman" w:cs="Times New Roman"/>
        </w:rPr>
      </w:pPr>
      <w:r>
        <w:rPr>
          <w:rFonts w:ascii="Times New Roman" w:hAnsi="Times New Roman" w:cs="Times New Roman"/>
        </w:rPr>
        <w:t>Prodávající touto smlouvou prodává nemovité věci za sjednanou kupní cenu ve výši 6.100.000,- Kč (slovy: šest milionů stotisíc korun českých) kupujícímu a kupující nemovitou věc za sjednanou kupní cenu kupuje.</w:t>
      </w:r>
    </w:p>
    <w:p w:rsidR="00B12D33" w:rsidRDefault="00B12D33" w:rsidP="00B12D33">
      <w:pPr>
        <w:pStyle w:val="Odstavecseseznamem"/>
        <w:spacing w:after="240" w:line="240" w:lineRule="auto"/>
        <w:ind w:left="284"/>
        <w:jc w:val="both"/>
        <w:rPr>
          <w:rFonts w:ascii="Times New Roman" w:hAnsi="Times New Roman" w:cs="Times New Roman"/>
        </w:rPr>
      </w:pPr>
    </w:p>
    <w:p w:rsidR="00B12D33" w:rsidRDefault="00B12D33" w:rsidP="00B12D33">
      <w:pPr>
        <w:pStyle w:val="Odstavecseseznamem"/>
        <w:numPr>
          <w:ilvl w:val="0"/>
          <w:numId w:val="2"/>
        </w:numPr>
        <w:spacing w:after="240" w:line="240" w:lineRule="auto"/>
        <w:ind w:left="284" w:hanging="284"/>
        <w:jc w:val="both"/>
        <w:rPr>
          <w:rFonts w:ascii="Times New Roman" w:hAnsi="Times New Roman" w:cs="Times New Roman"/>
        </w:rPr>
      </w:pPr>
      <w:r>
        <w:rPr>
          <w:rFonts w:ascii="Times New Roman" w:hAnsi="Times New Roman" w:cs="Times New Roman"/>
        </w:rPr>
        <w:t xml:space="preserve">K prodeji nemovité věci byl v souladu s § 16 odst. 3 zákona č. 77/1997 Sb. vysloven souhlas zakladatele státního podniku, Ministerstva průmyslu a obchodu pod </w:t>
      </w:r>
      <w:proofErr w:type="gramStart"/>
      <w:r>
        <w:rPr>
          <w:rFonts w:ascii="Times New Roman" w:hAnsi="Times New Roman" w:cs="Times New Roman"/>
        </w:rPr>
        <w:t>č.j.</w:t>
      </w:r>
      <w:proofErr w:type="gramEnd"/>
      <w:r>
        <w:rPr>
          <w:rFonts w:ascii="Times New Roman" w:hAnsi="Times New Roman" w:cs="Times New Roman"/>
        </w:rPr>
        <w:t xml:space="preserve"> </w:t>
      </w:r>
      <w:r w:rsidR="000A70D1">
        <w:rPr>
          <w:rFonts w:ascii="Times New Roman" w:hAnsi="Times New Roman" w:cs="Times New Roman"/>
        </w:rPr>
        <w:t>MPO 43354/16/10</w:t>
      </w:r>
      <w:r w:rsidR="00264A8F">
        <w:rPr>
          <w:rFonts w:ascii="Times New Roman" w:hAnsi="Times New Roman" w:cs="Times New Roman"/>
        </w:rPr>
        <w:t>3</w:t>
      </w:r>
      <w:r w:rsidR="000A70D1">
        <w:rPr>
          <w:rFonts w:ascii="Times New Roman" w:hAnsi="Times New Roman" w:cs="Times New Roman"/>
        </w:rPr>
        <w:t xml:space="preserve">00/01000 </w:t>
      </w:r>
      <w:r>
        <w:rPr>
          <w:rFonts w:ascii="Times New Roman" w:hAnsi="Times New Roman" w:cs="Times New Roman"/>
        </w:rPr>
        <w:t>ze dne</w:t>
      </w:r>
      <w:r w:rsidR="000A70D1">
        <w:rPr>
          <w:rFonts w:ascii="Times New Roman" w:hAnsi="Times New Roman" w:cs="Times New Roman"/>
        </w:rPr>
        <w:t xml:space="preserve"> 18. srpna 2016</w:t>
      </w:r>
      <w:r>
        <w:rPr>
          <w:rFonts w:ascii="Times New Roman" w:hAnsi="Times New Roman" w:cs="Times New Roman"/>
        </w:rPr>
        <w:t>. Tento souhlas tvoří přílohu č. 1 smlouvy.</w:t>
      </w:r>
    </w:p>
    <w:p w:rsidR="00B12D33" w:rsidRDefault="00B12D33" w:rsidP="00B12D33">
      <w:pPr>
        <w:pStyle w:val="Odstavecseseznamem"/>
        <w:spacing w:after="240" w:line="240" w:lineRule="auto"/>
        <w:ind w:left="284"/>
        <w:jc w:val="both"/>
        <w:rPr>
          <w:rFonts w:ascii="Times New Roman" w:hAnsi="Times New Roman" w:cs="Times New Roman"/>
        </w:rPr>
      </w:pPr>
    </w:p>
    <w:p w:rsidR="00B12D33" w:rsidRDefault="00B12D33" w:rsidP="00B12D33">
      <w:pPr>
        <w:pStyle w:val="Odstavecseseznamem"/>
        <w:numPr>
          <w:ilvl w:val="0"/>
          <w:numId w:val="2"/>
        </w:numPr>
        <w:spacing w:after="240" w:line="240" w:lineRule="auto"/>
        <w:ind w:left="284" w:hanging="284"/>
        <w:jc w:val="both"/>
        <w:rPr>
          <w:rFonts w:ascii="Times New Roman" w:hAnsi="Times New Roman" w:cs="Times New Roman"/>
          <w:bCs/>
        </w:rPr>
      </w:pPr>
      <w:r>
        <w:rPr>
          <w:rFonts w:ascii="Times New Roman" w:hAnsi="Times New Roman" w:cs="Times New Roman"/>
        </w:rPr>
        <w:t xml:space="preserve">Kupní cena byla stanovena jako cena tržní, a to znaleckým posudkem č. 787/2016, znaleckým ústavem </w:t>
      </w:r>
      <w:r>
        <w:rPr>
          <w:rFonts w:ascii="Times New Roman" w:hAnsi="Times New Roman" w:cs="Times New Roman"/>
          <w:bCs/>
        </w:rPr>
        <w:t>CD RATING, s.r.o. - znalecky ústav</w:t>
      </w:r>
      <w:r>
        <w:rPr>
          <w:rFonts w:ascii="Times New Roman" w:hAnsi="Times New Roman" w:cs="Times New Roman"/>
        </w:rPr>
        <w:t xml:space="preserve">, </w:t>
      </w:r>
      <w:r>
        <w:rPr>
          <w:rFonts w:ascii="Times New Roman" w:hAnsi="Times New Roman" w:cs="Times New Roman"/>
          <w:bCs/>
        </w:rPr>
        <w:t>Horn</w:t>
      </w:r>
      <w:r w:rsidR="003F4176">
        <w:rPr>
          <w:rFonts w:ascii="Times New Roman" w:hAnsi="Times New Roman" w:cs="Times New Roman"/>
          <w:bCs/>
        </w:rPr>
        <w:t>í</w:t>
      </w:r>
      <w:r>
        <w:rPr>
          <w:rFonts w:ascii="Times New Roman" w:hAnsi="Times New Roman" w:cs="Times New Roman"/>
          <w:bCs/>
        </w:rPr>
        <w:t xml:space="preserve"> 105/14, 639 00 BRNO,</w:t>
      </w:r>
      <w:r>
        <w:rPr>
          <w:rFonts w:ascii="Times New Roman" w:hAnsi="Times New Roman" w:cs="Times New Roman"/>
        </w:rPr>
        <w:t xml:space="preserve"> ze dne 23. 5. 2016.</w:t>
      </w:r>
    </w:p>
    <w:p w:rsidR="00B12D33" w:rsidRDefault="00B12D33" w:rsidP="00B12D33">
      <w:pPr>
        <w:pStyle w:val="Odstavecseseznamem"/>
        <w:spacing w:after="240" w:line="240" w:lineRule="auto"/>
        <w:ind w:left="284"/>
        <w:jc w:val="both"/>
        <w:rPr>
          <w:rFonts w:ascii="Times New Roman" w:hAnsi="Times New Roman" w:cs="Times New Roman"/>
          <w:bCs/>
        </w:rPr>
      </w:pPr>
    </w:p>
    <w:p w:rsidR="00B12D33" w:rsidRDefault="00B12D33" w:rsidP="00B12D33">
      <w:pPr>
        <w:pStyle w:val="Odstavecseseznamem"/>
        <w:numPr>
          <w:ilvl w:val="0"/>
          <w:numId w:val="2"/>
        </w:numPr>
        <w:spacing w:after="240" w:line="240" w:lineRule="auto"/>
        <w:ind w:left="284" w:hanging="284"/>
        <w:jc w:val="both"/>
        <w:rPr>
          <w:rFonts w:ascii="Times New Roman" w:hAnsi="Times New Roman" w:cs="Times New Roman"/>
          <w:bCs/>
        </w:rPr>
      </w:pPr>
      <w:r>
        <w:rPr>
          <w:rFonts w:ascii="Times New Roman" w:hAnsi="Times New Roman" w:cs="Times New Roman"/>
        </w:rPr>
        <w:t>Celá kupní cena byla uhrazena před podpisem této kupní smlouvy na bankovní účet Prodávajícího.</w:t>
      </w:r>
    </w:p>
    <w:p w:rsidR="00B12D33" w:rsidRDefault="00B12D33" w:rsidP="00B12D33">
      <w:pPr>
        <w:pStyle w:val="Odstavecseseznamem"/>
        <w:spacing w:after="240" w:line="240" w:lineRule="auto"/>
        <w:ind w:left="284"/>
        <w:jc w:val="both"/>
        <w:rPr>
          <w:rFonts w:ascii="Times New Roman" w:hAnsi="Times New Roman" w:cs="Times New Roman"/>
          <w:bCs/>
        </w:rPr>
      </w:pPr>
    </w:p>
    <w:p w:rsidR="00B12D33" w:rsidRDefault="00B12D33" w:rsidP="00B12D33">
      <w:pPr>
        <w:spacing w:before="120" w:line="240" w:lineRule="auto"/>
        <w:jc w:val="center"/>
        <w:rPr>
          <w:rFonts w:ascii="Times New Roman" w:hAnsi="Times New Roman" w:cs="Times New Roman"/>
        </w:rPr>
      </w:pPr>
      <w:r>
        <w:rPr>
          <w:rFonts w:ascii="Times New Roman" w:hAnsi="Times New Roman" w:cs="Times New Roman"/>
        </w:rPr>
        <w:t>III.</w:t>
      </w:r>
    </w:p>
    <w:p w:rsidR="00B12D33" w:rsidRDefault="00B12D33" w:rsidP="00B12D33">
      <w:pPr>
        <w:pStyle w:val="Odstavecseseznamem"/>
        <w:numPr>
          <w:ilvl w:val="0"/>
          <w:numId w:val="3"/>
        </w:numPr>
        <w:spacing w:after="0" w:line="240" w:lineRule="auto"/>
        <w:jc w:val="both"/>
        <w:rPr>
          <w:rFonts w:ascii="Times New Roman" w:hAnsi="Times New Roman" w:cs="Times New Roman"/>
          <w:b/>
          <w:noProof/>
        </w:rPr>
      </w:pPr>
      <w:r>
        <w:rPr>
          <w:rFonts w:ascii="Times New Roman" w:hAnsi="Times New Roman" w:cs="Times New Roman"/>
        </w:rPr>
        <w:t xml:space="preserve">Prodávající prohlašuje, že v době uzavření této Smlouvy neváznou na nemovitých věcech žádné dluhy, věcná břemena, předkupní práva, nájemní práva, zástavní práva, služebnosti, práva stavby ani jiné právní vady, vyjma případných zákonných věcných břemen či věcných břemen liniových staveb, které se nezapisují do katastru nemovitostí. Kupujícímu je známa skutečnost,  že na výpisu z listu vlastnictví LV 92 jsou uvedeny zápisy omezení vlastnického práva pro pozemky </w:t>
      </w:r>
      <w:proofErr w:type="gramStart"/>
      <w:r>
        <w:rPr>
          <w:rFonts w:ascii="Times New Roman" w:hAnsi="Times New Roman" w:cs="Times New Roman"/>
        </w:rPr>
        <w:t>par.č.</w:t>
      </w:r>
      <w:proofErr w:type="gramEnd"/>
      <w:r>
        <w:rPr>
          <w:rFonts w:ascii="Times New Roman" w:hAnsi="Times New Roman" w:cs="Times New Roman"/>
        </w:rPr>
        <w:t xml:space="preserve"> 146, 147, 153, 495, 496 a 552 za základě soudních rozhodnutí. </w:t>
      </w:r>
      <w:r w:rsidR="000A70D1">
        <w:rPr>
          <w:rFonts w:ascii="Times New Roman" w:hAnsi="Times New Roman" w:cs="Times New Roman"/>
        </w:rPr>
        <w:t>V</w:t>
      </w:r>
      <w:r>
        <w:rPr>
          <w:rFonts w:ascii="Times New Roman" w:hAnsi="Times New Roman" w:cs="Times New Roman"/>
        </w:rPr>
        <w:t xml:space="preserve">ýpisu listu vlastnictví tvoří přílohu č. 2 </w:t>
      </w:r>
      <w:proofErr w:type="gramStart"/>
      <w:r>
        <w:rPr>
          <w:rFonts w:ascii="Times New Roman" w:hAnsi="Times New Roman" w:cs="Times New Roman"/>
        </w:rPr>
        <w:t>této</w:t>
      </w:r>
      <w:proofErr w:type="gramEnd"/>
      <w:r>
        <w:rPr>
          <w:rFonts w:ascii="Times New Roman" w:hAnsi="Times New Roman" w:cs="Times New Roman"/>
        </w:rPr>
        <w:t xml:space="preserve"> smlouvy.</w:t>
      </w:r>
    </w:p>
    <w:p w:rsidR="00B12D33" w:rsidRDefault="00B12D33" w:rsidP="00B12D33">
      <w:pPr>
        <w:spacing w:after="0" w:line="240" w:lineRule="auto"/>
        <w:jc w:val="both"/>
        <w:rPr>
          <w:rFonts w:ascii="Times New Roman" w:hAnsi="Times New Roman" w:cs="Times New Roman"/>
          <w:b/>
          <w:noProof/>
        </w:rPr>
      </w:pPr>
    </w:p>
    <w:p w:rsidR="00B12D33" w:rsidRDefault="00B12D33" w:rsidP="00B12D33">
      <w:pPr>
        <w:pStyle w:val="Odstavecseseznamem"/>
        <w:numPr>
          <w:ilvl w:val="0"/>
          <w:numId w:val="3"/>
        </w:numPr>
        <w:spacing w:after="240" w:line="240" w:lineRule="auto"/>
        <w:ind w:left="357" w:hanging="357"/>
        <w:jc w:val="both"/>
        <w:rPr>
          <w:rFonts w:ascii="Times New Roman" w:hAnsi="Times New Roman" w:cs="Times New Roman"/>
          <w:noProof/>
        </w:rPr>
      </w:pPr>
      <w:r>
        <w:rPr>
          <w:rFonts w:ascii="Times New Roman" w:hAnsi="Times New Roman" w:cs="Times New Roman"/>
        </w:rPr>
        <w:t>Kupující potvrzuje, že zná stav nemovitých věcí jak po právní tak po faktické stránce. Kupujícímu je znám znalecký posudek znaleckého ústavu CD RATING s.r.o. č. 787/2016 ze dne 23. 5. 2016 i aktuální výpis z katastru nemovitostí a prohlašuje, že si nevymínil žádnou zvláštní vlastnost nemovité věci a že nemovité věci ve stávajícím faktickém i právním stavu přebírá.</w:t>
      </w:r>
    </w:p>
    <w:p w:rsidR="00B12D33" w:rsidRDefault="00B12D33" w:rsidP="00B12D33">
      <w:pPr>
        <w:pStyle w:val="Zkladntextodsazen"/>
        <w:numPr>
          <w:ilvl w:val="0"/>
          <w:numId w:val="3"/>
        </w:numPr>
        <w:rPr>
          <w:rFonts w:ascii="Times New Roman" w:hAnsi="Times New Roman"/>
          <w:sz w:val="22"/>
          <w:szCs w:val="22"/>
        </w:rPr>
      </w:pPr>
      <w:r>
        <w:rPr>
          <w:rFonts w:ascii="Times New Roman" w:hAnsi="Times New Roman"/>
          <w:sz w:val="22"/>
          <w:szCs w:val="22"/>
        </w:rPr>
        <w:t>Návrh na povolení vkladu vlastnického práva dle této smlouv</w:t>
      </w:r>
      <w:r w:rsidR="00E0370B">
        <w:rPr>
          <w:rFonts w:ascii="Times New Roman" w:hAnsi="Times New Roman"/>
          <w:sz w:val="22"/>
          <w:szCs w:val="22"/>
        </w:rPr>
        <w:t xml:space="preserve">y do katastru nemovitostí podá </w:t>
      </w:r>
      <w:r>
        <w:rPr>
          <w:rFonts w:ascii="Times New Roman" w:hAnsi="Times New Roman"/>
          <w:sz w:val="22"/>
          <w:szCs w:val="22"/>
        </w:rPr>
        <w:t>prodávající nejpozději do 10 dnů od uzavření této smlouvy. Náklady spojené s návrhem na vklad vlastnického práva nese prodávající.</w:t>
      </w:r>
    </w:p>
    <w:p w:rsidR="00B12D33" w:rsidRDefault="00B12D33" w:rsidP="003F4176">
      <w:pPr>
        <w:pStyle w:val="Zkladntextodsazen"/>
        <w:spacing w:after="160"/>
        <w:ind w:left="0"/>
        <w:jc w:val="center"/>
        <w:rPr>
          <w:rFonts w:ascii="Times New Roman" w:hAnsi="Times New Roman"/>
          <w:iCs/>
          <w:sz w:val="22"/>
          <w:szCs w:val="22"/>
        </w:rPr>
      </w:pPr>
      <w:r>
        <w:rPr>
          <w:rFonts w:ascii="Times New Roman" w:hAnsi="Times New Roman"/>
          <w:iCs/>
          <w:sz w:val="22"/>
          <w:szCs w:val="22"/>
        </w:rPr>
        <w:lastRenderedPageBreak/>
        <w:t>IV.</w:t>
      </w:r>
    </w:p>
    <w:p w:rsidR="00B12D33" w:rsidRDefault="00B12D33" w:rsidP="00B12D33">
      <w:pPr>
        <w:pStyle w:val="Zkladntextodsazen"/>
        <w:ind w:left="0"/>
        <w:rPr>
          <w:rFonts w:ascii="Times New Roman" w:hAnsi="Times New Roman"/>
          <w:iCs/>
          <w:sz w:val="22"/>
          <w:szCs w:val="22"/>
        </w:rPr>
      </w:pPr>
      <w:r>
        <w:rPr>
          <w:rFonts w:ascii="Times New Roman" w:hAnsi="Times New Roman"/>
          <w:iCs/>
          <w:sz w:val="22"/>
          <w:szCs w:val="22"/>
        </w:rPr>
        <w:t>Předmět převodu bude předán kupujícímu ve lhůtě 10 dnů ode dne zápisu vlastnického práva ve prospěch kupujícího do katastru nemovitostí. O předání bude sepsán písemný protokol.</w:t>
      </w:r>
    </w:p>
    <w:p w:rsidR="00B12D33" w:rsidRDefault="00B12D33" w:rsidP="00B12D33">
      <w:pPr>
        <w:pStyle w:val="Zkladntextodsazen"/>
        <w:ind w:left="0"/>
        <w:rPr>
          <w:rFonts w:ascii="Times New Roman" w:hAnsi="Times New Roman"/>
          <w:iCs/>
          <w:sz w:val="22"/>
          <w:szCs w:val="22"/>
        </w:rPr>
      </w:pPr>
    </w:p>
    <w:p w:rsidR="00B12D33" w:rsidRDefault="00B12D33" w:rsidP="00B12D33">
      <w:pPr>
        <w:pStyle w:val="Zkladntextodsazen"/>
        <w:ind w:left="0"/>
        <w:rPr>
          <w:rFonts w:ascii="Times New Roman" w:hAnsi="Times New Roman"/>
          <w:sz w:val="22"/>
          <w:szCs w:val="22"/>
        </w:rPr>
      </w:pPr>
      <w:r>
        <w:rPr>
          <w:rFonts w:ascii="Times New Roman" w:hAnsi="Times New Roman"/>
          <w:iCs/>
          <w:sz w:val="22"/>
          <w:szCs w:val="22"/>
        </w:rPr>
        <w:t>K přechodu nebezpečí na nemovitých věcech dochází okamžikem převodu vlastnického práva na kupujícího.</w:t>
      </w:r>
    </w:p>
    <w:p w:rsidR="00B12D33" w:rsidRDefault="00B12D33" w:rsidP="00B12D33">
      <w:pPr>
        <w:tabs>
          <w:tab w:val="left" w:pos="709"/>
          <w:tab w:val="center" w:pos="4536"/>
          <w:tab w:val="left" w:pos="5222"/>
        </w:tabs>
        <w:jc w:val="center"/>
        <w:rPr>
          <w:rFonts w:ascii="Times New Roman" w:hAnsi="Times New Roman" w:cs="Times New Roman"/>
        </w:rPr>
      </w:pPr>
      <w:r>
        <w:rPr>
          <w:rFonts w:ascii="Times New Roman" w:hAnsi="Times New Roman" w:cs="Times New Roman"/>
        </w:rPr>
        <w:t>V.</w:t>
      </w:r>
    </w:p>
    <w:p w:rsidR="00B12D33" w:rsidRDefault="00B12D33" w:rsidP="00B12D33">
      <w:pPr>
        <w:numPr>
          <w:ilvl w:val="0"/>
          <w:numId w:val="4"/>
        </w:numPr>
        <w:tabs>
          <w:tab w:val="left" w:pos="709"/>
        </w:tabs>
        <w:spacing w:after="0" w:line="240" w:lineRule="auto"/>
        <w:jc w:val="both"/>
        <w:rPr>
          <w:rFonts w:ascii="Times New Roman" w:hAnsi="Times New Roman" w:cs="Times New Roman"/>
        </w:rPr>
      </w:pPr>
      <w:r>
        <w:rPr>
          <w:rFonts w:ascii="Times New Roman" w:hAnsi="Times New Roman" w:cs="Times New Roman"/>
        </w:rPr>
        <w:t>Tato smlouva nabývá platnosti dnem podpisu obou smluvních stran.</w:t>
      </w:r>
    </w:p>
    <w:p w:rsidR="00B12D33" w:rsidRDefault="00B12D33" w:rsidP="00B12D33">
      <w:pPr>
        <w:tabs>
          <w:tab w:val="num" w:pos="357"/>
          <w:tab w:val="left" w:pos="709"/>
        </w:tabs>
        <w:jc w:val="both"/>
        <w:rPr>
          <w:rFonts w:ascii="Times New Roman" w:hAnsi="Times New Roman" w:cs="Times New Roman"/>
        </w:rPr>
      </w:pPr>
    </w:p>
    <w:p w:rsidR="00B12D33" w:rsidRDefault="00B12D33" w:rsidP="00B12D33">
      <w:pPr>
        <w:numPr>
          <w:ilvl w:val="0"/>
          <w:numId w:val="4"/>
        </w:numPr>
        <w:tabs>
          <w:tab w:val="left" w:pos="709"/>
        </w:tabs>
        <w:spacing w:after="0" w:line="240" w:lineRule="auto"/>
        <w:jc w:val="both"/>
        <w:rPr>
          <w:rFonts w:ascii="Times New Roman" w:hAnsi="Times New Roman" w:cs="Times New Roman"/>
        </w:rPr>
      </w:pPr>
      <w:r>
        <w:rPr>
          <w:rFonts w:ascii="Times New Roman" w:hAnsi="Times New Roman" w:cs="Times New Roman"/>
        </w:rPr>
        <w:t>Vlastnické právo k převáděným nemovitým věcem nabývá kupující dnem zápisu do katastru nemovitostí. Tímto dnem na kupujícího přecházejí veškerá práva a povinnosti spojená s vlastnictvím a užíváním nemovitých věcí.</w:t>
      </w:r>
    </w:p>
    <w:p w:rsidR="00B12D33" w:rsidRDefault="00B12D33" w:rsidP="00B12D33">
      <w:pPr>
        <w:tabs>
          <w:tab w:val="left" w:pos="709"/>
        </w:tabs>
        <w:spacing w:after="0" w:line="240" w:lineRule="auto"/>
        <w:ind w:left="357"/>
        <w:jc w:val="both"/>
        <w:rPr>
          <w:rFonts w:ascii="Times New Roman" w:hAnsi="Times New Roman" w:cs="Times New Roman"/>
        </w:rPr>
      </w:pPr>
    </w:p>
    <w:p w:rsidR="00B12D33" w:rsidRDefault="00B12D33" w:rsidP="00B12D33">
      <w:pPr>
        <w:numPr>
          <w:ilvl w:val="0"/>
          <w:numId w:val="4"/>
        </w:numPr>
        <w:tabs>
          <w:tab w:val="left" w:pos="1200"/>
          <w:tab w:val="left" w:pos="1866"/>
        </w:tab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Pokud by příslušným Katastrálním úřadem byl návrh na zápis vkladu vlastnického práva k nemovité věci dle této smlouvy pro kupujícího pravomocně zamítnut, účastníci této smlouvy se zavazují k součinnosti směřující k naplnění vůle obou smluvních stran.</w:t>
      </w:r>
    </w:p>
    <w:p w:rsidR="00B12D33" w:rsidRDefault="00B12D33" w:rsidP="00B12D33">
      <w:pPr>
        <w:tabs>
          <w:tab w:val="left" w:pos="1200"/>
          <w:tab w:val="left" w:pos="1866"/>
        </w:tabs>
        <w:overflowPunct w:val="0"/>
        <w:autoSpaceDE w:val="0"/>
        <w:autoSpaceDN w:val="0"/>
        <w:adjustRightInd w:val="0"/>
        <w:spacing w:after="0" w:line="240" w:lineRule="auto"/>
        <w:jc w:val="both"/>
        <w:textAlignment w:val="baseline"/>
        <w:rPr>
          <w:rFonts w:ascii="Times New Roman" w:hAnsi="Times New Roman" w:cs="Times New Roman"/>
        </w:rPr>
      </w:pPr>
    </w:p>
    <w:p w:rsidR="00B12D33" w:rsidRDefault="00B12D33" w:rsidP="00B12D33">
      <w:pPr>
        <w:pStyle w:val="Odstavecseseznamem"/>
        <w:numPr>
          <w:ilvl w:val="0"/>
          <w:numId w:val="4"/>
        </w:numPr>
        <w:autoSpaceDE w:val="0"/>
        <w:spacing w:after="0" w:line="240" w:lineRule="auto"/>
        <w:jc w:val="both"/>
        <w:rPr>
          <w:rFonts w:ascii="Times New Roman" w:hAnsi="Times New Roman" w:cs="Times New Roman"/>
          <w:iCs/>
        </w:rPr>
      </w:pPr>
      <w:r>
        <w:rPr>
          <w:rFonts w:ascii="Times New Roman" w:hAnsi="Times New Roman" w:cs="Times New Roman"/>
        </w:rPr>
        <w:t>Tato Smlouva obsahuje úplné ujednání o předmětu Smlouvy a všech náležitostech, které strany měly a chtěly ve Smlouvě ujednat, a které považují za důležité pro závaznost této Smlouvy.</w:t>
      </w:r>
    </w:p>
    <w:p w:rsidR="00B12D33" w:rsidRDefault="00B12D33" w:rsidP="00B12D33">
      <w:pPr>
        <w:pStyle w:val="Odstavecseseznamem"/>
        <w:autoSpaceDE w:val="0"/>
        <w:spacing w:after="0" w:line="240" w:lineRule="auto"/>
        <w:ind w:left="357"/>
        <w:jc w:val="both"/>
        <w:rPr>
          <w:rFonts w:ascii="Times New Roman" w:hAnsi="Times New Roman" w:cs="Times New Roman"/>
          <w:iCs/>
        </w:rPr>
      </w:pPr>
    </w:p>
    <w:p w:rsidR="00B12D33" w:rsidRDefault="00B12D33" w:rsidP="00B12D33">
      <w:pPr>
        <w:pStyle w:val="Odstavecseseznamem"/>
        <w:numPr>
          <w:ilvl w:val="0"/>
          <w:numId w:val="4"/>
        </w:numPr>
        <w:autoSpaceDE w:val="0"/>
        <w:spacing w:after="0" w:line="240" w:lineRule="auto"/>
        <w:jc w:val="both"/>
        <w:rPr>
          <w:rFonts w:ascii="Times New Roman" w:hAnsi="Times New Roman" w:cs="Times New Roman"/>
          <w:iCs/>
        </w:rPr>
      </w:pPr>
      <w:r>
        <w:rPr>
          <w:rFonts w:ascii="Times New Roman" w:hAnsi="Times New Roman" w:cs="Times New Roman"/>
          <w:color w:val="000000"/>
        </w:rPr>
        <w:t xml:space="preserve">Změny nebo doplnění této Smlouvy lze provádět pouze formou písemných dodatků. </w:t>
      </w:r>
      <w:r>
        <w:rPr>
          <w:rFonts w:ascii="Times New Roman" w:hAnsi="Times New Roman" w:cs="Times New Roman"/>
        </w:rPr>
        <w:t>Za písemnou formu nebude pro tento účel považována výměna e-mailových či jiných elektronických zpráv.</w:t>
      </w:r>
    </w:p>
    <w:p w:rsidR="00B12D33" w:rsidRDefault="00B12D33" w:rsidP="00B12D33">
      <w:pPr>
        <w:pStyle w:val="Odstavecseseznamem"/>
        <w:autoSpaceDE w:val="0"/>
        <w:spacing w:after="0" w:line="240" w:lineRule="auto"/>
        <w:ind w:left="357"/>
        <w:jc w:val="both"/>
        <w:rPr>
          <w:rFonts w:ascii="Times New Roman" w:hAnsi="Times New Roman" w:cs="Times New Roman"/>
          <w:iCs/>
        </w:rPr>
      </w:pPr>
    </w:p>
    <w:p w:rsidR="00B12D33" w:rsidRDefault="00B12D33" w:rsidP="00B12D33">
      <w:pPr>
        <w:pStyle w:val="Odstavecseseznamem"/>
        <w:numPr>
          <w:ilvl w:val="0"/>
          <w:numId w:val="4"/>
        </w:numPr>
        <w:autoSpaceDE w:val="0"/>
        <w:spacing w:after="0" w:line="240" w:lineRule="auto"/>
        <w:jc w:val="both"/>
        <w:rPr>
          <w:rFonts w:ascii="Times New Roman" w:hAnsi="Times New Roman" w:cs="Times New Roman"/>
          <w:noProof/>
        </w:rPr>
      </w:pPr>
      <w:r>
        <w:rPr>
          <w:rFonts w:ascii="Times New Roman" w:hAnsi="Times New Roman" w:cs="Times New Roman"/>
        </w:rPr>
        <w:t>Práva vzniklá z této Smlouvy nesmí být postoupena bez předchozího písemného souhlasu druhé strany. Za písemnou formu nebude pro tento účel považována výměna e-mailových, či jiných elektronických zpráv.</w:t>
      </w:r>
    </w:p>
    <w:p w:rsidR="00B12D33" w:rsidRDefault="00B12D33" w:rsidP="00B12D33">
      <w:pPr>
        <w:pStyle w:val="Odstavecseseznamem"/>
        <w:autoSpaceDE w:val="0"/>
        <w:spacing w:after="0" w:line="240" w:lineRule="auto"/>
        <w:ind w:left="357"/>
        <w:jc w:val="both"/>
        <w:rPr>
          <w:rFonts w:ascii="Times New Roman" w:hAnsi="Times New Roman" w:cs="Times New Roman"/>
          <w:noProof/>
        </w:rPr>
      </w:pPr>
    </w:p>
    <w:p w:rsidR="00B12D33" w:rsidRDefault="00B12D33" w:rsidP="00B12D33">
      <w:pPr>
        <w:pStyle w:val="Odstavecseseznamem"/>
        <w:numPr>
          <w:ilvl w:val="0"/>
          <w:numId w:val="4"/>
        </w:numPr>
        <w:autoSpaceDE w:val="0"/>
        <w:spacing w:after="0" w:line="240" w:lineRule="auto"/>
        <w:jc w:val="both"/>
        <w:rPr>
          <w:rFonts w:ascii="Times New Roman" w:hAnsi="Times New Roman" w:cs="Times New Roman"/>
          <w:noProof/>
        </w:rPr>
      </w:pPr>
      <w:r>
        <w:rPr>
          <w:rFonts w:ascii="Times New Roman" w:hAnsi="Times New Roman" w:cs="Times New Roman"/>
          <w:noProof/>
        </w:rPr>
        <w:t>Tato Smlouva se vyhotovuje  ve 4 vyhotoveních</w:t>
      </w:r>
      <w:r>
        <w:rPr>
          <w:rFonts w:ascii="Times New Roman" w:hAnsi="Times New Roman" w:cs="Times New Roman"/>
        </w:rPr>
        <w:t>. Jedno vyhotovení je určeno pro katastrální úřad, dvě vyhotovení obdrží strana prodávající, jedno vyhotovení obdrží kupující.</w:t>
      </w:r>
    </w:p>
    <w:p w:rsidR="00B12D33" w:rsidRDefault="00B12D33" w:rsidP="00B12D33">
      <w:pPr>
        <w:pStyle w:val="para"/>
        <w:numPr>
          <w:ilvl w:val="0"/>
          <w:numId w:val="4"/>
        </w:numPr>
        <w:tabs>
          <w:tab w:val="clear" w:pos="709"/>
          <w:tab w:val="center" w:pos="4536"/>
          <w:tab w:val="left" w:pos="5222"/>
        </w:tabs>
        <w:spacing w:before="120"/>
        <w:jc w:val="both"/>
        <w:rPr>
          <w:b w:val="0"/>
          <w:bCs/>
          <w:sz w:val="22"/>
          <w:szCs w:val="22"/>
        </w:rPr>
      </w:pPr>
      <w:r>
        <w:rPr>
          <w:b w:val="0"/>
          <w:bCs/>
          <w:sz w:val="22"/>
          <w:szCs w:val="22"/>
        </w:rPr>
        <w:t>Smluvní strany prohlašují, že skutečnosti uvedené v této smlouvě nepovažují za obchodní tajemství ve smyslu § 504 občanského zákoníku a udělují svolení k jejich užití a zveřejnění bez stanovení jakýchkoli dalších podmínek.</w:t>
      </w:r>
    </w:p>
    <w:p w:rsidR="00B12D33" w:rsidRDefault="00B12D33" w:rsidP="00B12D33">
      <w:pPr>
        <w:pStyle w:val="para"/>
        <w:tabs>
          <w:tab w:val="clear" w:pos="709"/>
          <w:tab w:val="center" w:pos="4536"/>
          <w:tab w:val="left" w:pos="5222"/>
        </w:tabs>
        <w:spacing w:before="120"/>
        <w:ind w:left="357"/>
        <w:jc w:val="both"/>
        <w:rPr>
          <w:b w:val="0"/>
          <w:bCs/>
          <w:sz w:val="22"/>
          <w:szCs w:val="22"/>
        </w:rPr>
      </w:pPr>
    </w:p>
    <w:p w:rsidR="00B12D33" w:rsidRDefault="00B12D33" w:rsidP="00B12D33">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color w:val="000000"/>
        </w:rPr>
      </w:pPr>
      <w:r>
        <w:rPr>
          <w:rFonts w:ascii="Times New Roman" w:hAnsi="Times New Roman" w:cs="Times New Roman"/>
        </w:rPr>
        <w:t>Smluvní strany potvrzují, že si smlouvu před jejím podpisem přečetly, že smlouva byla uzavřena po vzájemném projednání, nepříčí se dobrým mravům a neodporuje zákonu. Na důkaz toho připojují svoje podpisy.</w:t>
      </w:r>
      <w:r>
        <w:rPr>
          <w:rFonts w:ascii="Times New Roman" w:hAnsi="Times New Roman" w:cs="Times New Roman"/>
          <w:color w:val="000000"/>
        </w:rPr>
        <w:t xml:space="preserve"> </w:t>
      </w:r>
    </w:p>
    <w:p w:rsidR="00B12D33" w:rsidRDefault="00B12D33" w:rsidP="00B12D33">
      <w:pPr>
        <w:autoSpaceDE w:val="0"/>
        <w:spacing w:after="0" w:line="240" w:lineRule="auto"/>
        <w:jc w:val="both"/>
        <w:rPr>
          <w:rFonts w:ascii="Times New Roman" w:hAnsi="Times New Roman" w:cs="Times New Roman"/>
          <w:noProof/>
        </w:rPr>
      </w:pPr>
    </w:p>
    <w:p w:rsidR="00B12D33" w:rsidRDefault="00B12D33" w:rsidP="00B12D33">
      <w:pPr>
        <w:autoSpaceDE w:val="0"/>
        <w:spacing w:after="0" w:line="240" w:lineRule="auto"/>
        <w:jc w:val="both"/>
        <w:rPr>
          <w:rFonts w:ascii="Times New Roman" w:hAnsi="Times New Roman" w:cs="Times New Roman"/>
          <w:noProof/>
        </w:rPr>
      </w:pPr>
    </w:p>
    <w:p w:rsidR="00B12D33" w:rsidRDefault="00B12D33" w:rsidP="00B12D33">
      <w:pPr>
        <w:autoSpaceDE w:val="0"/>
        <w:spacing w:after="0" w:line="240" w:lineRule="auto"/>
        <w:jc w:val="both"/>
        <w:rPr>
          <w:rFonts w:ascii="Times New Roman" w:hAnsi="Times New Roman" w:cs="Times New Roman"/>
          <w:noProof/>
        </w:rPr>
      </w:pPr>
      <w:r>
        <w:rPr>
          <w:rFonts w:ascii="Times New Roman" w:hAnsi="Times New Roman" w:cs="Times New Roman"/>
          <w:noProof/>
        </w:rPr>
        <w:t>V Praze dne……………………..</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V </w:t>
      </w:r>
      <w:r w:rsidR="00086EAC">
        <w:rPr>
          <w:rFonts w:ascii="Times New Roman" w:hAnsi="Times New Roman" w:cs="Times New Roman"/>
          <w:noProof/>
        </w:rPr>
        <w:t>………………</w:t>
      </w:r>
      <w:r>
        <w:rPr>
          <w:rFonts w:ascii="Times New Roman" w:hAnsi="Times New Roman" w:cs="Times New Roman"/>
          <w:noProof/>
        </w:rPr>
        <w:t>……………………..</w:t>
      </w:r>
    </w:p>
    <w:p w:rsidR="00B12D33" w:rsidRDefault="00B12D33" w:rsidP="00B12D33">
      <w:pPr>
        <w:autoSpaceDE w:val="0"/>
        <w:spacing w:after="0" w:line="240" w:lineRule="auto"/>
        <w:jc w:val="both"/>
        <w:rPr>
          <w:rFonts w:ascii="Times New Roman" w:hAnsi="Times New Roman" w:cs="Times New Roman"/>
          <w:noProof/>
        </w:rPr>
      </w:pPr>
    </w:p>
    <w:p w:rsidR="00B12D33" w:rsidRDefault="00B12D33" w:rsidP="00B12D33">
      <w:pPr>
        <w:autoSpaceDE w:val="0"/>
        <w:spacing w:after="0" w:line="240" w:lineRule="auto"/>
        <w:jc w:val="both"/>
        <w:rPr>
          <w:rFonts w:ascii="Times New Roman" w:hAnsi="Times New Roman" w:cs="Times New Roman"/>
          <w:noProof/>
        </w:rPr>
      </w:pPr>
    </w:p>
    <w:p w:rsidR="000A70D1" w:rsidRDefault="000A70D1" w:rsidP="00B12D33">
      <w:pPr>
        <w:autoSpaceDE w:val="0"/>
        <w:spacing w:after="0" w:line="240" w:lineRule="auto"/>
        <w:jc w:val="both"/>
        <w:rPr>
          <w:rFonts w:ascii="Times New Roman" w:hAnsi="Times New Roman" w:cs="Times New Roman"/>
          <w:noProof/>
        </w:rPr>
      </w:pPr>
    </w:p>
    <w:p w:rsidR="003F4176" w:rsidRDefault="003F4176" w:rsidP="00B12D33">
      <w:pPr>
        <w:autoSpaceDE w:val="0"/>
        <w:spacing w:after="0" w:line="240" w:lineRule="auto"/>
        <w:jc w:val="both"/>
        <w:rPr>
          <w:rFonts w:ascii="Times New Roman" w:hAnsi="Times New Roman" w:cs="Times New Roman"/>
          <w:noProof/>
        </w:rPr>
      </w:pPr>
    </w:p>
    <w:p w:rsidR="00B12D33" w:rsidRDefault="00B12D33" w:rsidP="00B12D33">
      <w:pPr>
        <w:autoSpaceDE w:val="0"/>
        <w:spacing w:after="0" w:line="240" w:lineRule="auto"/>
        <w:jc w:val="both"/>
        <w:rPr>
          <w:rFonts w:ascii="Times New Roman" w:hAnsi="Times New Roman" w:cs="Times New Roman"/>
          <w:noProof/>
        </w:rPr>
      </w:pPr>
    </w:p>
    <w:p w:rsidR="00B12D33" w:rsidRDefault="00B12D33" w:rsidP="00086EAC">
      <w:pPr>
        <w:tabs>
          <w:tab w:val="center" w:pos="2410"/>
          <w:tab w:val="center" w:pos="6804"/>
        </w:tabs>
        <w:autoSpaceDE w:val="0"/>
        <w:spacing w:after="0" w:line="240" w:lineRule="auto"/>
        <w:jc w:val="both"/>
        <w:rPr>
          <w:rFonts w:ascii="Times New Roman" w:hAnsi="Times New Roman" w:cs="Times New Roman"/>
          <w:noProof/>
        </w:rPr>
      </w:pPr>
      <w:r>
        <w:rPr>
          <w:rFonts w:ascii="Times New Roman" w:hAnsi="Times New Roman" w:cs="Times New Roman"/>
          <w:noProof/>
        </w:rPr>
        <w:tab/>
        <w:t>_________________________</w:t>
      </w:r>
      <w:r>
        <w:rPr>
          <w:rFonts w:ascii="Times New Roman" w:hAnsi="Times New Roman" w:cs="Times New Roman"/>
          <w:noProof/>
        </w:rPr>
        <w:tab/>
        <w:t>_________________________</w:t>
      </w:r>
    </w:p>
    <w:p w:rsidR="00B12D33" w:rsidRDefault="00B12D33" w:rsidP="00086EAC">
      <w:pPr>
        <w:tabs>
          <w:tab w:val="center" w:pos="2410"/>
          <w:tab w:val="center" w:pos="6804"/>
        </w:tabs>
        <w:autoSpaceDE w:val="0"/>
        <w:spacing w:after="0" w:line="240" w:lineRule="auto"/>
        <w:jc w:val="both"/>
        <w:rPr>
          <w:rFonts w:ascii="Times New Roman" w:hAnsi="Times New Roman" w:cs="Times New Roman"/>
          <w:noProof/>
        </w:rPr>
      </w:pPr>
      <w:r>
        <w:rPr>
          <w:rFonts w:ascii="Times New Roman" w:hAnsi="Times New Roman" w:cs="Times New Roman"/>
          <w:noProof/>
        </w:rPr>
        <w:tab/>
        <w:t>P</w:t>
      </w:r>
      <w:r w:rsidR="00AC37E2">
        <w:rPr>
          <w:rFonts w:ascii="Times New Roman" w:hAnsi="Times New Roman" w:cs="Times New Roman"/>
          <w:noProof/>
        </w:rPr>
        <w:t>rodávající</w:t>
      </w:r>
      <w:r w:rsidR="00AC37E2">
        <w:rPr>
          <w:rFonts w:ascii="Times New Roman" w:hAnsi="Times New Roman" w:cs="Times New Roman"/>
          <w:noProof/>
        </w:rPr>
        <w:tab/>
        <w:t>Kupující</w:t>
      </w:r>
    </w:p>
    <w:p w:rsidR="00B12D33" w:rsidRDefault="00B12D33" w:rsidP="00B12D33">
      <w:pPr>
        <w:tabs>
          <w:tab w:val="center" w:pos="2552"/>
          <w:tab w:val="center" w:pos="6521"/>
        </w:tabs>
        <w:autoSpaceDE w:val="0"/>
        <w:spacing w:after="0" w:line="240" w:lineRule="auto"/>
        <w:jc w:val="both"/>
        <w:rPr>
          <w:rFonts w:ascii="Times New Roman" w:hAnsi="Times New Roman" w:cs="Times New Roman"/>
          <w:noProof/>
        </w:rPr>
      </w:pPr>
    </w:p>
    <w:p w:rsidR="003F4176" w:rsidRDefault="003F4176" w:rsidP="00B12D33">
      <w:pPr>
        <w:tabs>
          <w:tab w:val="center" w:pos="2552"/>
          <w:tab w:val="center" w:pos="6521"/>
        </w:tabs>
        <w:autoSpaceDE w:val="0"/>
        <w:spacing w:after="0" w:line="240" w:lineRule="auto"/>
        <w:jc w:val="both"/>
        <w:rPr>
          <w:rFonts w:ascii="Times New Roman" w:hAnsi="Times New Roman" w:cs="Times New Roman"/>
          <w:noProof/>
        </w:rPr>
      </w:pPr>
    </w:p>
    <w:p w:rsidR="003F4176" w:rsidRDefault="003F4176" w:rsidP="00B12D33">
      <w:pPr>
        <w:tabs>
          <w:tab w:val="center" w:pos="2552"/>
          <w:tab w:val="center" w:pos="6521"/>
        </w:tabs>
        <w:autoSpaceDE w:val="0"/>
        <w:spacing w:after="0" w:line="240" w:lineRule="auto"/>
        <w:jc w:val="both"/>
        <w:rPr>
          <w:rFonts w:ascii="Times New Roman" w:hAnsi="Times New Roman" w:cs="Times New Roman"/>
          <w:noProof/>
        </w:rPr>
      </w:pPr>
    </w:p>
    <w:p w:rsidR="00B12D33" w:rsidRDefault="00B12D33" w:rsidP="000A70D1">
      <w:pPr>
        <w:tabs>
          <w:tab w:val="left" w:pos="1276"/>
        </w:tabs>
        <w:autoSpaceDE w:val="0"/>
        <w:spacing w:after="0" w:line="240" w:lineRule="auto"/>
        <w:ind w:left="1276" w:hanging="1276"/>
        <w:jc w:val="both"/>
        <w:rPr>
          <w:rFonts w:ascii="Times New Roman" w:hAnsi="Times New Roman" w:cs="Times New Roman"/>
          <w:noProof/>
        </w:rPr>
      </w:pPr>
      <w:r>
        <w:rPr>
          <w:rFonts w:ascii="Times New Roman" w:hAnsi="Times New Roman" w:cs="Times New Roman"/>
          <w:noProof/>
        </w:rPr>
        <w:t>Příloha č. 1:</w:t>
      </w:r>
      <w:r w:rsidR="000A70D1">
        <w:rPr>
          <w:rFonts w:ascii="Times New Roman" w:hAnsi="Times New Roman" w:cs="Times New Roman"/>
          <w:noProof/>
        </w:rPr>
        <w:tab/>
      </w:r>
      <w:r>
        <w:rPr>
          <w:rFonts w:ascii="Times New Roman" w:hAnsi="Times New Roman" w:cs="Times New Roman"/>
          <w:noProof/>
        </w:rPr>
        <w:t>souhlas  Ministerstva  průmyslu a obchodu č</w:t>
      </w:r>
      <w:r w:rsidR="000A70D1">
        <w:rPr>
          <w:rFonts w:ascii="Times New Roman" w:hAnsi="Times New Roman" w:cs="Times New Roman"/>
          <w:noProof/>
        </w:rPr>
        <w:t>.j.:</w:t>
      </w:r>
      <w:r w:rsidR="00FD0214">
        <w:rPr>
          <w:rFonts w:ascii="Times New Roman" w:hAnsi="Times New Roman" w:cs="Times New Roman"/>
          <w:noProof/>
        </w:rPr>
        <w:t xml:space="preserve"> </w:t>
      </w:r>
      <w:r w:rsidR="000A70D1" w:rsidRPr="000A70D1">
        <w:rPr>
          <w:rFonts w:ascii="Times New Roman" w:hAnsi="Times New Roman" w:cs="Times New Roman"/>
        </w:rPr>
        <w:t xml:space="preserve"> </w:t>
      </w:r>
      <w:r w:rsidR="000A70D1">
        <w:rPr>
          <w:rFonts w:ascii="Times New Roman" w:hAnsi="Times New Roman" w:cs="Times New Roman"/>
        </w:rPr>
        <w:t>MPO 43354/16/10</w:t>
      </w:r>
      <w:r w:rsidR="00F97356">
        <w:rPr>
          <w:rFonts w:ascii="Times New Roman" w:hAnsi="Times New Roman" w:cs="Times New Roman"/>
        </w:rPr>
        <w:t>3</w:t>
      </w:r>
      <w:r w:rsidR="000A70D1">
        <w:rPr>
          <w:rFonts w:ascii="Times New Roman" w:hAnsi="Times New Roman" w:cs="Times New Roman"/>
        </w:rPr>
        <w:t>00/01000 ze dne 18. srpna 2016</w:t>
      </w:r>
    </w:p>
    <w:p w:rsidR="00B12D33" w:rsidRDefault="00B12D33" w:rsidP="000A70D1">
      <w:pPr>
        <w:tabs>
          <w:tab w:val="left" w:pos="1276"/>
        </w:tabs>
        <w:autoSpaceDE w:val="0"/>
        <w:spacing w:after="0" w:line="240" w:lineRule="auto"/>
        <w:jc w:val="both"/>
      </w:pPr>
      <w:r>
        <w:rPr>
          <w:rFonts w:ascii="Times New Roman" w:hAnsi="Times New Roman" w:cs="Times New Roman"/>
          <w:noProof/>
        </w:rPr>
        <w:t>Příloha č. 2:</w:t>
      </w:r>
      <w:r w:rsidR="000A70D1">
        <w:rPr>
          <w:rFonts w:ascii="Times New Roman" w:hAnsi="Times New Roman" w:cs="Times New Roman"/>
          <w:noProof/>
        </w:rPr>
        <w:tab/>
      </w:r>
      <w:r>
        <w:rPr>
          <w:rFonts w:ascii="Times New Roman" w:hAnsi="Times New Roman" w:cs="Times New Roman"/>
          <w:noProof/>
        </w:rPr>
        <w:t>výpis z katastru nemovitostí</w:t>
      </w:r>
      <w:r w:rsidR="00A60F3B">
        <w:rPr>
          <w:rFonts w:ascii="Times New Roman" w:hAnsi="Times New Roman" w:cs="Times New Roman"/>
          <w:noProof/>
        </w:rPr>
        <w:t xml:space="preserve"> č.</w:t>
      </w:r>
      <w:r w:rsidR="00A60F3B" w:rsidRPr="00A60F3B">
        <w:rPr>
          <w:rFonts w:ascii="Times New Roman" w:hAnsi="Times New Roman" w:cs="Times New Roman"/>
        </w:rPr>
        <w:t xml:space="preserve"> </w:t>
      </w:r>
      <w:r w:rsidR="00A60F3B">
        <w:rPr>
          <w:rFonts w:ascii="Times New Roman" w:hAnsi="Times New Roman" w:cs="Times New Roman"/>
        </w:rPr>
        <w:t>92 pro obec a k. ú. Předklášteří</w:t>
      </w:r>
    </w:p>
    <w:sectPr w:rsidR="00B12D33" w:rsidSect="00B60B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7641F"/>
    <w:multiLevelType w:val="hybridMultilevel"/>
    <w:tmpl w:val="6804F2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5787290"/>
    <w:multiLevelType w:val="hybridMultilevel"/>
    <w:tmpl w:val="A824DD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49B44A29"/>
    <w:multiLevelType w:val="hybridMultilevel"/>
    <w:tmpl w:val="94C6D894"/>
    <w:lvl w:ilvl="0" w:tplc="BC104E5A">
      <w:start w:val="1"/>
      <w:numFmt w:val="decimal"/>
      <w:lvlText w:val="%1."/>
      <w:lvlJc w:val="left"/>
      <w:pPr>
        <w:ind w:left="360" w:hanging="360"/>
      </w:pPr>
      <w:rPr>
        <w:rFonts w:ascii="Times New Roman" w:hAnsi="Times New Roman" w:cs="Times New Roman" w:hint="default"/>
        <w:b w:val="0"/>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4D4C26C1"/>
    <w:multiLevelType w:val="hybridMultilevel"/>
    <w:tmpl w:val="B7D296C6"/>
    <w:lvl w:ilvl="0" w:tplc="7F007F46">
      <w:start w:val="1"/>
      <w:numFmt w:val="decimal"/>
      <w:lvlText w:val="%1."/>
      <w:lvlJc w:val="left"/>
      <w:pPr>
        <w:tabs>
          <w:tab w:val="num" w:pos="357"/>
        </w:tabs>
        <w:ind w:left="357" w:hanging="357"/>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2D33"/>
    <w:rsid w:val="00085C9D"/>
    <w:rsid w:val="00086EAC"/>
    <w:rsid w:val="000A70D1"/>
    <w:rsid w:val="00172A51"/>
    <w:rsid w:val="00264A8F"/>
    <w:rsid w:val="003F4176"/>
    <w:rsid w:val="00421A66"/>
    <w:rsid w:val="005310BC"/>
    <w:rsid w:val="00685DC0"/>
    <w:rsid w:val="006E71C4"/>
    <w:rsid w:val="009C1B07"/>
    <w:rsid w:val="00A24639"/>
    <w:rsid w:val="00A60F3B"/>
    <w:rsid w:val="00AC37E2"/>
    <w:rsid w:val="00B01E6E"/>
    <w:rsid w:val="00B12D33"/>
    <w:rsid w:val="00B52E31"/>
    <w:rsid w:val="00B60B32"/>
    <w:rsid w:val="00E0370B"/>
    <w:rsid w:val="00E8296F"/>
    <w:rsid w:val="00F97356"/>
    <w:rsid w:val="00FD02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2D33"/>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B12D33"/>
    <w:pPr>
      <w:spacing w:after="0" w:line="240" w:lineRule="auto"/>
      <w:jc w:val="both"/>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semiHidden/>
    <w:rsid w:val="00B12D33"/>
    <w:rPr>
      <w:rFonts w:ascii="Arial" w:eastAsia="Times New Roman" w:hAnsi="Arial" w:cs="Times New Roman"/>
      <w:sz w:val="24"/>
      <w:szCs w:val="20"/>
      <w:lang w:eastAsia="cs-CZ"/>
    </w:rPr>
  </w:style>
  <w:style w:type="paragraph" w:styleId="Zkladntextodsazen">
    <w:name w:val="Body Text Indent"/>
    <w:basedOn w:val="Normln"/>
    <w:link w:val="ZkladntextodsazenChar"/>
    <w:semiHidden/>
    <w:unhideWhenUsed/>
    <w:rsid w:val="00B12D33"/>
    <w:pPr>
      <w:spacing w:after="0" w:line="240" w:lineRule="auto"/>
      <w:ind w:left="851"/>
      <w:jc w:val="both"/>
    </w:pPr>
    <w:rPr>
      <w:rFonts w:ascii="Arial" w:eastAsia="Times New Roman" w:hAnsi="Arial" w:cs="Times New Roman"/>
      <w:sz w:val="24"/>
      <w:szCs w:val="20"/>
      <w:lang w:eastAsia="cs-CZ"/>
    </w:rPr>
  </w:style>
  <w:style w:type="character" w:customStyle="1" w:styleId="ZkladntextodsazenChar">
    <w:name w:val="Základní text odsazený Char"/>
    <w:basedOn w:val="Standardnpsmoodstavce"/>
    <w:link w:val="Zkladntextodsazen"/>
    <w:semiHidden/>
    <w:rsid w:val="00B12D33"/>
    <w:rPr>
      <w:rFonts w:ascii="Arial" w:eastAsia="Times New Roman" w:hAnsi="Arial" w:cs="Times New Roman"/>
      <w:sz w:val="24"/>
      <w:szCs w:val="20"/>
      <w:lang w:eastAsia="cs-CZ"/>
    </w:rPr>
  </w:style>
  <w:style w:type="paragraph" w:styleId="Odstavecseseznamem">
    <w:name w:val="List Paragraph"/>
    <w:basedOn w:val="Normln"/>
    <w:uiPriority w:val="34"/>
    <w:qFormat/>
    <w:rsid w:val="00B12D33"/>
    <w:pPr>
      <w:ind w:left="720"/>
      <w:contextualSpacing/>
    </w:pPr>
  </w:style>
  <w:style w:type="paragraph" w:customStyle="1" w:styleId="Odstavec">
    <w:name w:val="Odstavec"/>
    <w:uiPriority w:val="99"/>
    <w:rsid w:val="00B12D33"/>
    <w:pPr>
      <w:widowControl w:val="0"/>
      <w:spacing w:after="0" w:line="240" w:lineRule="auto"/>
      <w:ind w:firstLine="737"/>
      <w:jc w:val="both"/>
    </w:pPr>
    <w:rPr>
      <w:rFonts w:ascii="Times New Roman" w:eastAsiaTheme="minorEastAsia" w:hAnsi="Times New Roman" w:cs="Times New Roman"/>
      <w:color w:val="000000"/>
      <w:sz w:val="24"/>
      <w:szCs w:val="24"/>
      <w:lang w:eastAsia="cs-CZ"/>
    </w:rPr>
  </w:style>
  <w:style w:type="paragraph" w:customStyle="1" w:styleId="para">
    <w:name w:val="para"/>
    <w:basedOn w:val="Normln"/>
    <w:uiPriority w:val="99"/>
    <w:rsid w:val="00B12D33"/>
    <w:pPr>
      <w:tabs>
        <w:tab w:val="left" w:pos="709"/>
      </w:tabs>
      <w:spacing w:after="0" w:line="240" w:lineRule="auto"/>
      <w:jc w:val="center"/>
    </w:pPr>
    <w:rPr>
      <w:rFonts w:ascii="Times New Roman" w:eastAsiaTheme="minorEastAsia" w:hAnsi="Times New Roman" w:cs="Times New Roman"/>
      <w:b/>
      <w:sz w:val="24"/>
      <w:szCs w:val="20"/>
      <w:lang w:eastAsia="cs-CZ"/>
    </w:rPr>
  </w:style>
  <w:style w:type="paragraph" w:styleId="Textbubliny">
    <w:name w:val="Balloon Text"/>
    <w:basedOn w:val="Normln"/>
    <w:link w:val="TextbublinyChar"/>
    <w:uiPriority w:val="99"/>
    <w:semiHidden/>
    <w:unhideWhenUsed/>
    <w:rsid w:val="003F41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6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1052</Words>
  <Characters>6212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Jiri</cp:lastModifiedBy>
  <cp:revision>7</cp:revision>
  <cp:lastPrinted>2016-09-01T06:24:00Z</cp:lastPrinted>
  <dcterms:created xsi:type="dcterms:W3CDTF">2016-08-26T06:52:00Z</dcterms:created>
  <dcterms:modified xsi:type="dcterms:W3CDTF">2016-11-02T10:20:00Z</dcterms:modified>
</cp:coreProperties>
</file>