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14" w:h="2387" w:hRule="exact" w:wrap="none" w:vAnchor="page" w:hAnchor="page" w:x="1770" w:y="4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</w:t>
        <w:br/>
        <w:t>SMLOUVY O DÍLO</w:t>
      </w:r>
    </w:p>
    <w:p>
      <w:pPr>
        <w:pStyle w:val="Style2"/>
        <w:framePr w:w="8914" w:h="2387" w:hRule="exact" w:wrap="none" w:vAnchor="page" w:hAnchor="page" w:x="1770" w:y="442"/>
        <w:widowControl w:val="0"/>
        <w:keepNext w:val="0"/>
        <w:keepLines w:val="0"/>
        <w:shd w:val="clear" w:color="auto" w:fill="auto"/>
        <w:bidi w:val="0"/>
        <w:spacing w:before="0" w:after="11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zhotovení projektové dokumentace a inž. činnost na dílo</w:t>
      </w:r>
    </w:p>
    <w:p>
      <w:pPr>
        <w:pStyle w:val="Style2"/>
        <w:framePr w:w="8914" w:h="2387" w:hRule="exact" w:wrap="none" w:vAnchor="page" w:hAnchor="page" w:x="1770" w:y="442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„REKONSTRUKCE FASÁDY A STŘECHY PÁLFFYOVSKÉHO PALÁCE“</w:t>
      </w:r>
    </w:p>
    <w:p>
      <w:pPr>
        <w:pStyle w:val="Style2"/>
        <w:framePr w:w="8914" w:h="2387" w:hRule="exact" w:wrap="none" w:vAnchor="page" w:hAnchor="page" w:x="1770" w:y="442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</w:t>
      </w:r>
    </w:p>
    <w:p>
      <w:pPr>
        <w:pStyle w:val="Style4"/>
        <w:framePr w:w="8914" w:h="2387" w:hRule="exact" w:wrap="none" w:vAnchor="page" w:hAnchor="page" w:x="1770" w:y="442"/>
        <w:widowControl w:val="0"/>
        <w:keepNext w:val="0"/>
        <w:keepLines w:val="0"/>
        <w:shd w:val="clear" w:color="auto" w:fill="auto"/>
        <w:bidi w:val="0"/>
        <w:spacing w:before="0" w:after="25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Valdštejnská 158/14, 159/16 - Praha 1 - Malá Strana</w:t>
      </w:r>
    </w:p>
    <w:p>
      <w:pPr>
        <w:pStyle w:val="Style6"/>
        <w:framePr w:w="8914" w:h="2387" w:hRule="exact" w:wrap="none" w:vAnchor="page" w:hAnchor="page" w:x="1770" w:y="4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uzavřený podle § 2586 a násl. zákona č. 89/2012 Sb., občanského zákoníku</w:t>
        <w:br/>
        <w:t>(dále jen „občanský zákoník") dne 16.12.2016</w:t>
      </w:r>
    </w:p>
    <w:p>
      <w:pPr>
        <w:pStyle w:val="Style6"/>
        <w:framePr w:wrap="none" w:vAnchor="page" w:hAnchor="page" w:x="1770" w:y="3131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2"/>
        <w:numPr>
          <w:ilvl w:val="0"/>
          <w:numId w:val="1"/>
        </w:numPr>
        <w:framePr w:w="8914" w:h="6878" w:hRule="exact" w:wrap="none" w:vAnchor="page" w:hAnchor="page" w:x="1770" w:y="3740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2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1,Na Rejdišti 1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Zast. ředitelem konzervatoře </w:t>
      </w:r>
      <w:r>
        <w:rPr>
          <w:rStyle w:val="CharStyle8"/>
        </w:rPr>
        <w:t>MgA. Pavlem Trojanem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110 00 Praha 1</w:t>
      </w:r>
    </w:p>
    <w:p>
      <w:pPr>
        <w:pStyle w:val="Style6"/>
        <w:framePr w:w="8914" w:h="6878" w:hRule="exact" w:wrap="none" w:vAnchor="page" w:hAnchor="page" w:x="1770" w:y="3740"/>
        <w:tabs>
          <w:tab w:leader="none" w:pos="1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</w:t>
        <w:tab/>
        <w:t>7083 7911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115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 70 83 79 11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2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„objednatel")</w:t>
      </w:r>
    </w:p>
    <w:p>
      <w:pPr>
        <w:pStyle w:val="Style2"/>
        <w:numPr>
          <w:ilvl w:val="0"/>
          <w:numId w:val="1"/>
        </w:numPr>
        <w:framePr w:w="8914" w:h="6878" w:hRule="exact" w:wrap="none" w:vAnchor="page" w:hAnchor="page" w:x="1770" w:y="3740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</w:p>
    <w:p>
      <w:pPr>
        <w:pStyle w:val="Style2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Karel Sehyl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3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architektonicko - stavební projekty - ARCH TECH</w:t>
        <w:br/>
        <w:t>se sídlem: K Noskovně 148, 164 00 Praha 6</w:t>
        <w:br/>
        <w:t>zastoupená: Ing. Karel Sehyl</w:t>
        <w:br/>
        <w:t>IČ: 15939006</w:t>
        <w:br/>
        <w:t>DIČ: CZ5507240574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115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123208389/0800, Česká spořitelna, a.s.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left"/>
        <w:spacing w:before="0" w:after="125" w:line="246" w:lineRule="exact"/>
        <w:ind w:left="2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„zhotovitel")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závazného stanoviska Odboru památkové péče MHMP Č.j. MHMP</w:t>
        <w:br/>
        <w:t>1091977/2017, Sp.zn. S-MHMP 458495/2017, str. 6 bod 10, 11 je nutno nad rámec</w:t>
        <w:br/>
        <w:t>smlouvy odborně zpracovat posudek stávajícího stavu konstrukcí oken sálu a salonku,</w:t>
        <w:br/>
        <w:t>schodiště a dveří na terasu s návrhem opatření (repase či výměna za repliku).</w:t>
        <w:br/>
        <w:t>V případě výměny bude provedeno podrobné zaměření stávajícího a navrhovaného</w:t>
        <w:br/>
        <w:t>stavu (řešení) včetně detailů v řezech v měřítku 1 „ 5 se všemi detaily profilace.</w:t>
        <w:br/>
        <w:t>Součástí dokumentace bude provedený sondážní průzkum nátěrových vrstev.</w:t>
      </w:r>
    </w:p>
    <w:p>
      <w:pPr>
        <w:pStyle w:val="Style6"/>
        <w:framePr w:w="8914" w:h="6878" w:hRule="exact" w:wrap="none" w:vAnchor="page" w:hAnchor="page" w:x="1770" w:y="374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bude zpracována podrobná dokumentace stávajících dvoukřídlých dveří ve vikýři,</w:t>
        <w:br/>
        <w:t>včetně navrhovaného řešení.</w:t>
      </w:r>
    </w:p>
    <w:p>
      <w:pPr>
        <w:pStyle w:val="Style9"/>
        <w:framePr w:w="8914" w:h="2675" w:hRule="exact" w:wrap="none" w:vAnchor="page" w:hAnchor="page" w:x="1770" w:y="10796"/>
        <w:widowControl w:val="0"/>
        <w:keepNext w:val="0"/>
        <w:keepLines w:val="0"/>
        <w:shd w:val="clear" w:color="auto" w:fill="auto"/>
        <w:bidi w:val="0"/>
        <w:jc w:val="left"/>
        <w:spacing w:before="0" w:after="235"/>
        <w:ind w:left="3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</w:t>
      </w:r>
    </w:p>
    <w:p>
      <w:pPr>
        <w:pStyle w:val="Style11"/>
        <w:framePr w:w="8914" w:h="2675" w:hRule="exact" w:wrap="none" w:vAnchor="page" w:hAnchor="page" w:x="1770" w:y="10796"/>
        <w:widowControl w:val="0"/>
        <w:keepNext w:val="0"/>
        <w:keepLines w:val="0"/>
        <w:shd w:val="clear" w:color="auto" w:fill="auto"/>
        <w:bidi w:val="0"/>
        <w:spacing w:before="0" w:after="240"/>
        <w:ind w:left="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4.1.Cena díla nad rámec smlouvy, tj. Restaurátorská zpráva s průzkumem dřevěných výplní</w:t>
        <w:br/>
        <w:t>otvorů a její zapracování do projektové dokumentace činí:</w:t>
      </w:r>
    </w:p>
    <w:p>
      <w:pPr>
        <w:pStyle w:val="Style9"/>
        <w:framePr w:w="8914" w:h="2675" w:hRule="exact" w:wrap="none" w:vAnchor="page" w:hAnchor="page" w:x="1770" w:y="107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18 500,- Kč bez DPH a tato cena je již cenou konečnou</w:t>
        <w:br/>
        <w:t>22 385,- Kč s DPH (21 %) a tato cena je již cenou konečnou</w:t>
      </w:r>
    </w:p>
    <w:p>
      <w:pPr>
        <w:pStyle w:val="Style6"/>
        <w:framePr w:w="8914" w:h="2675" w:hRule="exact" w:wrap="none" w:vAnchor="page" w:hAnchor="page" w:x="1770" w:y="10796"/>
        <w:widowControl w:val="0"/>
        <w:keepNext w:val="0"/>
        <w:keepLines w:val="0"/>
        <w:shd w:val="clear" w:color="auto" w:fill="auto"/>
        <w:bidi w:val="0"/>
        <w:jc w:val="left"/>
        <w:spacing w:before="0" w:after="29" w:line="246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 : odmnácttisícpětset Kč + DPH</w:t>
      </w:r>
    </w:p>
    <w:p>
      <w:pPr>
        <w:pStyle w:val="Style6"/>
        <w:numPr>
          <w:ilvl w:val="0"/>
          <w:numId w:val="3"/>
        </w:numPr>
        <w:framePr w:w="8914" w:h="2675" w:hRule="exact" w:wrap="none" w:vAnchor="page" w:hAnchor="page" w:x="1770" w:y="10796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ostatních bodech zůstává smlouva beze změny.</w:t>
      </w:r>
    </w:p>
    <w:p>
      <w:pPr>
        <w:pStyle w:val="Style6"/>
        <w:numPr>
          <w:ilvl w:val="0"/>
          <w:numId w:val="3"/>
        </w:numPr>
        <w:framePr w:w="8914" w:h="2675" w:hRule="exact" w:wrap="none" w:vAnchor="page" w:hAnchor="page" w:x="1770" w:y="10796"/>
        <w:tabs>
          <w:tab w:leader="none" w:pos="330" w:val="left"/>
          <w:tab w:leader="none" w:pos="60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Praze dne 15.9.2017</w:t>
        <w:tab/>
        <w:t>V Praze dne 15. 9. 2017</w:t>
      </w:r>
    </w:p>
    <w:p>
      <w:pPr>
        <w:pStyle w:val="Style6"/>
        <w:framePr w:w="8914" w:h="538" w:hRule="exact" w:wrap="none" w:vAnchor="page" w:hAnchor="page" w:x="1770" w:y="13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objednatele:</w:t>
        <w:br/>
        <w:t>MgA. Pavel Trojan</w:t>
      </w:r>
    </w:p>
    <w:p>
      <w:pPr>
        <w:pStyle w:val="Style6"/>
        <w:framePr w:w="1646" w:h="538" w:hRule="exact" w:wrap="none" w:vAnchor="page" w:hAnchor="page" w:x="7784" w:y="137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zhotovitele:</w:t>
        <w:br/>
        <w:t>Ing. Karel Sehyl</w:t>
      </w:r>
    </w:p>
    <w:p>
      <w:pPr>
        <w:pStyle w:val="Style13"/>
        <w:framePr w:wrap="none" w:vAnchor="page" w:hAnchor="page" w:x="6147" w:y="154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Body text|4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 +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">
    <w:name w:val="Body text|5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6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4">
    <w:name w:val="Header or footer|1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center"/>
      <w:spacing w:line="235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Body text|4"/>
    <w:basedOn w:val="Normal"/>
    <w:link w:val="CharStyle5"/>
    <w:pPr>
      <w:widowControl w:val="0"/>
      <w:shd w:val="clear" w:color="auto" w:fill="FFFFFF"/>
      <w:jc w:val="center"/>
      <w:spacing w:after="24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jc w:val="center"/>
      <w:spacing w:before="240" w:after="360" w:line="24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Body text|5"/>
    <w:basedOn w:val="Normal"/>
    <w:link w:val="CharStyle10"/>
    <w:pPr>
      <w:widowControl w:val="0"/>
      <w:shd w:val="clear" w:color="auto" w:fill="FFFFFF"/>
      <w:spacing w:before="240" w:after="2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1">
    <w:name w:val="Body text|6"/>
    <w:basedOn w:val="Normal"/>
    <w:link w:val="CharStyle12"/>
    <w:pPr>
      <w:widowControl w:val="0"/>
      <w:shd w:val="clear" w:color="auto" w:fill="FFFFFF"/>
      <w:jc w:val="both"/>
      <w:spacing w:before="240" w:after="240" w:line="230" w:lineRule="exact"/>
      <w:ind w:firstLine="6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3">
    <w:name w:val="Header or footer|1"/>
    <w:basedOn w:val="Normal"/>
    <w:link w:val="CharStyle14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