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408" w:h="374" w:hRule="exact" w:wrap="none" w:vAnchor="page" w:hAnchor="page" w:x="1387" w:y="44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rStyle w:val="CharStyle4"/>
          <w:b/>
          <w:bCs/>
        </w:rPr>
        <w:t>SMLOUVA O DÍLO</w:t>
      </w:r>
      <w:bookmarkEnd w:id="0"/>
    </w:p>
    <w:p>
      <w:pPr>
        <w:pStyle w:val="Style5"/>
        <w:framePr w:w="9408" w:h="1189" w:hRule="exact" w:wrap="none" w:vAnchor="page" w:hAnchor="page" w:x="1387" w:y="902"/>
        <w:widowControl w:val="0"/>
        <w:keepNext w:val="0"/>
        <w:keepLines w:val="0"/>
        <w:shd w:val="clear" w:color="auto" w:fill="auto"/>
        <w:bidi w:val="0"/>
        <w:jc w:val="left"/>
        <w:spacing w:before="0"/>
        <w:ind w:left="4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18/02</w:t>
      </w:r>
    </w:p>
    <w:p>
      <w:pPr>
        <w:pStyle w:val="Style5"/>
        <w:framePr w:w="9408" w:h="1189" w:hRule="exact" w:wrap="none" w:vAnchor="page" w:hAnchor="page" w:x="1387" w:y="90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výkon autorského dozoru</w:t>
      </w:r>
    </w:p>
    <w:p>
      <w:pPr>
        <w:pStyle w:val="Style7"/>
        <w:framePr w:w="9408" w:h="1189" w:hRule="exact" w:wrap="none" w:vAnchor="page" w:hAnchor="page" w:x="1387" w:y="90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podle § 2586 a násl. zákona č. 89/2012 Sb., občanského zákoníku</w:t>
      </w:r>
    </w:p>
    <w:p>
      <w:pPr>
        <w:pStyle w:val="Style7"/>
        <w:framePr w:w="9408" w:h="1189" w:hRule="exact" w:wrap="none" w:vAnchor="page" w:hAnchor="page" w:x="1387" w:y="90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„občanský zákoník")</w:t>
      </w:r>
    </w:p>
    <w:p>
      <w:pPr>
        <w:pStyle w:val="Style5"/>
        <w:framePr w:w="9408" w:h="1064" w:hRule="exact" w:wrap="none" w:vAnchor="page" w:hAnchor="page" w:x="1387" w:y="22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 :</w:t>
      </w:r>
    </w:p>
    <w:p>
      <w:pPr>
        <w:pStyle w:val="Style5"/>
        <w:framePr w:w="9408" w:h="1064" w:hRule="exact" w:wrap="none" w:vAnchor="page" w:hAnchor="page" w:x="1387" w:y="2289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„REKONSTRUKCE HLAVNÍHO SCHODIŠTĚ PÁLFFYOVSKÉHO PALÁCE“, Valdštejnská</w:t>
      </w:r>
    </w:p>
    <w:p>
      <w:pPr>
        <w:pStyle w:val="Style5"/>
        <w:framePr w:w="9408" w:h="1064" w:hRule="exact" w:wrap="none" w:vAnchor="page" w:hAnchor="page" w:x="1387" w:y="2289"/>
        <w:widowControl w:val="0"/>
        <w:keepNext w:val="0"/>
        <w:keepLines w:val="0"/>
        <w:shd w:val="clear" w:color="auto" w:fill="auto"/>
        <w:bidi w:val="0"/>
        <w:jc w:val="center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14,16</w:t>
      </w:r>
    </w:p>
    <w:p>
      <w:pPr>
        <w:pStyle w:val="Style5"/>
        <w:framePr w:w="9408" w:h="1064" w:hRule="exact" w:wrap="none" w:vAnchor="page" w:hAnchor="page" w:x="1387" w:y="2289"/>
        <w:widowControl w:val="0"/>
        <w:keepNext w:val="0"/>
        <w:keepLines w:val="0"/>
        <w:shd w:val="clear" w:color="auto" w:fill="auto"/>
        <w:bidi w:val="0"/>
        <w:jc w:val="center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Malá Strana, Praha 1</w:t>
      </w:r>
    </w:p>
    <w:p>
      <w:pPr>
        <w:pStyle w:val="Style9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108"/>
        <w:ind w:left="1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CLÁNEK I - SMLUVNÍ STRANY</w:t>
      </w:r>
      <w:bookmarkEnd w:id="1"/>
    </w:p>
    <w:p>
      <w:pPr>
        <w:pStyle w:val="Style5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: Ing. Karel Sehyl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architektonicko - stavební projekty - </w:t>
      </w:r>
      <w:r>
        <w:rPr>
          <w:rStyle w:val="CharStyle11"/>
        </w:rPr>
        <w:t>ARCH TECH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Noskovně 148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164 00 Praha 6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 : 15939006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 : CZ5507240574</w:t>
      </w:r>
    </w:p>
    <w:p>
      <w:pPr>
        <w:pStyle w:val="Style7"/>
        <w:framePr w:w="9408" w:h="2724" w:hRule="exact" w:wrap="none" w:vAnchor="page" w:hAnchor="page" w:x="1387" w:y="396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3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 : ČESKÁ SPOŘITELNA, a.s.</w:t>
        <w:br/>
        <w:t>Vítězné náměstí 9, Praha 6</w:t>
        <w:br/>
        <w:t>č.ú. : 123208389/0800</w:t>
      </w:r>
    </w:p>
    <w:p>
      <w:pPr>
        <w:pStyle w:val="Style5"/>
        <w:framePr w:w="9408" w:h="2825" w:hRule="exact" w:wrap="none" w:vAnchor="page" w:hAnchor="page" w:x="1387" w:y="7128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</w:p>
    <w:p>
      <w:pPr>
        <w:pStyle w:val="Style5"/>
        <w:framePr w:w="9408" w:h="2825" w:hRule="exact" w:wrap="none" w:vAnchor="page" w:hAnchor="page" w:x="1387" w:y="71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Na Rejdišti 1, Praha 1</w:t>
      </w:r>
    </w:p>
    <w:p>
      <w:pPr>
        <w:pStyle w:val="Style7"/>
        <w:framePr w:w="9408" w:h="2825" w:hRule="exact" w:wrap="none" w:vAnchor="page" w:hAnchor="page" w:x="1387" w:y="7128"/>
        <w:widowControl w:val="0"/>
        <w:keepNext w:val="0"/>
        <w:keepLines w:val="0"/>
        <w:shd w:val="clear" w:color="auto" w:fill="auto"/>
        <w:bidi w:val="0"/>
        <w:jc w:val="left"/>
        <w:spacing w:before="0" w:after="113" w:line="24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Zast. ředitelem konzervatoře MgA. Pavlem Trojanem</w:t>
      </w:r>
    </w:p>
    <w:p>
      <w:pPr>
        <w:pStyle w:val="Style7"/>
        <w:framePr w:w="9408" w:h="2825" w:hRule="exact" w:wrap="none" w:vAnchor="page" w:hAnchor="page" w:x="1387" w:y="7128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 hl.m.Prahy zřízena usnesením RHMP č.550 z 3.4.2001, zapsaná</w:t>
        <w:br/>
        <w:t>v Rejstříku škol RED-IZO 600 0045 38, zapsaná v RARIS</w:t>
      </w:r>
    </w:p>
    <w:p>
      <w:pPr>
        <w:pStyle w:val="Style7"/>
        <w:framePr w:w="9408" w:h="2825" w:hRule="exact" w:wrap="none" w:vAnchor="page" w:hAnchor="page" w:x="1387" w:y="712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Na Rejdišti 1</w:t>
        <w:br/>
        <w:t>110 00 Praha 1</w:t>
        <w:br/>
        <w:t>IČO : 70837911</w:t>
        <w:br/>
        <w:t>DIČ: CZ70837911</w:t>
      </w:r>
    </w:p>
    <w:p>
      <w:pPr>
        <w:pStyle w:val="Style9"/>
        <w:framePr w:w="9408" w:h="2461" w:hRule="exact" w:wrap="none" w:vAnchor="page" w:hAnchor="page" w:x="1387" w:y="10642"/>
        <w:widowControl w:val="0"/>
        <w:keepNext w:val="0"/>
        <w:keepLines w:val="0"/>
        <w:shd w:val="clear" w:color="auto" w:fill="auto"/>
        <w:bidi w:val="0"/>
        <w:jc w:val="both"/>
        <w:spacing w:before="0" w:after="104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II - PŘEDMĚT SMLOUVY</w:t>
      </w:r>
      <w:bookmarkEnd w:id="2"/>
    </w:p>
    <w:p>
      <w:pPr>
        <w:pStyle w:val="Style7"/>
        <w:framePr w:w="9408" w:h="2461" w:hRule="exact" w:wrap="none" w:vAnchor="page" w:hAnchor="page" w:x="1387" w:y="106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2.1</w:t>
      </w:r>
    </w:p>
    <w:p>
      <w:pPr>
        <w:pStyle w:val="Style7"/>
        <w:framePr w:w="9408" w:h="2461" w:hRule="exact" w:wrap="none" w:vAnchor="page" w:hAnchor="page" w:x="1387" w:y="10642"/>
        <w:widowControl w:val="0"/>
        <w:keepNext w:val="0"/>
        <w:keepLines w:val="0"/>
        <w:shd w:val="clear" w:color="auto" w:fill="auto"/>
        <w:bidi w:val="0"/>
        <w:jc w:val="both"/>
        <w:spacing w:before="0" w:after="12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se zavazuje, že bude na stavbě </w:t>
      </w:r>
      <w:r>
        <w:rPr>
          <w:rStyle w:val="CharStyle11"/>
        </w:rPr>
        <w:t>„REKONSTRUKCE HLAVNÍHO SCHODIŠTĚ</w:t>
        <w:br/>
        <w:t xml:space="preserve">PÁLFFYOVSKÉHO PALÁCE“, Valdštejnská 14,16 - Malá Strana, Praha 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vykonávat</w:t>
        <w:br/>
        <w:t>autorský dozor projektanta v rozsahu podle této smlouvy.</w:t>
      </w:r>
    </w:p>
    <w:p>
      <w:pPr>
        <w:pStyle w:val="Style7"/>
        <w:framePr w:w="9408" w:h="2461" w:hRule="exact" w:wrap="none" w:vAnchor="page" w:hAnchor="page" w:x="1387" w:y="10642"/>
        <w:widowControl w:val="0"/>
        <w:keepNext w:val="0"/>
        <w:keepLines w:val="0"/>
        <w:shd w:val="clear" w:color="auto" w:fill="auto"/>
        <w:bidi w:val="0"/>
        <w:jc w:val="both"/>
        <w:spacing w:before="0" w:after="113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2.2</w:t>
      </w:r>
    </w:p>
    <w:p>
      <w:pPr>
        <w:pStyle w:val="Style7"/>
        <w:framePr w:w="9408" w:h="2461" w:hRule="exact" w:wrap="none" w:vAnchor="page" w:hAnchor="page" w:x="1387" w:y="1064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zavazuje, že zaplatí za výkon autorského dozoru dohodnutou cenu a poskytne</w:t>
        <w:br/>
        <w:t>zhotoviteli dojednanou součinnost.</w:t>
      </w:r>
    </w:p>
    <w:p>
      <w:pPr>
        <w:pStyle w:val="Style9"/>
        <w:framePr w:w="9408" w:h="2340" w:hRule="exact" w:wrap="none" w:vAnchor="page" w:hAnchor="page" w:x="1387" w:y="13786"/>
        <w:widowControl w:val="0"/>
        <w:keepNext w:val="0"/>
        <w:keepLines w:val="0"/>
        <w:shd w:val="clear" w:color="auto" w:fill="auto"/>
        <w:bidi w:val="0"/>
        <w:jc w:val="both"/>
        <w:spacing w:before="0" w:after="11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III - ROZSAH A OBSAH PŘEDMĚTU PLNĚNÍ</w:t>
      </w:r>
      <w:bookmarkEnd w:id="3"/>
    </w:p>
    <w:p>
      <w:pPr>
        <w:pStyle w:val="Style7"/>
        <w:framePr w:w="9408" w:h="2340" w:hRule="exact" w:wrap="none" w:vAnchor="page" w:hAnchor="page" w:x="1387" w:y="13786"/>
        <w:widowControl w:val="0"/>
        <w:keepNext w:val="0"/>
        <w:keepLines w:val="0"/>
        <w:shd w:val="clear" w:color="auto" w:fill="auto"/>
        <w:bidi w:val="0"/>
        <w:jc w:val="both"/>
        <w:spacing w:before="0" w:after="11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3.1</w:t>
      </w:r>
    </w:p>
    <w:p>
      <w:pPr>
        <w:pStyle w:val="Style7"/>
        <w:framePr w:w="9408" w:h="2340" w:hRule="exact" w:wrap="none" w:vAnchor="page" w:hAnchor="page" w:x="1387" w:y="13786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zhotovitel bude poskytovat autorský dozor pravidelný s účastí na</w:t>
        <w:br/>
        <w:t>kontrolních dnech stavby nebo na vyzvání objednatele nebo dodavatele stavby v rozsahu</w:t>
        <w:br/>
        <w:t>nezbytném pro zajištění plynulé výstavby a dodržení požadavků dané projektem stavby. Dále</w:t>
        <w:br/>
        <w:t>se zavazuje k telefonickým a jiným konzultacím s dodavateli a subdodavateli stavby, případně</w:t>
        <w:br/>
        <w:t>s dalšími účastníky výstavby. V případě vyvolaných změn, vzhledem k povaze a charakteru</w:t>
        <w:br/>
        <w:t>prací - rekonstrukce , zhotovitel v případě potřeby zpracuje projektové změny a dodatky při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18" w:h="812" w:hRule="exact" w:wrap="none" w:vAnchor="page" w:hAnchor="page" w:x="1382" w:y="405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spolupráci s dodavatelem tak, aby nebyl narušen termín plnění stavby. Součástí činnosti</w:t>
        <w:br/>
        <w:t>výkonu AD bude rovněž účast statika a mykologa a dalších profesí na stavbě na KD a dle</w:t>
        <w:br/>
        <w:t>potřeby na výzvu dodavatele nebo objednatele.</w:t>
      </w:r>
    </w:p>
    <w:p>
      <w:pPr>
        <w:pStyle w:val="Style9"/>
        <w:framePr w:w="9418" w:h="1072" w:hRule="exact" w:wrap="none" w:vAnchor="page" w:hAnchor="page" w:x="1382" w:y="1906"/>
        <w:widowControl w:val="0"/>
        <w:keepNext w:val="0"/>
        <w:keepLines w:val="0"/>
        <w:shd w:val="clear" w:color="auto" w:fill="auto"/>
        <w:bidi w:val="0"/>
        <w:jc w:val="both"/>
        <w:spacing w:before="0" w:after="13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CLÁNEK IV - DOBA PLNENÍ</w:t>
      </w:r>
      <w:bookmarkEnd w:id="4"/>
    </w:p>
    <w:p>
      <w:pPr>
        <w:pStyle w:val="Style7"/>
        <w:framePr w:w="9418" w:h="1072" w:hRule="exact" w:wrap="none" w:vAnchor="page" w:hAnchor="page" w:x="1382" w:y="1906"/>
        <w:widowControl w:val="0"/>
        <w:keepNext w:val="0"/>
        <w:keepLines w:val="0"/>
        <w:shd w:val="clear" w:color="auto" w:fill="auto"/>
        <w:bidi w:val="0"/>
        <w:jc w:val="both"/>
        <w:spacing w:before="0" w:after="14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4.1</w:t>
      </w:r>
    </w:p>
    <w:p>
      <w:pPr>
        <w:pStyle w:val="Style7"/>
        <w:framePr w:w="9418" w:h="1072" w:hRule="exact" w:wrap="none" w:vAnchor="page" w:hAnchor="page" w:x="1382" w:y="1906"/>
        <w:widowControl w:val="0"/>
        <w:keepNext w:val="0"/>
        <w:keepLines w:val="0"/>
        <w:shd w:val="clear" w:color="auto" w:fill="auto"/>
        <w:bidi w:val="0"/>
        <w:jc w:val="both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Autorský dozor bude zhotovitel vykonávat po dobu realizace stavby a při přípravě stavby.</w:t>
      </w:r>
    </w:p>
    <w:p>
      <w:pPr>
        <w:pStyle w:val="Style9"/>
        <w:framePr w:w="9418" w:h="1581" w:hRule="exact" w:wrap="none" w:vAnchor="page" w:hAnchor="page" w:x="1382" w:y="3667"/>
        <w:widowControl w:val="0"/>
        <w:keepNext w:val="0"/>
        <w:keepLines w:val="0"/>
        <w:shd w:val="clear" w:color="auto" w:fill="auto"/>
        <w:bidi w:val="0"/>
        <w:jc w:val="both"/>
        <w:spacing w:before="0" w:after="13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CLÁNEK V - SOUČINNOST A PODKLADY OBJEDNATELE</w:t>
      </w:r>
      <w:bookmarkEnd w:id="5"/>
    </w:p>
    <w:p>
      <w:pPr>
        <w:pStyle w:val="Style7"/>
        <w:framePr w:w="9418" w:h="1581" w:hRule="exact" w:wrap="none" w:vAnchor="page" w:hAnchor="page" w:x="1382" w:y="3667"/>
        <w:widowControl w:val="0"/>
        <w:keepNext w:val="0"/>
        <w:keepLines w:val="0"/>
        <w:shd w:val="clear" w:color="auto" w:fill="auto"/>
        <w:bidi w:val="0"/>
        <w:jc w:val="both"/>
        <w:spacing w:before="0" w:after="13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5.1</w:t>
      </w:r>
    </w:p>
    <w:p>
      <w:pPr>
        <w:pStyle w:val="Style7"/>
        <w:framePr w:w="9418" w:h="1581" w:hRule="exact" w:wrap="none" w:vAnchor="page" w:hAnchor="page" w:x="1382" w:y="3667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zavazuje, že po dobu realizace stavby bude se zhotovitelem v nezbytné nutné</w:t>
        <w:br/>
        <w:t>míře spolupracovat, zejména předáváním nezbytných doplňujících údajů a řešení konstrukčních</w:t>
        <w:br/>
        <w:t>detailů a postupů na místě.</w:t>
      </w:r>
    </w:p>
    <w:p>
      <w:pPr>
        <w:pStyle w:val="Style9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VI - CENA PLNĚNÍ, PLATEBNÍ PODMÍNKY</w:t>
      </w:r>
      <w:bookmarkEnd w:id="6"/>
    </w:p>
    <w:p>
      <w:pPr>
        <w:pStyle w:val="Style7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6.1</w:t>
      </w:r>
    </w:p>
    <w:p>
      <w:pPr>
        <w:pStyle w:val="Style7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bude účtována dle počtu hodin prováděného autorského dozoru; jednotková cena za</w:t>
        <w:br/>
        <w:t>hodinu je 600,- Kč bez DPH. Doba rekonstrukce bude 5 měsíců. Při rekonstrukci bude jednou</w:t>
        <w:br/>
        <w:t>týdně kontrolní den za účasti projektantů (mimo naléhavých případů na výzvu). Tzn. dvacet</w:t>
        <w:br/>
        <w:t>kontrolních dnů za účasti čtyř projektantů a (architekt, statik, mykolog, projektant silnoproudu a</w:t>
        <w:br/>
        <w:t>SLP, restaurátoři) představuje celkem 100 hodin se sazbou 600,- Kč/hod + DPH 21% =</w:t>
        <w:br/>
        <w:t>60.000,- Kč + 12.600,- Kč DPH. Celkem 72.600,- Kč.</w:t>
      </w:r>
    </w:p>
    <w:p>
      <w:pPr>
        <w:pStyle w:val="Style7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both"/>
        <w:spacing w:before="0" w:after="144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 bude účtován podle skutečně odpracovaných hodin v sazbě 600,- Kčhod-1 + DPH 21%.</w:t>
        <w:br/>
        <w:t>Uskutečnění AD bude zaznamenáno do stavebního deníku. Cena za dobu výkonu AD</w:t>
        <w:br/>
        <w:t>nepřesáhne částku 72.600,- Kč včetně DPH. V této ceně jsou také započteny veškeré vedlejší</w:t>
        <w:br/>
        <w:t>náklady.</w:t>
      </w:r>
    </w:p>
    <w:p>
      <w:pPr>
        <w:pStyle w:val="Style7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AD - 150 DNÍ</w:t>
      </w:r>
    </w:p>
    <w:p>
      <w:pPr>
        <w:pStyle w:val="Style7"/>
        <w:framePr w:w="9418" w:h="4375" w:hRule="exact" w:wrap="none" w:vAnchor="page" w:hAnchor="page" w:x="1382" w:y="5736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3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60.000,- Kč bez DPH a tato cena je již cenou konečnou</w:t>
        <w:br/>
        <w:t>72.600,- Kč s DPH (21%) a tato cena je již cenou konečnou</w:t>
      </w:r>
    </w:p>
    <w:p>
      <w:pPr>
        <w:pStyle w:val="Style9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130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ČLÁNEK VII - ZVLÁŠTNÍ UJEDNÁNÍ</w:t>
      </w:r>
      <w:bookmarkEnd w:id="7"/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7.1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ke spolupůsobení při výkonech zhotovitele podle předmětu plnění viz</w:t>
        <w:br/>
        <w:t>čl.II včetně poskytnutí veškerých informací a záznamů z jednání týkajících se předmětné</w:t>
        <w:br/>
        <w:t>investiční akce a přímo se dotýkající předmětu závazku zhotovitele.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7.2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tato smlouva nemá jiná výslovná ujednání, platí pro obě smluvní strany ustanovení obč.</w:t>
        <w:br/>
        <w:t>zákoníku a zvyklostí.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143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7.3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14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odpovídá pravé a svobodné vůli smluvních stran.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137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7,4.</w:t>
      </w:r>
    </w:p>
    <w:p>
      <w:pPr>
        <w:pStyle w:val="Style7"/>
        <w:framePr w:w="9418" w:h="4389" w:hRule="exact" w:wrap="none" w:vAnchor="page" w:hAnchor="page" w:x="1382" w:y="1085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„Smluvní strany výslovně sjednávají, že uveřejnění této smlouvy /event. dohody, dodatku/</w:t>
        <w:br/>
        <w:t>v registru smluv dle zákona č. 340/2015 Sb., o zvláštních podmínkách účinnosti některých</w:t>
        <w:br/>
        <w:t>smluv, uveřejňování těchto smluv a o registru smluv (zákon o registru smluv) zajistí Pražská</w:t>
        <w:br/>
        <w:t>konzervatoř, Praha 1, Na Rejdišti 1."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413" w:h="702" w:hRule="exact" w:wrap="none" w:vAnchor="page" w:hAnchor="page" w:x="1384" w:y="615"/>
        <w:widowControl w:val="0"/>
        <w:keepNext w:val="0"/>
        <w:keepLines w:val="0"/>
        <w:shd w:val="clear" w:color="auto" w:fill="auto"/>
        <w:bidi w:val="0"/>
        <w:jc w:val="both"/>
        <w:spacing w:before="0" w:after="130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VIII - VZNIK A PLATNOST SMLOUVY</w:t>
      </w:r>
      <w:bookmarkEnd w:id="8"/>
    </w:p>
    <w:p>
      <w:pPr>
        <w:pStyle w:val="Style7"/>
        <w:framePr w:w="9413" w:h="702" w:hRule="exact" w:wrap="none" w:vAnchor="page" w:hAnchor="page" w:x="1384" w:y="615"/>
        <w:widowControl w:val="0"/>
        <w:keepNext w:val="0"/>
        <w:keepLines w:val="0"/>
        <w:shd w:val="clear" w:color="auto" w:fill="auto"/>
        <w:bidi w:val="0"/>
        <w:jc w:val="both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8.1</w:t>
      </w:r>
    </w:p>
    <w:p>
      <w:pPr>
        <w:pStyle w:val="Style7"/>
        <w:framePr w:w="9413" w:h="1441" w:hRule="exact" w:wrap="none" w:vAnchor="page" w:hAnchor="page" w:x="1384" w:y="1385"/>
        <w:widowControl w:val="0"/>
        <w:keepNext w:val="0"/>
        <w:keepLines w:val="0"/>
        <w:shd w:val="clear" w:color="auto" w:fill="auto"/>
        <w:bidi w:val="0"/>
        <w:jc w:val="both"/>
        <w:spacing w:before="0" w:after="136" w:line="2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má celkem 3 strany. Smlouva smí být v průběhu její platnosti změněna výhradně</w:t>
        <w:br/>
        <w:t>dodatky oboustranně potvrzenými oprávněnými zástupci. Obě smluvní strany souhlasí se všemi</w:t>
        <w:br/>
        <w:t>články této smlouvy a na důkaz toho potvrzují smlouvu oprávněnými zástupci.</w:t>
      </w:r>
    </w:p>
    <w:p>
      <w:pPr>
        <w:pStyle w:val="Style7"/>
        <w:framePr w:w="9413" w:h="1441" w:hRule="exact" w:wrap="none" w:vAnchor="page" w:hAnchor="page" w:x="1384" w:y="13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stejnopisech, z nichž každá ze smluvních stran obdrží po</w:t>
        <w:br/>
        <w:t>jednom potvrzeném vyhotovení.</w:t>
      </w:r>
    </w:p>
    <w:p>
      <w:pPr>
        <w:pStyle w:val="Style7"/>
        <w:framePr w:wrap="none" w:vAnchor="page" w:hAnchor="page" w:x="1384" w:y="4008"/>
        <w:widowControl w:val="0"/>
        <w:keepNext w:val="0"/>
        <w:keepLines w:val="0"/>
        <w:shd w:val="clear" w:color="auto" w:fill="auto"/>
        <w:bidi w:val="0"/>
        <w:jc w:val="both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21.2.2018</w:t>
      </w:r>
    </w:p>
    <w:p>
      <w:pPr>
        <w:pStyle w:val="Style7"/>
        <w:framePr w:wrap="none" w:vAnchor="page" w:hAnchor="page" w:x="1399" w:y="6993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:</w:t>
      </w:r>
    </w:p>
    <w:p>
      <w:pPr>
        <w:pStyle w:val="Style7"/>
        <w:framePr w:wrap="none" w:vAnchor="page" w:hAnchor="page" w:x="1384" w:y="6993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638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 :</w:t>
      </w:r>
    </w:p>
    <w:p>
      <w:pPr>
        <w:pStyle w:val="Style7"/>
        <w:framePr w:wrap="none" w:vAnchor="page" w:hAnchor="page" w:x="1413" w:y="7368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Ing.Karel Sehyl</w:t>
      </w:r>
    </w:p>
    <w:p>
      <w:pPr>
        <w:pStyle w:val="Style7"/>
        <w:framePr w:wrap="none" w:vAnchor="page" w:hAnchor="page" w:x="1384" w:y="7368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640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MgA. Pavel Trojan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">
    <w:name w:val="Heading #1|1"/>
    <w:basedOn w:val="CharStyle3"/>
    <w:rPr>
      <w:lang w:val="cs-CZ" w:eastAsia="cs-CZ" w:bidi="cs-CZ"/>
      <w:u w:val="single"/>
      <w:w w:val="100"/>
      <w:spacing w:val="0"/>
      <w:color w:val="008000"/>
      <w:position w:val="0"/>
    </w:rPr>
  </w:style>
  <w:style w:type="character" w:customStyle="1" w:styleId="CharStyle6">
    <w:name w:val="Body text|3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Heading #2|1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1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after="12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FFFFFF"/>
      <w:spacing w:before="120" w:after="12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jc w:val="center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FFFFFF"/>
      <w:outlineLvl w:val="1"/>
      <w:spacing w:before="720" w:after="120"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