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30" w:h="781" w:hRule="exact" w:wrap="none" w:vAnchor="page" w:hAnchor="page" w:x="1302" w:y="150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</w:t>
      </w:r>
      <w:bookmarkEnd w:id="0"/>
    </w:p>
    <w:p>
      <w:pPr>
        <w:pStyle w:val="Style2"/>
        <w:framePr w:w="9130" w:h="781" w:hRule="exact" w:wrap="none" w:vAnchor="page" w:hAnchor="page" w:x="1302" w:y="15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nájmu nebytových prostor,</w:t>
      </w:r>
      <w:bookmarkEnd w:id="1"/>
    </w:p>
    <w:p>
      <w:pPr>
        <w:pStyle w:val="Style4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/>
        <w:ind w:left="400" w:right="0" w:hanging="4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kterou dnešního dne uzavřeli :</w:t>
      </w:r>
    </w:p>
    <w:p>
      <w:pPr>
        <w:pStyle w:val="Style6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bookmarkStart w:id="2" w:name="bookmark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TJ Sokol Žižkov II</w:t>
      </w:r>
      <w:bookmarkEnd w:id="2"/>
    </w:p>
    <w:p>
      <w:pPr>
        <w:pStyle w:val="Style4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00" w:right="0" w:hanging="4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 : Praha 3, Na Balkáně 21, č.p. 812, 130 00, Praha 3,</w:t>
      </w:r>
    </w:p>
    <w:p>
      <w:pPr>
        <w:pStyle w:val="Style4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00" w:right="0" w:hanging="4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 : 63830272</w:t>
      </w:r>
    </w:p>
    <w:p>
      <w:pPr>
        <w:pStyle w:val="Style8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91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zastoupena starostou RNDr.Janem Maternou,Ph.D. a jednatelem Miroslavem Kodymem</w:t>
        <w:br/>
      </w:r>
      <w:r>
        <w:rPr>
          <w:rStyle w:val="CharStyle10"/>
          <w:b w:val="0"/>
          <w:bCs w:val="0"/>
          <w:i w:val="0"/>
          <w:iCs w:val="0"/>
        </w:rPr>
        <w:t>„</w:t>
      </w:r>
      <w:r>
        <w:rPr>
          <w:rStyle w:val="CharStyle11"/>
          <w:b/>
          <w:bCs/>
          <w:i w:val="0"/>
          <w:iCs w:val="0"/>
        </w:rPr>
        <w:t>dále jen pronajímatel“</w:t>
      </w:r>
    </w:p>
    <w:p>
      <w:pPr>
        <w:pStyle w:val="Style4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94"/>
        <w:ind w:left="400" w:right="0" w:hanging="4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</w:t>
      </w:r>
    </w:p>
    <w:p>
      <w:pPr>
        <w:pStyle w:val="Style4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2"/>
        </w:rPr>
        <w:t xml:space="preserve">Pražská konzervatoř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 příspěvková organizace hl. m. Prahy</w:t>
        <w:br/>
        <w:t>se sídlem: Na Rejdišti 1, Praha 1, PSČ 110 00,</w:t>
      </w:r>
    </w:p>
    <w:p>
      <w:pPr>
        <w:pStyle w:val="Style4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zřízena usnesením RHMP č. 550 z 3. 4. 2001, zapsaná v Rejstříku škol RED-IZO 600004538,</w:t>
        <w:br/>
        <w:t>zapsaná v RARIS IČO:70837911,</w:t>
        <w:br/>
        <w:t>č. ú.: 2001630003/6000</w:t>
      </w:r>
    </w:p>
    <w:p>
      <w:pPr>
        <w:pStyle w:val="Style8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246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 ředitelem školy MgA. Pavlem Trojanem</w:t>
        <w:br/>
      </w:r>
      <w:r>
        <w:rPr>
          <w:rStyle w:val="CharStyle11"/>
          <w:b/>
          <w:bCs/>
          <w:i w:val="0"/>
          <w:iCs w:val="0"/>
        </w:rPr>
        <w:t>„dále jen nájemce“</w:t>
      </w:r>
    </w:p>
    <w:p>
      <w:pPr>
        <w:pStyle w:val="Style4"/>
        <w:framePr w:w="9130" w:h="4706" w:hRule="exact" w:wrap="none" w:vAnchor="page" w:hAnchor="page" w:x="1302" w:y="27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níže uvedeného dne tuto nájemní smlouvu.</w:t>
      </w:r>
    </w:p>
    <w:p>
      <w:pPr>
        <w:pStyle w:val="Style6"/>
        <w:framePr w:w="9130" w:h="1185" w:hRule="exact" w:wrap="none" w:vAnchor="page" w:hAnchor="page" w:x="1302" w:y="8245"/>
        <w:widowControl w:val="0"/>
        <w:keepNext w:val="0"/>
        <w:keepLines w:val="0"/>
        <w:shd w:val="clear" w:color="auto" w:fill="auto"/>
        <w:bidi w:val="0"/>
        <w:jc w:val="center"/>
        <w:spacing w:before="0" w:after="113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Preambule.</w:t>
      </w:r>
      <w:bookmarkEnd w:id="3"/>
    </w:p>
    <w:p>
      <w:pPr>
        <w:pStyle w:val="Style4"/>
        <w:framePr w:w="9130" w:h="1185" w:hRule="exact" w:wrap="none" w:vAnchor="page" w:hAnchor="page" w:x="1302" w:y="824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Pronajímatel je výlučným vlastníkem nemovitosti čp. 812 se stav parc.1921/2 a 1921/3, Praha</w:t>
        <w:br/>
        <w:t>3, Na Balkáně 21, zapsané na LV č. 2148 pro obec Praha, kat. území Vysočany u</w:t>
        <w:br/>
        <w:t>Katastrálního úřadu Praha.</w:t>
      </w:r>
    </w:p>
    <w:p>
      <w:pPr>
        <w:pStyle w:val="Style6"/>
        <w:framePr w:w="9130" w:h="4476" w:hRule="exact" w:wrap="none" w:vAnchor="page" w:hAnchor="page" w:x="1302" w:y="10579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I.</w:t>
      </w:r>
      <w:bookmarkEnd w:id="4"/>
    </w:p>
    <w:p>
      <w:pPr>
        <w:pStyle w:val="Style6"/>
        <w:framePr w:w="9130" w:h="4476" w:hRule="exact" w:wrap="none" w:vAnchor="page" w:hAnchor="page" w:x="1302" w:y="10579"/>
        <w:widowControl w:val="0"/>
        <w:keepNext w:val="0"/>
        <w:keepLines w:val="0"/>
        <w:shd w:val="clear" w:color="auto" w:fill="auto"/>
        <w:bidi w:val="0"/>
        <w:jc w:val="center"/>
        <w:spacing w:before="0" w:after="234"/>
        <w:ind w:left="0" w:right="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a účel nájmu.</w:t>
      </w:r>
      <w:bookmarkEnd w:id="5"/>
    </w:p>
    <w:p>
      <w:pPr>
        <w:pStyle w:val="Style4"/>
        <w:numPr>
          <w:ilvl w:val="0"/>
          <w:numId w:val="1"/>
        </w:numPr>
        <w:framePr w:w="9130" w:h="4476" w:hRule="exact" w:wrap="none" w:vAnchor="page" w:hAnchor="page" w:x="1302" w:y="10579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00" w:right="0" w:hanging="4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Předmětem nájmu jsou nebytové prostory v nemovitosti specifikované v preambuli této</w:t>
        <w:br/>
        <w:t>smlouvy. Jedná se o část cvičební plochy velké gymnastické tělocvičny umístěné</w:t>
        <w:br/>
        <w:t>v přízemí (cca 1/3 celkové plochy) - viz příloha č. 1 - nákres. Dále je nájemce oprávněn</w:t>
        <w:br/>
        <w:t>používat společné sociální zařízení v přízemí, šatny a přilehlé sociální zařízení - viz</w:t>
        <w:br/>
        <w:t>nákres (dále jen „předmět nájmu“). Nájemce je oprávněn využívat pronajatý prostor každý</w:t>
        <w:br/>
      </w:r>
      <w:r>
        <w:rPr>
          <w:rStyle w:val="CharStyle12"/>
        </w:rPr>
        <w:t>pátek od 8:00 do 15:30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 V jiných termínech a časech, než jsou upraveny touto smlouvou,</w:t>
        <w:br/>
        <w:t>si může nájemce pronajmout předmětné prostory za stejných podmínek, jako jsou</w:t>
        <w:br/>
        <w:t>upraveny v této smlouvě po dohodě s pronajímatelem.</w:t>
      </w:r>
    </w:p>
    <w:p>
      <w:pPr>
        <w:pStyle w:val="Style4"/>
        <w:numPr>
          <w:ilvl w:val="0"/>
          <w:numId w:val="1"/>
        </w:numPr>
        <w:framePr w:w="9130" w:h="4476" w:hRule="exact" w:wrap="none" w:vAnchor="page" w:hAnchor="page" w:x="1302" w:y="10579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00" w:right="0" w:hanging="4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Pronajímatel pronajímá v souladu s touto smlouvou a obecně závaznými právními</w:t>
        <w:br/>
        <w:t>předpisy předmět nájmu nájemci a nájemce si od pronajímatele v souladu s touto</w:t>
        <w:br/>
        <w:t>smlouvou a obecně závaznými právními předpisy předmět nájmu najímá.</w:t>
      </w:r>
    </w:p>
    <w:p>
      <w:pPr>
        <w:pStyle w:val="Style4"/>
        <w:numPr>
          <w:ilvl w:val="0"/>
          <w:numId w:val="1"/>
        </w:numPr>
        <w:framePr w:w="9130" w:h="4476" w:hRule="exact" w:wrap="none" w:vAnchor="page" w:hAnchor="page" w:x="1302" w:y="10579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00" w:right="0" w:hanging="4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 se zavazuje, že ve výše uvedených prostorách bude provozovat pouze činnost</w:t>
        <w:br/>
        <w:t>shodnou s předmětem své činnosti. Při změně své činnosti bude informovat pronajímatele.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197" w:h="615" w:hRule="exact" w:wrap="none" w:vAnchor="page" w:hAnchor="page" w:x="1269" w:y="216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bookmarkStart w:id="6" w:name="bookmark6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II.</w:t>
      </w:r>
      <w:bookmarkEnd w:id="6"/>
    </w:p>
    <w:p>
      <w:pPr>
        <w:pStyle w:val="Style6"/>
        <w:framePr w:w="9197" w:h="615" w:hRule="exact" w:wrap="none" w:vAnchor="page" w:hAnchor="page" w:x="1269" w:y="216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bookmarkStart w:id="7" w:name="bookmark7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Doba nájmu.</w:t>
      </w:r>
      <w:bookmarkEnd w:id="7"/>
    </w:p>
    <w:p>
      <w:pPr>
        <w:pStyle w:val="Style4"/>
        <w:numPr>
          <w:ilvl w:val="0"/>
          <w:numId w:val="3"/>
        </w:numPr>
        <w:framePr w:w="9197" w:h="3639" w:hRule="exact" w:wrap="none" w:vAnchor="page" w:hAnchor="page" w:x="1269" w:y="2997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20" w:right="0" w:hanging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 se uzavírá na dobu určitou a to od 1. 1. 2018 do 31. 12. 2018.</w:t>
      </w:r>
    </w:p>
    <w:p>
      <w:pPr>
        <w:pStyle w:val="Style4"/>
        <w:numPr>
          <w:ilvl w:val="0"/>
          <w:numId w:val="3"/>
        </w:numPr>
        <w:framePr w:w="9197" w:h="3639" w:hRule="exact" w:wrap="none" w:vAnchor="page" w:hAnchor="page" w:x="1269" w:y="2997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20" w:right="0" w:hanging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 končí také písemnou dohodou smluvních stran nebo výpovědí z důvodů</w:t>
        <w:br/>
        <w:t>uvedených v § 711 zákona č. 89/2012 Sb.</w:t>
      </w:r>
    </w:p>
    <w:p>
      <w:pPr>
        <w:pStyle w:val="Style4"/>
        <w:numPr>
          <w:ilvl w:val="0"/>
          <w:numId w:val="3"/>
        </w:numPr>
        <w:framePr w:w="9197" w:h="3639" w:hRule="exact" w:wrap="none" w:vAnchor="page" w:hAnchor="page" w:x="1269" w:y="2997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20" w:right="0" w:hanging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Pronajímatel může smlouvu vypovědět s 1 měsíční výpovědní lhůtou z následujících</w:t>
        <w:br/>
        <w:t>důvodů:</w:t>
      </w:r>
    </w:p>
    <w:p>
      <w:pPr>
        <w:pStyle w:val="Style4"/>
        <w:numPr>
          <w:ilvl w:val="0"/>
          <w:numId w:val="5"/>
        </w:numPr>
        <w:framePr w:w="9197" w:h="3639" w:hRule="exact" w:wrap="none" w:vAnchor="page" w:hAnchor="page" w:x="1269" w:y="2997"/>
        <w:tabs>
          <w:tab w:leader="none" w:pos="8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20" w:right="0" w:hanging="3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 užívá pronajaté prostory v rozporu s dohodnutým účelem.</w:t>
      </w:r>
    </w:p>
    <w:p>
      <w:pPr>
        <w:pStyle w:val="Style4"/>
        <w:numPr>
          <w:ilvl w:val="0"/>
          <w:numId w:val="5"/>
        </w:numPr>
        <w:framePr w:w="9197" w:h="3639" w:hRule="exact" w:wrap="none" w:vAnchor="page" w:hAnchor="page" w:x="1269" w:y="2997"/>
        <w:tabs>
          <w:tab w:leader="none" w:pos="8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20" w:right="0" w:hanging="3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 je o více než o 30 dnů v prodlení s placením sjednané úhrady.</w:t>
      </w:r>
    </w:p>
    <w:p>
      <w:pPr>
        <w:pStyle w:val="Style4"/>
        <w:numPr>
          <w:ilvl w:val="0"/>
          <w:numId w:val="5"/>
        </w:numPr>
        <w:framePr w:w="9197" w:h="3639" w:hRule="exact" w:wrap="none" w:vAnchor="page" w:hAnchor="page" w:x="1269" w:y="2997"/>
        <w:tabs>
          <w:tab w:leader="none" w:pos="8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20" w:right="0" w:hanging="3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ze strany nájemce, jeho pracovníků, cvičenců, cvičitelů dochází přes písemné</w:t>
        <w:br/>
        <w:t>upozornění k hrubému porušování klidu nebo pořádku.</w:t>
      </w:r>
    </w:p>
    <w:p>
      <w:pPr>
        <w:pStyle w:val="Style4"/>
        <w:numPr>
          <w:ilvl w:val="0"/>
          <w:numId w:val="3"/>
        </w:numPr>
        <w:framePr w:w="9197" w:h="3639" w:hRule="exact" w:wrap="none" w:vAnchor="page" w:hAnchor="page" w:x="1269" w:y="2997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20" w:right="0" w:hanging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 končí v případě, že nájemce má neuhrazené nájemné za tři měsíce po sobě a to</w:t>
        <w:br/>
        <w:t>k poslednímu dni třetího měsíce, za který není uhrazeno nájemné. Tím pronajímateli</w:t>
        <w:br/>
        <w:t>nezaniká právo na zaplacení dlužného nájemného ani dalších sankčních poplatků</w:t>
        <w:br/>
        <w:t>plynoucích z této smlouvy a ze zákona.</w:t>
      </w:r>
    </w:p>
    <w:p>
      <w:pPr>
        <w:pStyle w:val="Style6"/>
        <w:framePr w:w="9197" w:h="8109" w:hRule="exact" w:wrap="none" w:vAnchor="page" w:hAnchor="page" w:x="1269" w:y="694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bookmarkStart w:id="8" w:name="bookmark8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III.</w:t>
      </w:r>
      <w:bookmarkEnd w:id="8"/>
    </w:p>
    <w:p>
      <w:pPr>
        <w:pStyle w:val="Style6"/>
        <w:framePr w:w="9197" w:h="8109" w:hRule="exact" w:wrap="none" w:vAnchor="page" w:hAnchor="page" w:x="1269" w:y="6946"/>
        <w:widowControl w:val="0"/>
        <w:keepNext w:val="0"/>
        <w:keepLines w:val="0"/>
        <w:shd w:val="clear" w:color="auto" w:fill="auto"/>
        <w:bidi w:val="0"/>
        <w:jc w:val="center"/>
        <w:spacing w:before="0" w:after="294"/>
        <w:ind w:left="0" w:right="60" w:firstLine="0"/>
      </w:pPr>
      <w:bookmarkStart w:id="9" w:name="bookmark9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nájmu.</w:t>
      </w:r>
      <w:bookmarkEnd w:id="9"/>
    </w:p>
    <w:p>
      <w:pPr>
        <w:pStyle w:val="Style4"/>
        <w:numPr>
          <w:ilvl w:val="0"/>
          <w:numId w:val="7"/>
        </w:numPr>
        <w:framePr w:w="9197" w:h="8109" w:hRule="exact" w:wrap="none" w:vAnchor="page" w:hAnchor="page" w:x="1269" w:y="694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20" w:right="0" w:hanging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Výše nájmu je stanovená dohodou v souladu se zákonem č. 89/2012 Sb. o to ve výši</w:t>
        <w:br/>
      </w:r>
      <w:r>
        <w:rPr>
          <w:rStyle w:val="CharStyle12"/>
        </w:rPr>
        <w:t xml:space="preserve">290,-Kč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hodinu (slovy: dvěstědevadesát korun českých). V ceně nájmu jsou zahrnuty</w:t>
        <w:br/>
        <w:t>platby za dodávky elektrické energie, vodné, stočné, odvoz odpadků, telekomunikační</w:t>
        <w:br/>
        <w:t>poplatky, jakož i jiné poplatky související s nájmem předmětných nebytových prostor.</w:t>
        <w:br/>
        <w:t>V případě, že se pronajímatel stane plátcem DPH, bude tato částka navýšena o zákonem</w:t>
        <w:br/>
        <w:t>stanovené DPH.</w:t>
      </w:r>
    </w:p>
    <w:p>
      <w:pPr>
        <w:pStyle w:val="Style4"/>
        <w:numPr>
          <w:ilvl w:val="0"/>
          <w:numId w:val="7"/>
        </w:numPr>
        <w:framePr w:w="9197" w:h="8109" w:hRule="exact" w:wrap="none" w:vAnchor="page" w:hAnchor="page" w:x="1269" w:y="694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6" w:line="274" w:lineRule="exact"/>
        <w:ind w:left="520" w:right="0" w:hanging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Úhrada nájemného je splatná měsíčně do každého 25. dne měsíce následujícího po</w:t>
        <w:br/>
        <w:t>předmětném období v českých korunách, bankovním převodem na účet</w:t>
        <w:br/>
        <w:t xml:space="preserve">č. </w:t>
      </w:r>
      <w:r>
        <w:rPr>
          <w:rStyle w:val="CharStyle12"/>
        </w:rPr>
        <w:t xml:space="preserve">12524389/0800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základě vystavené faktury.</w:t>
      </w:r>
    </w:p>
    <w:p>
      <w:pPr>
        <w:pStyle w:val="Style6"/>
        <w:framePr w:w="9197" w:h="8109" w:hRule="exact" w:wrap="none" w:vAnchor="page" w:hAnchor="page" w:x="1269" w:y="694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300" w:right="0" w:firstLine="0"/>
      </w:pPr>
      <w:bookmarkStart w:id="10" w:name="bookmark10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IV.</w:t>
      </w:r>
      <w:bookmarkEnd w:id="10"/>
    </w:p>
    <w:p>
      <w:pPr>
        <w:pStyle w:val="Style6"/>
        <w:framePr w:w="9197" w:h="8109" w:hRule="exact" w:wrap="none" w:vAnchor="page" w:hAnchor="page" w:x="1269" w:y="6946"/>
        <w:widowControl w:val="0"/>
        <w:keepNext w:val="0"/>
        <w:keepLines w:val="0"/>
        <w:shd w:val="clear" w:color="auto" w:fill="auto"/>
        <w:bidi w:val="0"/>
        <w:jc w:val="center"/>
        <w:spacing w:before="0" w:after="294"/>
        <w:ind w:left="300" w:right="0" w:firstLine="0"/>
      </w:pPr>
      <w:bookmarkStart w:id="11" w:name="bookmark11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Další ujednání</w:t>
      </w:r>
      <w:bookmarkEnd w:id="11"/>
    </w:p>
    <w:p>
      <w:pPr>
        <w:pStyle w:val="Style4"/>
        <w:numPr>
          <w:ilvl w:val="0"/>
          <w:numId w:val="9"/>
        </w:numPr>
        <w:framePr w:w="9197" w:h="8109" w:hRule="exact" w:wrap="none" w:vAnchor="page" w:hAnchor="page" w:x="1269" w:y="694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20" w:right="0" w:hanging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Pronajímatel pronajímá předmět nájmu ve stavu způsobilém ke smluvenému účelu,</w:t>
      </w:r>
    </w:p>
    <w:p>
      <w:pPr>
        <w:pStyle w:val="Style4"/>
        <w:framePr w:w="9197" w:h="8109" w:hRule="exact" w:wrap="none" w:vAnchor="page" w:hAnchor="page" w:x="1269" w:y="694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80" w:right="50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tomto stavu jej bude udržovat, zajišťovat služby spojené s jeho smluvním užíváním a</w:t>
        <w:br/>
        <w:t>zabezpečovat jeho obvyklou údržbu. Nájemce potvrzuje, že předmět nájmu je ve stavu</w:t>
        <w:br/>
        <w:t>způsobilém ke smluvnímu užívání.</w:t>
      </w:r>
    </w:p>
    <w:p>
      <w:pPr>
        <w:pStyle w:val="Style4"/>
        <w:numPr>
          <w:ilvl w:val="0"/>
          <w:numId w:val="9"/>
        </w:numPr>
        <w:framePr w:w="9197" w:h="8109" w:hRule="exact" w:wrap="none" w:vAnchor="page" w:hAnchor="page" w:x="1269" w:y="694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80" w:right="0" w:hanging="3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 se zavazuje používat zapůjčené prostory výlučně k účelu dohodnutému v bodě I.</w:t>
        <w:br/>
        <w:t>této smlouvy a to přiměřeným způsobem a v rozsahu vymezeném v bodě I. této smlouvy.</w:t>
      </w:r>
    </w:p>
    <w:p>
      <w:pPr>
        <w:pStyle w:val="Style4"/>
        <w:numPr>
          <w:ilvl w:val="0"/>
          <w:numId w:val="9"/>
        </w:numPr>
        <w:framePr w:w="9197" w:h="8109" w:hRule="exact" w:wrap="none" w:vAnchor="page" w:hAnchor="page" w:x="1269" w:y="694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20" w:right="0" w:hanging="5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 nesmí dát bez souhlasu pronajímatele do podnájmu předmět nájmu jiné osobě.</w:t>
      </w:r>
    </w:p>
    <w:p>
      <w:pPr>
        <w:pStyle w:val="Style4"/>
        <w:numPr>
          <w:ilvl w:val="0"/>
          <w:numId w:val="9"/>
        </w:numPr>
        <w:framePr w:w="9197" w:h="8109" w:hRule="exact" w:wrap="none" w:vAnchor="page" w:hAnchor="page" w:x="1269" w:y="694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80" w:right="0" w:hanging="3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 je povinen neprodleně oznámit pronajímateli vzniklé vady a poruchy na předmětu</w:t>
        <w:br/>
        <w:t>nájmu a umožnit jejich odstranění. Vzniklé vady a poruchy na předmětu nájmu je nájemce</w:t>
        <w:br/>
        <w:t>povinen oznámit od 8.00 hod v kanceláři provozu a v době po 16.00 hod. na vrátnici</w:t>
        <w:br/>
        <w:t>sokolovny.</w:t>
      </w:r>
    </w:p>
    <w:p>
      <w:pPr>
        <w:pStyle w:val="Style4"/>
        <w:numPr>
          <w:ilvl w:val="0"/>
          <w:numId w:val="9"/>
        </w:numPr>
        <w:framePr w:w="9197" w:h="8109" w:hRule="exact" w:wrap="none" w:vAnchor="page" w:hAnchor="page" w:x="1269" w:y="694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80" w:right="0" w:hanging="3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 se zavazuje uhradit pronajímateli veškeré škody způsobené na jeho majetku jím</w:t>
        <w:br/>
        <w:t>organizovanými cvičenci nebo cvičiteli v termínu sjednaného pronájmu.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numPr>
          <w:ilvl w:val="0"/>
          <w:numId w:val="9"/>
        </w:numPr>
        <w:framePr w:w="9432" w:h="7502" w:hRule="exact" w:wrap="none" w:vAnchor="page" w:hAnchor="page" w:x="1151" w:y="1524"/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 zabezpečuje úrazové pojištění všech jím organizovaných cvičenců a cvičitelů a</w:t>
        <w:br/>
        <w:t>zajistí v zapůjčených prostorách dodržování provozního řádu, předpisů bezpečnostní a</w:t>
        <w:br/>
        <w:t>požární ochrany, včetně odborného dozoru při užívání předmětu nájmu jím</w:t>
        <w:br/>
        <w:t>organizovanými cvičenci a cvičiteli.</w:t>
      </w:r>
    </w:p>
    <w:p>
      <w:pPr>
        <w:pStyle w:val="Style4"/>
        <w:numPr>
          <w:ilvl w:val="0"/>
          <w:numId w:val="9"/>
        </w:numPr>
        <w:framePr w:w="9432" w:h="7502" w:hRule="exact" w:wrap="none" w:vAnchor="page" w:hAnchor="page" w:x="1151" w:y="1524"/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Osoby pověřené odborným dozorem: viz příloha č. 2</w:t>
      </w:r>
    </w:p>
    <w:p>
      <w:pPr>
        <w:pStyle w:val="Style4"/>
        <w:numPr>
          <w:ilvl w:val="0"/>
          <w:numId w:val="9"/>
        </w:numPr>
        <w:framePr w:w="9432" w:h="7502" w:hRule="exact" w:wrap="none" w:vAnchor="page" w:hAnchor="page" w:x="1151" w:y="1524"/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případě mimořádných akcí pronajímatele je nájemce povinen pronajaté místnosti</w:t>
        <w:br/>
        <w:t>přechodně uvolnit na nezbytně nutnou dobu.</w:t>
      </w:r>
    </w:p>
    <w:p>
      <w:pPr>
        <w:pStyle w:val="Style4"/>
        <w:numPr>
          <w:ilvl w:val="0"/>
          <w:numId w:val="9"/>
        </w:numPr>
        <w:framePr w:w="9432" w:h="7502" w:hRule="exact" w:wrap="none" w:vAnchor="page" w:hAnchor="page" w:x="1151" w:y="1524"/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Není-li v této smlouvě stanoveno jinak, řídí se poměr jí upravený zákonem č. 89/2012 Sb.</w:t>
        <w:br/>
        <w:t>novým občanským zákoníkem, příslušnými cenovými předpisy a dalšími obecně</w:t>
        <w:br/>
        <w:t>závaznými právními předpisy.</w:t>
      </w:r>
    </w:p>
    <w:p>
      <w:pPr>
        <w:pStyle w:val="Style4"/>
        <w:numPr>
          <w:ilvl w:val="0"/>
          <w:numId w:val="9"/>
        </w:numPr>
        <w:framePr w:w="9432" w:h="7502" w:hRule="exact" w:wrap="none" w:vAnchor="page" w:hAnchor="page" w:x="1151" w:y="1524"/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66" w:line="274" w:lineRule="exact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výslovně sjednávají, že uveřejnění této smlouvy v registru smluv dle</w:t>
        <w:br/>
        <w:t>zákona č. 340/2015 Sb., o zvláštních podmínkách účinnosti některých smluv, uveřejňování</w:t>
        <w:br/>
        <w:t>těchto smluv a o registru smluv (zákon o registru smluv) zajistí Pražská konzervatoř, Praha</w:t>
        <w:br/>
        <w:t>1, Na Rejdišti 1.“</w:t>
      </w:r>
    </w:p>
    <w:p>
      <w:pPr>
        <w:pStyle w:val="Style6"/>
        <w:framePr w:w="9432" w:h="7502" w:hRule="exact" w:wrap="none" w:vAnchor="page" w:hAnchor="page" w:x="1151" w:y="152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20" w:firstLine="0"/>
      </w:pPr>
      <w:bookmarkStart w:id="12" w:name="bookmark1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V.</w:t>
      </w:r>
      <w:bookmarkEnd w:id="12"/>
    </w:p>
    <w:p>
      <w:pPr>
        <w:pStyle w:val="Style6"/>
        <w:framePr w:w="9432" w:h="7502" w:hRule="exact" w:wrap="none" w:vAnchor="page" w:hAnchor="page" w:x="1151" w:y="1524"/>
        <w:widowControl w:val="0"/>
        <w:keepNext w:val="0"/>
        <w:keepLines w:val="0"/>
        <w:shd w:val="clear" w:color="auto" w:fill="auto"/>
        <w:bidi w:val="0"/>
        <w:jc w:val="center"/>
        <w:spacing w:before="0" w:after="274"/>
        <w:ind w:left="0" w:right="120" w:firstLine="0"/>
      </w:pPr>
      <w:bookmarkStart w:id="13" w:name="bookmark1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Závěrečná ustanovení.</w:t>
      </w:r>
      <w:bookmarkEnd w:id="13"/>
    </w:p>
    <w:p>
      <w:pPr>
        <w:pStyle w:val="Style4"/>
        <w:numPr>
          <w:ilvl w:val="0"/>
          <w:numId w:val="11"/>
        </w:numPr>
        <w:framePr w:w="9432" w:h="7502" w:hRule="exact" w:wrap="none" w:vAnchor="page" w:hAnchor="page" w:x="1151" w:y="1524"/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se vyhotovuje ve dvou výtiscích, z nichž každý má platnost originálu</w:t>
      </w:r>
    </w:p>
    <w:p>
      <w:pPr>
        <w:pStyle w:val="Style4"/>
        <w:numPr>
          <w:ilvl w:val="0"/>
          <w:numId w:val="11"/>
        </w:numPr>
        <w:framePr w:w="9432" w:h="7502" w:hRule="exact" w:wrap="none" w:vAnchor="page" w:hAnchor="page" w:x="1151" w:y="1524"/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Každá smluvní strana obdrží po jednom výtisku smlouvy.</w:t>
      </w:r>
    </w:p>
    <w:p>
      <w:pPr>
        <w:pStyle w:val="Style4"/>
        <w:numPr>
          <w:ilvl w:val="0"/>
          <w:numId w:val="11"/>
        </w:numPr>
        <w:framePr w:w="9432" w:h="7502" w:hRule="exact" w:wrap="none" w:vAnchor="page" w:hAnchor="page" w:x="1151" w:y="1524"/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Účastníci smlouvy prohlašují, že si ji řádně pročetli, rozumí jejímu obsahu, všechna</w:t>
        <w:br/>
        <w:t>ustanovení smlouvy jsou jim jasná a srozumitelná a smlouvu uzavřeli na základě své pravé</w:t>
        <w:br/>
        <w:t>a svobodné vůle a nikoliv v tísni a za nápadně nevýhodných podmínek. Na důkaz toho</w:t>
        <w:br/>
        <w:t>připojují své podpisy.</w:t>
      </w:r>
    </w:p>
    <w:p>
      <w:pPr>
        <w:pStyle w:val="Style4"/>
        <w:numPr>
          <w:ilvl w:val="0"/>
          <w:numId w:val="11"/>
        </w:numPr>
        <w:framePr w:w="9432" w:h="7502" w:hRule="exact" w:wrap="none" w:vAnchor="page" w:hAnchor="page" w:x="1151" w:y="1524"/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2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nabývá platnosti a účinnosti dnem jejího podpisu oběma smluvními</w:t>
        <w:br/>
        <w:t>stranami.</w:t>
      </w:r>
    </w:p>
    <w:p>
      <w:pPr>
        <w:pStyle w:val="Style4"/>
        <w:framePr w:wrap="none" w:vAnchor="page" w:hAnchor="page" w:x="1151" w:y="95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 11. 12. 2017</w:t>
      </w:r>
    </w:p>
    <w:p>
      <w:pPr>
        <w:pStyle w:val="Style4"/>
        <w:framePr w:w="9432" w:h="323" w:hRule="exact" w:wrap="none" w:vAnchor="page" w:hAnchor="page" w:x="1151" w:y="10683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8112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Pronajímatel:</w:t>
      </w:r>
    </w:p>
    <w:p>
      <w:pPr>
        <w:pStyle w:val="Style4"/>
        <w:framePr w:wrap="none" w:vAnchor="page" w:hAnchor="page" w:x="5754" w:y="106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Nájemce:</w:t>
      </w:r>
    </w:p>
    <w:p>
      <w:pPr>
        <w:pStyle w:val="Style4"/>
        <w:framePr w:w="9432" w:h="610" w:hRule="exact" w:wrap="none" w:vAnchor="page" w:hAnchor="page" w:x="1151" w:y="12376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6845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RNDr. Jan Materna, Ph.D.</w:t>
        <w:br/>
        <w:t>starosta TJ</w:t>
      </w:r>
    </w:p>
    <w:p>
      <w:pPr>
        <w:pStyle w:val="Style4"/>
        <w:framePr w:w="1910" w:h="615" w:hRule="exact" w:wrap="none" w:vAnchor="page" w:hAnchor="page" w:x="7881" w:y="1237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4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MgA. Pavel Trojan</w:t>
        <w:br/>
        <w:t>ředitel</w:t>
      </w:r>
    </w:p>
    <w:p>
      <w:pPr>
        <w:pStyle w:val="Style4"/>
        <w:framePr w:w="9432" w:h="605" w:hRule="exact" w:wrap="none" w:vAnchor="page" w:hAnchor="page" w:x="1151" w:y="1435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hanging="32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Miroslav Kodym</w:t>
        <w:br/>
        <w:t>jednatel TJ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7">
    <w:name w:val="Heading #2|1_"/>
    <w:basedOn w:val="DefaultParagraphFont"/>
    <w:link w:val="Style6"/>
    <w:rPr>
      <w:b/>
      <w:bCs/>
      <w:i w:val="0"/>
      <w:iCs w:val="0"/>
      <w:u w:val="none"/>
      <w:strike w:val="0"/>
      <w:smallCaps w:val="0"/>
    </w:rPr>
  </w:style>
  <w:style w:type="character" w:customStyle="1" w:styleId="CharStyle9">
    <w:name w:val="Body text|3_"/>
    <w:basedOn w:val="DefaultParagraphFont"/>
    <w:link w:val="Style8"/>
    <w:rPr>
      <w:b/>
      <w:bCs/>
      <w:i/>
      <w:iCs/>
      <w:u w:val="none"/>
      <w:strike w:val="0"/>
      <w:smallCaps w:val="0"/>
    </w:rPr>
  </w:style>
  <w:style w:type="character" w:customStyle="1" w:styleId="CharStyle10">
    <w:name w:val="Body text|3 + Not Bold,Not Italic"/>
    <w:basedOn w:val="CharStyle9"/>
    <w:rPr>
      <w:lang w:val="cs-CZ" w:eastAsia="cs-CZ" w:bidi="cs-CZ"/>
      <w:b/>
      <w:bCs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Body text|3 + Not Italic"/>
    <w:basedOn w:val="CharStyle9"/>
    <w:rPr>
      <w:lang w:val="cs-CZ" w:eastAsia="cs-CZ" w:bidi="cs-CZ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Body text|2 + Bold"/>
    <w:basedOn w:val="CharStyle5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line="354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  <w:spacing w:before="480" w:after="100" w:line="266" w:lineRule="exact"/>
      <w:ind w:hanging="74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6">
    <w:name w:val="Heading #2|1"/>
    <w:basedOn w:val="Normal"/>
    <w:link w:val="CharStyle7"/>
    <w:pPr>
      <w:widowControl w:val="0"/>
      <w:shd w:val="clear" w:color="auto" w:fill="FFFFFF"/>
      <w:outlineLvl w:val="1"/>
      <w:spacing w:before="100" w:line="266" w:lineRule="exact"/>
      <w:ind w:hanging="400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FFFFFF"/>
      <w:spacing w:after="100" w:line="254" w:lineRule="exact"/>
    </w:pPr>
    <w:rPr>
      <w:b/>
      <w:bCs/>
      <w:i/>
      <w:iCs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