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830" w:h="1292" w:hRule="exact" w:wrap="none" w:vAnchor="page" w:hAnchor="page" w:x="990" w:y="110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</w:t>
      </w:r>
      <w:bookmarkEnd w:id="0"/>
    </w:p>
    <w:p>
      <w:pPr>
        <w:pStyle w:val="Style2"/>
        <w:framePr w:w="9830" w:h="1292" w:hRule="exact" w:wrap="none" w:vAnchor="page" w:hAnchor="page" w:x="990" w:y="110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 NÁJMU PROSTORU SLOUŽÍCÍHO PODNIKÁNÍ</w:t>
      </w:r>
      <w:bookmarkEnd w:id="1"/>
    </w:p>
    <w:p>
      <w:pPr>
        <w:pStyle w:val="Style4"/>
        <w:framePr w:w="9830" w:h="1292" w:hRule="exact" w:wrap="none" w:vAnchor="page" w:hAnchor="page" w:x="990" w:y="110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dle ust. § 2302 a násl. zákona </w:t>
      </w:r>
      <w:r>
        <w:rPr>
          <w:rStyle w:val="CharStyle6"/>
        </w:rPr>
        <w:t>č. 89/2012 Sb., občanského zákoníku v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e znění </w:t>
      </w:r>
      <w:r>
        <w:rPr>
          <w:rStyle w:val="CharStyle6"/>
        </w:rPr>
        <w:t>platném ke dni podpisu této</w:t>
      </w:r>
    </w:p>
    <w:p>
      <w:pPr>
        <w:pStyle w:val="Style4"/>
        <w:framePr w:w="9830" w:h="1292" w:hRule="exact" w:wrap="none" w:vAnchor="page" w:hAnchor="page" w:x="990" w:y="110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6"/>
        </w:rPr>
        <w:t>smlouvy</w:t>
      </w:r>
    </w:p>
    <w:p>
      <w:pPr>
        <w:pStyle w:val="Style4"/>
        <w:framePr w:w="9830" w:h="2120" w:hRule="exact" w:wrap="none" w:vAnchor="page" w:hAnchor="page" w:x="990" w:y="2924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rStyle w:val="CharStyle7"/>
        </w:rPr>
        <w:t xml:space="preserve">Pražská konzervatoř, Praha 1, Na Rejdišti 1,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příspěvková organizace hl.m.Prahy zřízena usnesením</w:t>
        <w:br/>
        <w:t>RHMP č.550 z 3.4.2001, zapsaná v Rejstříku škol RED-IZO 600 0045 38, zapsaná v RARIS IČO :70837911.</w:t>
        <w:br/>
      </w:r>
      <w:r>
        <w:rPr>
          <w:rStyle w:val="CharStyle8"/>
        </w:rPr>
        <w:t>Zastoupená ředitelem MgA. Pavlem Trojanem / dále jen „</w:t>
      </w:r>
      <w:r>
        <w:rPr>
          <w:rStyle w:val="CharStyle9"/>
        </w:rPr>
        <w:t xml:space="preserve">pronajímatel </w:t>
      </w:r>
      <w:r>
        <w:rPr>
          <w:rStyle w:val="CharStyle8"/>
        </w:rPr>
        <w:t>“ /</w:t>
      </w:r>
    </w:p>
    <w:p>
      <w:pPr>
        <w:pStyle w:val="Style4"/>
        <w:framePr w:w="9830" w:h="2120" w:hRule="exact" w:wrap="none" w:vAnchor="page" w:hAnchor="page" w:x="990" w:y="2924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33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</w:t>
      </w:r>
    </w:p>
    <w:p>
      <w:pPr>
        <w:pStyle w:val="Style10"/>
        <w:framePr w:w="9830" w:h="2120" w:hRule="exact" w:wrap="none" w:vAnchor="page" w:hAnchor="page" w:x="990" w:y="29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Lubomír Havlák, Pod vlastním krovem 27, 182 00 Praha 8, DIČ: CZ 5802270485</w:t>
      </w:r>
    </w:p>
    <w:p>
      <w:pPr>
        <w:pStyle w:val="Style12"/>
        <w:framePr w:w="9830" w:h="2120" w:hRule="exact" w:wrap="none" w:vAnchor="page" w:hAnchor="page" w:x="990" w:y="2924"/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/dále jen</w:t>
      </w:r>
      <w:r>
        <w:rPr>
          <w:rStyle w:val="CharStyle14"/>
          <w:i w:val="0"/>
          <w:iCs w:val="0"/>
        </w:rPr>
        <w:t xml:space="preserve"> „ </w:t>
      </w:r>
      <w:r>
        <w:rPr>
          <w:rStyle w:val="CharStyle15"/>
          <w:i/>
          <w:iCs/>
        </w:rPr>
        <w:t>nájemce“</w:t>
      </w:r>
      <w:r>
        <w:rPr>
          <w:rStyle w:val="CharStyle14"/>
          <w:i w:val="0"/>
          <w:iCs w:val="0"/>
        </w:rPr>
        <w:t xml:space="preserve"> /</w:t>
      </w:r>
    </w:p>
    <w:p>
      <w:pPr>
        <w:pStyle w:val="Style4"/>
        <w:framePr w:w="9830" w:h="2120" w:hRule="exact" w:wrap="none" w:vAnchor="page" w:hAnchor="page" w:x="990" w:y="29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uzavřeli níže uvedeného dne, měsíce a roku tuto</w:t>
      </w:r>
    </w:p>
    <w:p>
      <w:pPr>
        <w:pStyle w:val="Style16"/>
        <w:framePr w:wrap="none" w:vAnchor="page" w:hAnchor="page" w:x="5272" w:y="5286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8"/>
        </w:rPr>
        <w:t>S M L O U V U</w:t>
      </w:r>
    </w:p>
    <w:p>
      <w:pPr>
        <w:pStyle w:val="Style4"/>
        <w:numPr>
          <w:ilvl w:val="0"/>
          <w:numId w:val="1"/>
        </w:numPr>
        <w:framePr w:w="9830" w:h="8929" w:hRule="exact" w:wrap="none" w:vAnchor="page" w:hAnchor="page" w:x="990" w:y="6029"/>
        <w:tabs>
          <w:tab w:leader="none" w:pos="3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Touto smlouvou se pronajímatel zavazuje přenechat nájemci níže specifikovanou věc k dočasnému užívání</w:t>
        <w:br/>
        <w:t>a nájemce se zavazuje platit za to pronajímateli nájemné. Pronajímatel touto smlouvou poskytuje nájemci do</w:t>
        <w:br/>
        <w:t>pronájmu prostory sloužící k podnikání a to 10 učeben ve 2. podlaží Pálffyho paláce v Praze 1, Valdštejnská č.</w:t>
        <w:br/>
        <w:t xml:space="preserve">14 v období od </w:t>
      </w:r>
      <w:r>
        <w:rPr>
          <w:rStyle w:val="CharStyle19"/>
        </w:rPr>
        <w:t xml:space="preserve">4.2.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do </w:t>
      </w:r>
      <w:r>
        <w:rPr>
          <w:rStyle w:val="CharStyle19"/>
        </w:rPr>
        <w:t xml:space="preserve">10.2. 2018 v době od 9.3o do 21.oo hod. za účelem pořádání hudebních kurzů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</w:t>
        <w:br/>
        <w:t xml:space="preserve">Koncertní sál v téže budově dne </w:t>
      </w:r>
      <w:r>
        <w:rPr>
          <w:rStyle w:val="CharStyle19"/>
        </w:rPr>
        <w:t xml:space="preserve">10.2. 2018 v době od 16.oo do 19.oo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 účelem pořádání koncertu.</w:t>
      </w:r>
    </w:p>
    <w:p>
      <w:pPr>
        <w:pStyle w:val="Style4"/>
        <w:framePr w:w="9830" w:h="8929" w:hRule="exact" w:wrap="none" w:vAnchor="page" w:hAnchor="page" w:x="990" w:y="6029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Nájemce není oprávněn měnit účel pronájmu bez předchozího souhlasu pronajímatele. Pronajímatel současně</w:t>
        <w:br/>
        <w:t>poskytuje nájemci do pronájmu na uvedenou dobu vybavení pronajímaných místnosti (vč. klavírů).</w:t>
      </w:r>
    </w:p>
    <w:p>
      <w:pPr>
        <w:pStyle w:val="Style20"/>
        <w:numPr>
          <w:ilvl w:val="0"/>
          <w:numId w:val="1"/>
        </w:numPr>
        <w:framePr w:w="9830" w:h="8929" w:hRule="exact" w:wrap="none" w:vAnchor="page" w:hAnchor="page" w:x="990" w:y="6029"/>
        <w:tabs>
          <w:tab w:leader="none" w:pos="4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Pronajímatel současně zajišťuje pro nájemce tyto činnosti:</w:t>
        <w:br/>
      </w:r>
      <w:r>
        <w:rPr>
          <w:rStyle w:val="CharStyle22"/>
          <w:b w:val="0"/>
          <w:bCs w:val="0"/>
        </w:rPr>
        <w:t>a/ dodávku elektrického proudu</w:t>
      </w:r>
    </w:p>
    <w:p>
      <w:pPr>
        <w:pStyle w:val="Style4"/>
        <w:framePr w:w="9830" w:h="8929" w:hRule="exact" w:wrap="none" w:vAnchor="page" w:hAnchor="page" w:x="990" w:y="6029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b/ ostrahu objektu</w:t>
      </w:r>
    </w:p>
    <w:p>
      <w:pPr>
        <w:pStyle w:val="Style4"/>
        <w:framePr w:w="9830" w:h="8929" w:hRule="exact" w:wrap="none" w:vAnchor="page" w:hAnchor="page" w:x="990" w:y="6029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c/ úklid pronajímaných místností a přístupových komunikací.</w:t>
      </w:r>
    </w:p>
    <w:p>
      <w:pPr>
        <w:pStyle w:val="Style4"/>
        <w:framePr w:w="9830" w:h="8929" w:hRule="exact" w:wrap="none" w:vAnchor="page" w:hAnchor="page" w:x="990" w:y="6029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Nájemce je oprávněn podle svých potřeb ve výše uvedené době měnit rozestavení inventáře s tím, že je uvede</w:t>
        <w:br/>
        <w:t>po skončení doby pronájmu do původního stavu. Neučiní-li tak nájemce, je pronajímatel oprávněn nechat toto</w:t>
        <w:br/>
        <w:t>učinit na náklady nájemce.</w:t>
      </w:r>
    </w:p>
    <w:p>
      <w:pPr>
        <w:pStyle w:val="Style20"/>
        <w:numPr>
          <w:ilvl w:val="0"/>
          <w:numId w:val="1"/>
        </w:numPr>
        <w:framePr w:w="9830" w:h="8929" w:hRule="exact" w:wrap="none" w:vAnchor="page" w:hAnchor="page" w:x="990" w:y="6029"/>
        <w:tabs>
          <w:tab w:leader="none" w:pos="4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Nájemce je povinen na svůj náklad :</w:t>
      </w:r>
    </w:p>
    <w:p>
      <w:pPr>
        <w:pStyle w:val="Style4"/>
        <w:framePr w:w="9830" w:h="8929" w:hRule="exact" w:wrap="none" w:vAnchor="page" w:hAnchor="page" w:x="990" w:y="6029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a/ zajistit pořadatelskou službu, klid a pořádek v pronajímaných prostorech a na přístupových komunikacích.</w:t>
        <w:br/>
        <w:t>b/ zajistit, že návštěvníci a účinkující se nebudou pohybovat po objektu paláce mimo pronajaté prostory a</w:t>
        <w:br/>
        <w:t>přístupové komunikace k nim a současně zajistí, aby nedocházelo na škodách na majetku pronajímatele.</w:t>
        <w:br/>
        <w:t>c/ dodržovat platné protipožární, bezpečnostní a hygienické předpisy a provozní pokyny pověřených</w:t>
        <w:br/>
        <w:t>pracovníků pronajímatele.</w:t>
      </w:r>
    </w:p>
    <w:p>
      <w:pPr>
        <w:pStyle w:val="Style4"/>
        <w:framePr w:w="9830" w:h="8929" w:hRule="exact" w:wrap="none" w:vAnchor="page" w:hAnchor="page" w:x="990" w:y="6029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d/ zajistit dodržování zákazu kouření v pronajatých prostorách.</w:t>
      </w:r>
    </w:p>
    <w:p>
      <w:pPr>
        <w:pStyle w:val="Style20"/>
        <w:numPr>
          <w:ilvl w:val="0"/>
          <w:numId w:val="1"/>
        </w:numPr>
        <w:framePr w:w="9830" w:h="8929" w:hRule="exact" w:wrap="none" w:vAnchor="page" w:hAnchor="page" w:x="990" w:y="6029"/>
        <w:tabs>
          <w:tab w:leader="none" w:pos="4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Další ustanovení</w:t>
      </w:r>
    </w:p>
    <w:p>
      <w:pPr>
        <w:pStyle w:val="Style4"/>
        <w:numPr>
          <w:ilvl w:val="0"/>
          <w:numId w:val="3"/>
        </w:numPr>
        <w:framePr w:w="9830" w:h="8929" w:hRule="exact" w:wrap="none" w:vAnchor="page" w:hAnchor="page" w:x="990" w:y="6029"/>
        <w:tabs>
          <w:tab w:leader="none" w:pos="2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Nájemce odpovídá pronajímateli za škodu, kterou způsobí účinkující, návštěvníci a osoby, vykonávající</w:t>
        <w:br/>
        <w:t>činnost pro nájemce na pronajatých nemovitostech a movitých věcech a za škody, způsobené jiným porušením</w:t>
        <w:br/>
        <w:t>povinností nájemce a pokynů pronajímatele.</w:t>
      </w:r>
    </w:p>
    <w:p>
      <w:pPr>
        <w:pStyle w:val="Style4"/>
        <w:numPr>
          <w:ilvl w:val="0"/>
          <w:numId w:val="3"/>
        </w:numPr>
        <w:framePr w:w="9830" w:h="8929" w:hRule="exact" w:wrap="none" w:vAnchor="page" w:hAnchor="page" w:x="990" w:y="6029"/>
        <w:tabs>
          <w:tab w:leader="none" w:pos="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Nájemce je povinen programem a činností v rámci této smlouvy respektovat povinnosti z této smlouvy,</w:t>
        <w:br/>
        <w:t>jakož i zákon a dobré jméno a pověst pronajímatele. Pro případ porušení této povinnosti se nájemce zavazuje</w:t>
        <w:br/>
        <w:t>uhradit smluvní pokutu ve výši 50.000,- Kč a pronajímatel je současně oprávněn od této smlouvy odstoupit.</w:t>
      </w:r>
    </w:p>
    <w:p>
      <w:pPr>
        <w:pStyle w:val="Style4"/>
        <w:numPr>
          <w:ilvl w:val="0"/>
          <w:numId w:val="3"/>
        </w:numPr>
        <w:framePr w:w="9830" w:h="8929" w:hRule="exact" w:wrap="none" w:vAnchor="page" w:hAnchor="page" w:x="990" w:y="6029"/>
        <w:tabs>
          <w:tab w:leader="none" w:pos="2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Pronajímatel neodpovídá za nároky spojené s programem, který nájemce v rámci této smlouvy uvádí.</w:t>
      </w:r>
    </w:p>
    <w:p>
      <w:pPr>
        <w:pStyle w:val="Style4"/>
        <w:numPr>
          <w:ilvl w:val="0"/>
          <w:numId w:val="3"/>
        </w:numPr>
        <w:framePr w:w="9830" w:h="8929" w:hRule="exact" w:wrap="none" w:vAnchor="page" w:hAnchor="page" w:x="990" w:y="6029"/>
        <w:tabs>
          <w:tab w:leader="none" w:pos="2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Pronajímatel nenese odpovědnost za věci, které nájemce, nebo osoby vykonávající činnost pro nájemce</w:t>
        <w:br/>
        <w:t>vnesou do objektu v době pronájmu.</w:t>
      </w:r>
    </w:p>
    <w:p>
      <w:pPr>
        <w:pStyle w:val="Style4"/>
        <w:numPr>
          <w:ilvl w:val="0"/>
          <w:numId w:val="3"/>
        </w:numPr>
        <w:framePr w:w="9830" w:h="8929" w:hRule="exact" w:wrap="none" w:vAnchor="page" w:hAnchor="page" w:x="990" w:y="6029"/>
        <w:tabs>
          <w:tab w:leader="none" w:pos="2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Smluvní strany výslovně vylučují užití ust. § 2223, ust. § 2315 občanského zákoníku.</w:t>
      </w:r>
    </w:p>
    <w:p>
      <w:pPr>
        <w:pStyle w:val="Style20"/>
        <w:numPr>
          <w:ilvl w:val="0"/>
          <w:numId w:val="1"/>
        </w:numPr>
        <w:framePr w:w="9830" w:h="8929" w:hRule="exact" w:wrap="none" w:vAnchor="page" w:hAnchor="page" w:x="990" w:y="6029"/>
        <w:tabs>
          <w:tab w:leader="none" w:pos="4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Storno podmínky</w:t>
      </w:r>
    </w:p>
    <w:p>
      <w:pPr>
        <w:pStyle w:val="Style4"/>
        <w:framePr w:w="9830" w:h="8929" w:hRule="exact" w:wrap="none" w:vAnchor="page" w:hAnchor="page" w:x="990" w:y="6029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Pokud nájemce odstoupí od uzavřené smlouvy, bude vůči němu uplatňována smluvní sankce ve výši 50%</w:t>
        <w:br/>
        <w:t>nájemného, stanoveného v bodě č.VI.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numPr>
          <w:ilvl w:val="0"/>
          <w:numId w:val="1"/>
        </w:numPr>
        <w:framePr w:w="9658" w:h="2836" w:hRule="exact" w:wrap="none" w:vAnchor="page" w:hAnchor="page" w:x="1077" w:y="1121"/>
        <w:tabs>
          <w:tab w:leader="none" w:pos="4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Nájemce zaplatí pronajímateli na jeho účet č.2001630003/6000 smluvní </w:t>
      </w:r>
      <w:r>
        <w:rPr>
          <w:rStyle w:val="CharStyle22"/>
          <w:b w:val="0"/>
          <w:bCs w:val="0"/>
        </w:rPr>
        <w:t>nájemné v celkové výši</w:t>
        <w:br/>
        <w:t>(včetně pronájmu naladěných klavírů)</w:t>
      </w:r>
    </w:p>
    <w:p>
      <w:pPr>
        <w:pStyle w:val="Style4"/>
        <w:framePr w:w="9658" w:h="2836" w:hRule="exact" w:wrap="none" w:vAnchor="page" w:hAnchor="page" w:x="1077" w:y="1121"/>
        <w:widowControl w:val="0"/>
        <w:keepNext w:val="0"/>
        <w:keepLines w:val="0"/>
        <w:shd w:val="clear" w:color="auto" w:fill="auto"/>
        <w:bidi w:val="0"/>
        <w:jc w:val="right"/>
        <w:spacing w:before="0" w:after="0" w:line="25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80 000,- Kč</w:t>
      </w:r>
    </w:p>
    <w:p>
      <w:pPr>
        <w:pStyle w:val="Style4"/>
        <w:framePr w:w="9658" w:h="2836" w:hRule="exact" w:wrap="none" w:vAnchor="page" w:hAnchor="page" w:x="1077" w:y="1121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 celkové částce bude připočítáno aktuální DPH.</w:t>
      </w:r>
    </w:p>
    <w:p>
      <w:pPr>
        <w:pStyle w:val="Style4"/>
        <w:framePr w:w="9658" w:h="2836" w:hRule="exact" w:wrap="none" w:vAnchor="page" w:hAnchor="page" w:x="1077" w:y="1121"/>
        <w:widowControl w:val="0"/>
        <w:keepNext w:val="0"/>
        <w:keepLines w:val="0"/>
        <w:shd w:val="clear" w:color="auto" w:fill="auto"/>
        <w:bidi w:val="0"/>
        <w:jc w:val="left"/>
        <w:spacing w:before="0" w:after="244" w:line="25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Nájemné je splatné na základě vystavené faktury (ve výši 50% před akcí a 50% po skončení akce.)</w:t>
      </w:r>
    </w:p>
    <w:p>
      <w:pPr>
        <w:pStyle w:val="Style20"/>
        <w:numPr>
          <w:ilvl w:val="0"/>
          <w:numId w:val="1"/>
        </w:numPr>
        <w:framePr w:w="9658" w:h="2836" w:hRule="exact" w:wrap="none" w:vAnchor="page" w:hAnchor="page" w:x="1077" w:y="1121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Závěrečná ustanovení</w:t>
      </w:r>
      <w:r>
        <w:rPr>
          <w:rStyle w:val="CharStyle22"/>
          <w:b w:val="0"/>
          <w:bCs w:val="0"/>
        </w:rPr>
        <w:t>.</w:t>
      </w:r>
    </w:p>
    <w:p>
      <w:pPr>
        <w:pStyle w:val="Style4"/>
        <w:framePr w:w="9658" w:h="2836" w:hRule="exact" w:wrap="none" w:vAnchor="page" w:hAnchor="page" w:x="1077" w:y="112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Práva a povinnosti neupravené touto smlouvou se řídí příslušnými ustanoveními občanského zákoníku a</w:t>
        <w:br/>
        <w:t>souvisejícími právními předpisy.</w:t>
      </w:r>
    </w:p>
    <w:p>
      <w:pPr>
        <w:pStyle w:val="Style4"/>
        <w:framePr w:w="9658" w:h="2836" w:hRule="exact" w:wrap="none" w:vAnchor="page" w:hAnchor="page" w:x="1077" w:y="112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Tato smlouva je vyhotovena ve dvou stejnopisech a nabývá účinnosti dnem jejího podpisu oběma stranami.</w:t>
        <w:br/>
        <w:t>Jakékoliv změny je možno provádět pouze písemnými dodatky, podepsanými oběma smluvními stranami.</w:t>
      </w:r>
    </w:p>
    <w:p>
      <w:pPr>
        <w:pStyle w:val="Style23"/>
        <w:framePr w:wrap="none" w:vAnchor="page" w:hAnchor="page" w:x="1077" w:y="46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Praze dne 11.1. 2018</w:t>
      </w:r>
    </w:p>
    <w:p>
      <w:pPr>
        <w:pStyle w:val="Style4"/>
        <w:framePr w:wrap="none" w:vAnchor="page" w:hAnchor="page" w:x="1139" w:y="62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Nájemce</w:t>
      </w:r>
    </w:p>
    <w:p>
      <w:pPr>
        <w:pStyle w:val="Style4"/>
        <w:framePr w:wrap="none" w:vAnchor="page" w:hAnchor="page" w:x="1077" w:y="62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619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Pronajímatel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|1_"/>
    <w:basedOn w:val="DefaultParagraphFont"/>
    <w:link w:val="Style2"/>
    <w:rPr>
      <w:b/>
      <w:bCs/>
      <w:i w:val="0"/>
      <w:iCs w:val="0"/>
      <w:u w:val="none"/>
      <w:strike w:val="0"/>
      <w:smallCaps w:val="0"/>
      <w:sz w:val="32"/>
      <w:szCs w:val="32"/>
    </w:rPr>
  </w:style>
  <w:style w:type="character" w:customStyle="1" w:styleId="CharStyle5">
    <w:name w:val="Body text|2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6">
    <w:name w:val="Body text|2"/>
    <w:basedOn w:val="CharStyle5"/>
    <w:rPr>
      <w:lang w:val="cs-CZ" w:eastAsia="cs-CZ" w:bidi="cs-CZ"/>
      <w:rFonts w:ascii="Times New Roman" w:eastAsia="Times New Roman" w:hAnsi="Times New Roman" w:cs="Times New Roman"/>
      <w:w w:val="100"/>
      <w:spacing w:val="0"/>
      <w:color w:val="444444"/>
      <w:position w:val="0"/>
    </w:rPr>
  </w:style>
  <w:style w:type="character" w:customStyle="1" w:styleId="CharStyle7">
    <w:name w:val="Body text|2 + 11.5 pt,Bold"/>
    <w:basedOn w:val="CharStyle5"/>
    <w:rPr>
      <w:lang w:val="cs-CZ" w:eastAsia="cs-CZ" w:bidi="cs-CZ"/>
      <w:b/>
      <w:bCs/>
      <w:sz w:val="23"/>
      <w:szCs w:val="2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">
    <w:name w:val="Body text|2 + Italic"/>
    <w:basedOn w:val="CharStyle5"/>
    <w:rPr>
      <w:lang w:val="cs-CZ" w:eastAsia="cs-CZ" w:bidi="cs-CZ"/>
      <w:i/>
      <w:i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Body text|2 + Bold,Italic"/>
    <w:basedOn w:val="CharStyle5"/>
    <w:rPr>
      <w:lang w:val="cs-CZ" w:eastAsia="cs-CZ" w:bidi="cs-CZ"/>
      <w:b/>
      <w:bCs/>
      <w:i/>
      <w:i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">
    <w:name w:val="Body text|3_"/>
    <w:basedOn w:val="DefaultParagraphFont"/>
    <w:link w:val="Style10"/>
    <w:rPr>
      <w:b/>
      <w:bCs/>
      <w:i w:val="0"/>
      <w:iCs w:val="0"/>
      <w:u w:val="none"/>
      <w:strike w:val="0"/>
      <w:smallCaps w:val="0"/>
      <w:sz w:val="23"/>
      <w:szCs w:val="23"/>
    </w:rPr>
  </w:style>
  <w:style w:type="character" w:customStyle="1" w:styleId="CharStyle13">
    <w:name w:val="Body text|4_"/>
    <w:basedOn w:val="DefaultParagraphFont"/>
    <w:link w:val="Style12"/>
    <w:rPr>
      <w:b w:val="0"/>
      <w:bCs w:val="0"/>
      <w:i/>
      <w:iCs/>
      <w:u w:val="none"/>
      <w:strike w:val="0"/>
      <w:smallCaps w:val="0"/>
      <w:sz w:val="22"/>
      <w:szCs w:val="22"/>
    </w:rPr>
  </w:style>
  <w:style w:type="character" w:customStyle="1" w:styleId="CharStyle14">
    <w:name w:val="Body text|4 + Not Italic"/>
    <w:basedOn w:val="CharStyle13"/>
    <w:rPr>
      <w:lang w:val="cs-CZ" w:eastAsia="cs-CZ" w:bidi="cs-CZ"/>
      <w:i/>
      <w:i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5">
    <w:name w:val="Body text|4 + Bold"/>
    <w:basedOn w:val="CharStyle13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7">
    <w:name w:val="Other|1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8">
    <w:name w:val="Other|1 + 14 pt,Bold"/>
    <w:basedOn w:val="CharStyle17"/>
    <w:rPr>
      <w:lang w:val="cs-CZ" w:eastAsia="cs-CZ" w:bidi="cs-CZ"/>
      <w:b/>
      <w:b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9">
    <w:name w:val="Body text|2 + Bold"/>
    <w:basedOn w:val="CharStyle5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1">
    <w:name w:val="Body text|5_"/>
    <w:basedOn w:val="DefaultParagraphFont"/>
    <w:link w:val="Style20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22">
    <w:name w:val="Body text|5 + Not Bold"/>
    <w:basedOn w:val="CharStyle21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4">
    <w:name w:val="Body text|6_"/>
    <w:basedOn w:val="DefaultParagraphFont"/>
    <w:link w:val="Style23"/>
    <w:rPr>
      <w:b w:val="0"/>
      <w:bCs w:val="0"/>
      <w:i/>
      <w:iCs/>
      <w:u w:val="none"/>
      <w:strike w:val="0"/>
      <w:smallCaps w:val="0"/>
      <w:sz w:val="22"/>
      <w:szCs w:val="22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FFFFFF"/>
      <w:jc w:val="center"/>
      <w:outlineLvl w:val="0"/>
      <w:spacing w:line="354" w:lineRule="exact"/>
    </w:pPr>
    <w:rPr>
      <w:b/>
      <w:bCs/>
      <w:i w:val="0"/>
      <w:iCs w:val="0"/>
      <w:u w:val="none"/>
      <w:strike w:val="0"/>
      <w:smallCaps w:val="0"/>
      <w:sz w:val="32"/>
      <w:szCs w:val="32"/>
    </w:rPr>
  </w:style>
  <w:style w:type="paragraph" w:customStyle="1" w:styleId="Style4">
    <w:name w:val="Body text|2"/>
    <w:basedOn w:val="Normal"/>
    <w:link w:val="CharStyle5"/>
    <w:pPr>
      <w:widowControl w:val="0"/>
      <w:shd w:val="clear" w:color="auto" w:fill="FFFFFF"/>
      <w:jc w:val="center"/>
      <w:spacing w:line="24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10">
    <w:name w:val="Body text|3"/>
    <w:basedOn w:val="Normal"/>
    <w:link w:val="CharStyle11"/>
    <w:pPr>
      <w:widowControl w:val="0"/>
      <w:shd w:val="clear" w:color="auto" w:fill="FFFFFF"/>
      <w:spacing w:line="254" w:lineRule="exact"/>
    </w:pPr>
    <w:rPr>
      <w:b/>
      <w:bCs/>
      <w:i w:val="0"/>
      <w:iCs w:val="0"/>
      <w:u w:val="none"/>
      <w:strike w:val="0"/>
      <w:smallCaps w:val="0"/>
      <w:sz w:val="23"/>
      <w:szCs w:val="23"/>
    </w:rPr>
  </w:style>
  <w:style w:type="paragraph" w:customStyle="1" w:styleId="Style12">
    <w:name w:val="Body text|4"/>
    <w:basedOn w:val="Normal"/>
    <w:link w:val="CharStyle13"/>
    <w:pPr>
      <w:widowControl w:val="0"/>
      <w:shd w:val="clear" w:color="auto" w:fill="FFFFFF"/>
      <w:spacing w:after="260" w:line="244" w:lineRule="exact"/>
    </w:pPr>
    <w:rPr>
      <w:b w:val="0"/>
      <w:bCs w:val="0"/>
      <w:i/>
      <w:iCs/>
      <w:u w:val="none"/>
      <w:strike w:val="0"/>
      <w:smallCaps w:val="0"/>
      <w:sz w:val="22"/>
      <w:szCs w:val="22"/>
    </w:rPr>
  </w:style>
  <w:style w:type="paragraph" w:customStyle="1" w:styleId="Style16">
    <w:name w:val="Other|1"/>
    <w:basedOn w:val="Normal"/>
    <w:link w:val="CharStyle17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20">
    <w:name w:val="Body text|5"/>
    <w:basedOn w:val="Normal"/>
    <w:link w:val="CharStyle21"/>
    <w:pPr>
      <w:widowControl w:val="0"/>
      <w:shd w:val="clear" w:color="auto" w:fill="FFFFFF"/>
      <w:spacing w:line="250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23">
    <w:name w:val="Body text|6"/>
    <w:basedOn w:val="Normal"/>
    <w:link w:val="CharStyle24"/>
    <w:pPr>
      <w:widowControl w:val="0"/>
      <w:shd w:val="clear" w:color="auto" w:fill="FFFFFF"/>
      <w:spacing w:before="700" w:after="1360" w:line="244" w:lineRule="exact"/>
    </w:pPr>
    <w:rPr>
      <w:b w:val="0"/>
      <w:bCs w:val="0"/>
      <w:i/>
      <w:iCs/>
      <w:u w:val="none"/>
      <w:strike w:val="0"/>
      <w:smallCaps w:val="0"/>
      <w:sz w:val="22"/>
      <w:szCs w:val="2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tobiha</dc:creator>
  <cp:keywords/>
</cp:coreProperties>
</file>