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E77AC8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 xml:space="preserve">Ing. arch. Benedikt </w:t>
            </w:r>
            <w:proofErr w:type="spellStart"/>
            <w:r>
              <w:rPr>
                <w:sz w:val="22"/>
              </w:rPr>
              <w:t>Markel</w:t>
            </w:r>
            <w:proofErr w:type="spellEnd"/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E77AC8">
              <w:rPr>
                <w:sz w:val="22"/>
              </w:rPr>
              <w:t>75977150</w:t>
            </w:r>
          </w:p>
          <w:p w:rsidR="00BF51C6" w:rsidRPr="00B44B07" w:rsidRDefault="00E77AC8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Keramická 287/3</w:t>
            </w:r>
          </w:p>
          <w:p w:rsidR="00BF51C6" w:rsidRPr="00B44B07" w:rsidRDefault="00E77AC8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170 00 Praha 7 - Bubeneč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F24F0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97CD6">
              <w:rPr>
                <w:b/>
                <w:bCs/>
                <w:sz w:val="22"/>
              </w:rPr>
              <w:t>8-0121/o</w:t>
            </w:r>
          </w:p>
        </w:tc>
        <w:tc>
          <w:tcPr>
            <w:tcW w:w="4236" w:type="dxa"/>
            <w:vAlign w:val="center"/>
          </w:tcPr>
          <w:p w:rsidR="00BF51C6" w:rsidRPr="00B44B07" w:rsidRDefault="00895126" w:rsidP="00F97CD6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xxxxxxxxxxxxxxxxxx</w:t>
            </w:r>
            <w:bookmarkStart w:id="0" w:name="_GoBack"/>
            <w:bookmarkEnd w:id="0"/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F97CD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BF51C6" w:rsidRPr="002902CA">
        <w:rPr>
          <w:sz w:val="22"/>
          <w:szCs w:val="22"/>
        </w:rPr>
        <w:t>bjednáváme</w:t>
      </w:r>
      <w:r w:rsidR="00BF51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Vás </w:t>
      </w:r>
      <w:r w:rsidR="00E77AC8">
        <w:rPr>
          <w:sz w:val="22"/>
          <w:szCs w:val="22"/>
        </w:rPr>
        <w:t xml:space="preserve">architektonické a konzultační činnosti v rámci výstavy Územního plánu hl. m. Prahy (Metropolitního plánu), která se bude konat ve dnech </w:t>
      </w:r>
      <w:proofErr w:type="gramStart"/>
      <w:r w:rsidR="00E77AC8">
        <w:rPr>
          <w:sz w:val="22"/>
          <w:szCs w:val="22"/>
        </w:rPr>
        <w:t>27.4</w:t>
      </w:r>
      <w:proofErr w:type="gramEnd"/>
      <w:r w:rsidR="00E77AC8">
        <w:rPr>
          <w:sz w:val="22"/>
          <w:szCs w:val="22"/>
        </w:rPr>
        <w:t>. – 27.7.2018 v Centru architektury a městského plánování</w:t>
      </w:r>
      <w:r>
        <w:rPr>
          <w:sz w:val="22"/>
          <w:szCs w:val="22"/>
        </w:rPr>
        <w:t xml:space="preserve"> (dále jen „předmět objednávky“).</w:t>
      </w:r>
    </w:p>
    <w:p w:rsidR="00603927" w:rsidRDefault="00603927" w:rsidP="00603927">
      <w:pPr>
        <w:rPr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</w:t>
      </w:r>
      <w:r w:rsidR="000D0F79">
        <w:rPr>
          <w:sz w:val="22"/>
          <w:szCs w:val="22"/>
        </w:rPr>
        <w:t>předmětu objednávky:</w:t>
      </w:r>
      <w:r w:rsidR="009D542C">
        <w:rPr>
          <w:sz w:val="22"/>
          <w:szCs w:val="22"/>
        </w:rPr>
        <w:t xml:space="preserve"> </w:t>
      </w:r>
      <w:r w:rsidR="00E77AC8">
        <w:rPr>
          <w:sz w:val="22"/>
          <w:szCs w:val="22"/>
        </w:rPr>
        <w:t>po dobu výstavy</w:t>
      </w:r>
      <w:r w:rsidR="009D542C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895126">
        <w:rPr>
          <w:sz w:val="22"/>
          <w:szCs w:val="22"/>
        </w:rPr>
        <w:t>xxxxxxxxxxxxxxxxxxxxxxxxxxxxxx</w:t>
      </w:r>
      <w:proofErr w:type="spellEnd"/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</w:pPr>
      <w:r>
        <w:rPr>
          <w:sz w:val="22"/>
          <w:szCs w:val="22"/>
        </w:rPr>
        <w:t xml:space="preserve">Kontaktní osobou dodavatele je: </w:t>
      </w:r>
      <w:proofErr w:type="spellStart"/>
      <w:r w:rsidR="00895126">
        <w:rPr>
          <w:sz w:val="22"/>
          <w:szCs w:val="22"/>
        </w:rPr>
        <w:t>xxxxxxxxxxxxxxxxxxxxxxxxxxxxxxxx</w:t>
      </w:r>
      <w:proofErr w:type="spellEnd"/>
    </w:p>
    <w:p w:rsidR="00E77AC8" w:rsidRDefault="00E77AC8" w:rsidP="00703290">
      <w:pPr>
        <w:jc w:val="both"/>
        <w:rPr>
          <w:sz w:val="22"/>
          <w:szCs w:val="22"/>
        </w:rPr>
      </w:pPr>
    </w:p>
    <w:p w:rsidR="000B01E4" w:rsidRDefault="000B01E4" w:rsidP="003865FC">
      <w:pPr>
        <w:jc w:val="both"/>
        <w:rPr>
          <w:b/>
          <w:bCs/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6758C2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Předpokládaná c</w:t>
      </w:r>
      <w:r w:rsidR="004B2ED7" w:rsidRPr="00776885">
        <w:rPr>
          <w:sz w:val="22"/>
          <w:szCs w:val="22"/>
        </w:rPr>
        <w:t>elková</w:t>
      </w:r>
      <w:r w:rsidR="00BF07E1" w:rsidRPr="00776885">
        <w:rPr>
          <w:sz w:val="22"/>
          <w:szCs w:val="22"/>
        </w:rPr>
        <w:t xml:space="preserve"> cena </w:t>
      </w:r>
      <w:r w:rsidR="004B2ED7" w:rsidRPr="00776885">
        <w:rPr>
          <w:sz w:val="22"/>
          <w:szCs w:val="22"/>
        </w:rPr>
        <w:t xml:space="preserve">činí </w:t>
      </w:r>
      <w:r w:rsidR="00BF07E1" w:rsidRPr="00776885">
        <w:rPr>
          <w:sz w:val="22"/>
          <w:szCs w:val="22"/>
        </w:rPr>
        <w:t>–</w:t>
      </w:r>
      <w:r w:rsidR="00E77AC8">
        <w:rPr>
          <w:sz w:val="22"/>
          <w:szCs w:val="22"/>
        </w:rPr>
        <w:t xml:space="preserve"> 98</w:t>
      </w:r>
      <w:r w:rsidR="00F97CD6">
        <w:rPr>
          <w:sz w:val="22"/>
          <w:szCs w:val="22"/>
        </w:rPr>
        <w:t>.000</w:t>
      </w:r>
      <w:r w:rsidR="009D542C">
        <w:rPr>
          <w:sz w:val="22"/>
          <w:szCs w:val="22"/>
        </w:rPr>
        <w:t>,- Kč bez DPH.</w:t>
      </w:r>
    </w:p>
    <w:p w:rsidR="006758C2" w:rsidRDefault="006758C2" w:rsidP="003865FC">
      <w:pPr>
        <w:jc w:val="both"/>
        <w:rPr>
          <w:sz w:val="22"/>
          <w:szCs w:val="22"/>
        </w:rPr>
      </w:pPr>
    </w:p>
    <w:p w:rsidR="00C014D8" w:rsidRDefault="00C014D8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Hodinová sazba – 500,- Kč bez DPH/hod.</w:t>
      </w:r>
    </w:p>
    <w:p w:rsidR="00B2198F" w:rsidRDefault="00B2198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603927" w:rsidRDefault="00603927" w:rsidP="00EC3C13">
      <w:pPr>
        <w:spacing w:before="240"/>
        <w:jc w:val="both"/>
        <w:rPr>
          <w:sz w:val="22"/>
          <w:szCs w:val="22"/>
          <w:u w:val="single"/>
        </w:rPr>
      </w:pP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a dodavatel výslovně souhlasí s uveřejněním této potvrzené objednávky </w:t>
      </w:r>
      <w:r w:rsidRPr="0046592B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46592B">
        <w:rPr>
          <w:sz w:val="22"/>
          <w:szCs w:val="22"/>
        </w:rPr>
        <w:br/>
        <w:t xml:space="preserve">o uveřejnění v registru smluv automaticky vygenerované správcem registru smluv </w:t>
      </w:r>
      <w:r w:rsidRPr="0046592B">
        <w:rPr>
          <w:sz w:val="22"/>
          <w:szCs w:val="22"/>
        </w:rPr>
        <w:br/>
        <w:t xml:space="preserve">do své datové schránky. </w:t>
      </w:r>
    </w:p>
    <w:p w:rsidR="00E77AC8" w:rsidRPr="0046592B" w:rsidRDefault="00E77AC8" w:rsidP="00E77AC8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E77AC8" w:rsidRDefault="00E77AC8" w:rsidP="00E77AC8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46592B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46592B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0B01E4" w:rsidRPr="00603927" w:rsidRDefault="006D58F5" w:rsidP="00603927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Default="006D58F5" w:rsidP="006D58F5">
      <w:pPr>
        <w:pStyle w:val="Odstavecseseznamem"/>
        <w:tabs>
          <w:tab w:val="left" w:pos="0"/>
        </w:tabs>
        <w:ind w:left="0"/>
        <w:jc w:val="both"/>
      </w:pPr>
      <w: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166475" w:rsidRDefault="00166475" w:rsidP="00BF51C6">
      <w:pPr>
        <w:jc w:val="both"/>
        <w:rPr>
          <w:sz w:val="22"/>
        </w:rPr>
      </w:pPr>
    </w:p>
    <w:p w:rsidR="001C0853" w:rsidRDefault="001C0853" w:rsidP="00BF51C6">
      <w:pPr>
        <w:jc w:val="both"/>
        <w:rPr>
          <w:sz w:val="22"/>
        </w:rPr>
      </w:pPr>
    </w:p>
    <w:p w:rsidR="001C0853" w:rsidRDefault="001C0853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Pr="00A541A0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>Mgr. Adam Švejda</w:t>
      </w:r>
    </w:p>
    <w:p w:rsidR="00BF51C6" w:rsidRPr="00D40247" w:rsidRDefault="00D40247" w:rsidP="00BF51C6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ředitel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7D4929">
        <w:rPr>
          <w:b/>
          <w:sz w:val="22"/>
          <w:szCs w:val="22"/>
        </w:rPr>
        <w:t>vnějších vztahů</w:t>
      </w: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9512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89512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F97CD6">
      <w:t xml:space="preserve">      </w:t>
    </w:r>
    <w:r w:rsidR="00BF07E1">
      <w:t xml:space="preserve"> </w:t>
    </w:r>
    <w:r>
      <w:t xml:space="preserve">č. </w:t>
    </w:r>
    <w:r w:rsidR="00E11018">
      <w:t>ZAK 1</w:t>
    </w:r>
    <w:r w:rsidR="00F97CD6">
      <w:t>8-0121/o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A285B"/>
    <w:multiLevelType w:val="hybridMultilevel"/>
    <w:tmpl w:val="1954F560"/>
    <w:lvl w:ilvl="0" w:tplc="ABB4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B01E4"/>
    <w:rsid w:val="000C0BB1"/>
    <w:rsid w:val="000D0BC1"/>
    <w:rsid w:val="000D0F79"/>
    <w:rsid w:val="00100346"/>
    <w:rsid w:val="00111F3A"/>
    <w:rsid w:val="00146E4E"/>
    <w:rsid w:val="001526C6"/>
    <w:rsid w:val="00162A98"/>
    <w:rsid w:val="001660D0"/>
    <w:rsid w:val="00166475"/>
    <w:rsid w:val="001678AF"/>
    <w:rsid w:val="001C0853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7756C"/>
    <w:rsid w:val="00383932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126E6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3766C"/>
    <w:rsid w:val="00546951"/>
    <w:rsid w:val="00574E81"/>
    <w:rsid w:val="005831D1"/>
    <w:rsid w:val="00587988"/>
    <w:rsid w:val="005C3021"/>
    <w:rsid w:val="00603927"/>
    <w:rsid w:val="00645762"/>
    <w:rsid w:val="006758C2"/>
    <w:rsid w:val="006764E8"/>
    <w:rsid w:val="00681E66"/>
    <w:rsid w:val="006D58F5"/>
    <w:rsid w:val="006E5B7B"/>
    <w:rsid w:val="006F1FA4"/>
    <w:rsid w:val="00703290"/>
    <w:rsid w:val="00723B68"/>
    <w:rsid w:val="00734C18"/>
    <w:rsid w:val="00776885"/>
    <w:rsid w:val="00781E25"/>
    <w:rsid w:val="007B6550"/>
    <w:rsid w:val="007C6F2C"/>
    <w:rsid w:val="007D4929"/>
    <w:rsid w:val="007E4167"/>
    <w:rsid w:val="00812E39"/>
    <w:rsid w:val="00812F25"/>
    <w:rsid w:val="0081706F"/>
    <w:rsid w:val="008322A5"/>
    <w:rsid w:val="00867AFC"/>
    <w:rsid w:val="00874AC6"/>
    <w:rsid w:val="00877649"/>
    <w:rsid w:val="00895126"/>
    <w:rsid w:val="00895717"/>
    <w:rsid w:val="00896D8F"/>
    <w:rsid w:val="008A4094"/>
    <w:rsid w:val="008D4286"/>
    <w:rsid w:val="009026B4"/>
    <w:rsid w:val="009071CF"/>
    <w:rsid w:val="00920D5C"/>
    <w:rsid w:val="00952A7B"/>
    <w:rsid w:val="00974729"/>
    <w:rsid w:val="009D542C"/>
    <w:rsid w:val="009F355E"/>
    <w:rsid w:val="00A262C2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AF48C9"/>
    <w:rsid w:val="00B0539A"/>
    <w:rsid w:val="00B15C7F"/>
    <w:rsid w:val="00B2198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014D8"/>
    <w:rsid w:val="00C11A7D"/>
    <w:rsid w:val="00C16112"/>
    <w:rsid w:val="00C24337"/>
    <w:rsid w:val="00C74116"/>
    <w:rsid w:val="00C92C06"/>
    <w:rsid w:val="00CC28C8"/>
    <w:rsid w:val="00CE3368"/>
    <w:rsid w:val="00CE6B0A"/>
    <w:rsid w:val="00D01EB6"/>
    <w:rsid w:val="00D111E3"/>
    <w:rsid w:val="00D11520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5048F"/>
    <w:rsid w:val="00E60982"/>
    <w:rsid w:val="00E77AC8"/>
    <w:rsid w:val="00E82BE1"/>
    <w:rsid w:val="00E82D27"/>
    <w:rsid w:val="00EC3C13"/>
    <w:rsid w:val="00EF2C9F"/>
    <w:rsid w:val="00F032F1"/>
    <w:rsid w:val="00F045EC"/>
    <w:rsid w:val="00F24F0C"/>
    <w:rsid w:val="00F545E0"/>
    <w:rsid w:val="00F605EC"/>
    <w:rsid w:val="00F97CD6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8EC3-F7F7-4A3B-B141-DD127255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406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10</cp:revision>
  <cp:lastPrinted>2018-04-10T12:18:00Z</cp:lastPrinted>
  <dcterms:created xsi:type="dcterms:W3CDTF">2018-04-05T13:21:00Z</dcterms:created>
  <dcterms:modified xsi:type="dcterms:W3CDTF">2018-04-12T07:06:00Z</dcterms:modified>
</cp:coreProperties>
</file>