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D2E" w:rsidRDefault="00DD04A3">
      <w:pPr>
        <w:tabs>
          <w:tab w:val="center" w:pos="2081"/>
          <w:tab w:val="center" w:pos="4518"/>
        </w:tabs>
        <w:spacing w:after="148" w:line="259" w:lineRule="auto"/>
        <w:ind w:left="0" w:right="0" w:firstLine="0"/>
        <w:jc w:val="left"/>
      </w:pPr>
      <w:r>
        <w:rPr>
          <w:sz w:val="32"/>
        </w:rPr>
        <w:tab/>
      </w:r>
      <w:r>
        <w:rPr>
          <w:noProof/>
        </w:rPr>
        <w:drawing>
          <wp:inline distT="0" distB="0" distL="0" distR="0">
            <wp:extent cx="12194" cy="24387"/>
            <wp:effectExtent l="0" t="0" r="0" b="0"/>
            <wp:docPr id="2541" name="Picture 2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1" name="Picture 254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2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ab/>
        <w:t>RÁMCOVÁ KUPNÍ SMLOUVA</w:t>
      </w:r>
    </w:p>
    <w:p w:rsidR="00FE3D2E" w:rsidRDefault="00DD04A3">
      <w:pPr>
        <w:pStyle w:val="Nadpis1"/>
        <w:spacing w:after="0"/>
        <w:ind w:left="58" w:right="192"/>
      </w:pPr>
      <w:r>
        <w:t>uzavřená dle ustanovení S 1746 odst. 2 zákona</w:t>
      </w:r>
    </w:p>
    <w:p w:rsidR="00FE3D2E" w:rsidRDefault="00DD04A3">
      <w:pPr>
        <w:spacing w:after="0" w:line="259" w:lineRule="auto"/>
        <w:ind w:left="0" w:firstLine="0"/>
        <w:jc w:val="center"/>
      </w:pPr>
      <w:r>
        <w:t>č. 89/2012 Sb., občanský zákoník, ve znění změn a doplňků</w:t>
      </w:r>
    </w:p>
    <w:p w:rsidR="00FE3D2E" w:rsidRDefault="00DD04A3">
      <w:pPr>
        <w:spacing w:after="425" w:line="265" w:lineRule="auto"/>
        <w:ind w:left="44" w:right="182" w:hanging="10"/>
        <w:jc w:val="center"/>
      </w:pPr>
      <w:r>
        <w:rPr>
          <w:sz w:val="22"/>
        </w:rPr>
        <w:t>(rámcová kupní smlouva o dodávce zboží)</w:t>
      </w:r>
    </w:p>
    <w:p w:rsidR="00FE3D2E" w:rsidRDefault="00DD04A3">
      <w:pPr>
        <w:spacing w:after="197" w:line="265" w:lineRule="auto"/>
        <w:ind w:left="44" w:right="173" w:hanging="10"/>
        <w:jc w:val="center"/>
      </w:pPr>
      <w:r>
        <w:rPr>
          <w:sz w:val="22"/>
        </w:rPr>
        <w:t>I. Smluvní strany</w:t>
      </w:r>
    </w:p>
    <w:p w:rsidR="00FE3D2E" w:rsidRDefault="00DD04A3">
      <w:pPr>
        <w:numPr>
          <w:ilvl w:val="0"/>
          <w:numId w:val="1"/>
        </w:numPr>
        <w:spacing w:after="293" w:line="253" w:lineRule="auto"/>
        <w:ind w:right="0" w:hanging="1071"/>
      </w:pPr>
      <w:r>
        <w:rPr>
          <w:sz w:val="20"/>
        </w:rPr>
        <w:t>DiaSorin Czech s.r.o.</w:t>
      </w:r>
    </w:p>
    <w:p w:rsidR="00FE3D2E" w:rsidRDefault="00DD04A3">
      <w:pPr>
        <w:tabs>
          <w:tab w:val="center" w:pos="1193"/>
          <w:tab w:val="center" w:pos="5396"/>
        </w:tabs>
        <w:spacing w:after="8" w:line="253" w:lineRule="auto"/>
        <w:ind w:left="0" w:right="0" w:firstLine="0"/>
        <w:jc w:val="left"/>
      </w:pPr>
      <w:r>
        <w:rPr>
          <w:sz w:val="20"/>
        </w:rPr>
        <w:tab/>
      </w:r>
      <w:r>
        <w:rPr>
          <w:sz w:val="20"/>
        </w:rPr>
        <w:t>Se sídlem:</w:t>
      </w:r>
      <w:r>
        <w:rPr>
          <w:sz w:val="20"/>
        </w:rPr>
        <w:tab/>
        <w:t>K Hájům 2606/2b, psč 155 OO, Praha 5 - Stodůlky</w:t>
      </w:r>
    </w:p>
    <w:p w:rsidR="00FE3D2E" w:rsidRDefault="00DD04A3">
      <w:pPr>
        <w:tabs>
          <w:tab w:val="center" w:pos="1157"/>
          <w:tab w:val="center" w:pos="5178"/>
        </w:tabs>
        <w:spacing w:after="0" w:line="265" w:lineRule="auto"/>
        <w:ind w:left="0" w:right="0" w:firstLine="0"/>
        <w:jc w:val="left"/>
      </w:pPr>
      <w:r>
        <w:rPr>
          <w:sz w:val="16"/>
        </w:rPr>
        <w:tab/>
      </w:r>
      <w:r>
        <w:rPr>
          <w:sz w:val="16"/>
        </w:rPr>
        <w:t>Jednající:</w:t>
      </w:r>
      <w:r>
        <w:rPr>
          <w:sz w:val="16"/>
        </w:rPr>
        <w:tab/>
        <w:t>RNDr. Milan Šrot, ředitel a jednatel společnosti</w:t>
      </w:r>
    </w:p>
    <w:p w:rsidR="00FE3D2E" w:rsidRDefault="00DD04A3">
      <w:pPr>
        <w:spacing w:after="8" w:line="253" w:lineRule="auto"/>
        <w:ind w:left="716" w:right="0" w:hanging="10"/>
      </w:pPr>
      <w:r>
        <w:rPr>
          <w:sz w:val="20"/>
        </w:rPr>
        <w:t>Společnost je zapsána v OR vedeném Městským soudem v Praze, odd. C, vl. 145925</w:t>
      </w:r>
    </w:p>
    <w:p w:rsidR="00FE3D2E" w:rsidRDefault="00DD04A3">
      <w:pPr>
        <w:tabs>
          <w:tab w:val="center" w:pos="828"/>
          <w:tab w:val="center" w:pos="3353"/>
        </w:tabs>
        <w:spacing w:after="0" w:line="259" w:lineRule="auto"/>
        <w:ind w:left="0" w:right="0" w:firstLine="0"/>
        <w:jc w:val="left"/>
      </w:pPr>
      <w:r>
        <w:rPr>
          <w:sz w:val="26"/>
        </w:rPr>
        <w:tab/>
        <w:t>10.</w:t>
      </w:r>
      <w:r>
        <w:rPr>
          <w:sz w:val="26"/>
        </w:rPr>
        <w:tab/>
        <w:t>28497481</w:t>
      </w:r>
    </w:p>
    <w:p w:rsidR="00FE3D2E" w:rsidRDefault="00DD04A3">
      <w:pPr>
        <w:tabs>
          <w:tab w:val="center" w:pos="910"/>
          <w:tab w:val="center" w:pos="3495"/>
        </w:tabs>
        <w:spacing w:after="229" w:line="259" w:lineRule="auto"/>
        <w:ind w:left="0" w:right="0" w:firstLine="0"/>
        <w:jc w:val="left"/>
      </w:pPr>
      <w:r>
        <w:rPr>
          <w:sz w:val="22"/>
        </w:rPr>
        <w:tab/>
      </w:r>
      <w:r>
        <w:rPr>
          <w:sz w:val="22"/>
        </w:rPr>
        <w:t>DIC:</w:t>
      </w:r>
      <w:r>
        <w:rPr>
          <w:sz w:val="22"/>
        </w:rPr>
        <w:tab/>
        <w:t>CZ28497481</w:t>
      </w:r>
    </w:p>
    <w:p w:rsidR="00FE3D2E" w:rsidRDefault="00DD04A3">
      <w:pPr>
        <w:spacing w:after="1261" w:line="265" w:lineRule="auto"/>
        <w:ind w:left="710" w:right="0" w:hanging="10"/>
        <w:jc w:val="left"/>
      </w:pPr>
      <w:r>
        <w:rPr>
          <w:sz w:val="16"/>
        </w:rPr>
        <w:t>(dále též jen jako „prodávající”)</w:t>
      </w:r>
    </w:p>
    <w:tbl>
      <w:tblPr>
        <w:tblStyle w:val="TableGrid"/>
        <w:tblpPr w:vertAnchor="page" w:horzAnchor="page" w:tblpX="1435" w:tblpY="475"/>
        <w:tblOverlap w:val="never"/>
        <w:tblW w:w="2563" w:type="dxa"/>
        <w:tblInd w:w="0" w:type="dxa"/>
        <w:tblCellMar>
          <w:top w:w="47" w:type="dxa"/>
          <w:left w:w="82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2563"/>
      </w:tblGrid>
      <w:tr w:rsidR="00FE3D2E">
        <w:trPr>
          <w:trHeight w:val="298"/>
        </w:trPr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>Zdravotní ústav Ústí nad Labem</w:t>
            </w:r>
          </w:p>
        </w:tc>
      </w:tr>
      <w:tr w:rsidR="00FE3D2E">
        <w:trPr>
          <w:trHeight w:val="305"/>
        </w:trPr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tabs>
                <w:tab w:val="center" w:pos="185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Došlo, č.j.: —</w:t>
            </w:r>
            <w:r>
              <w:rPr>
                <w:sz w:val="16"/>
              </w:rPr>
              <w:tab/>
              <w:t>1</w:t>
            </w:r>
          </w:p>
        </w:tc>
      </w:tr>
      <w:tr w:rsidR="00FE3D2E">
        <w:trPr>
          <w:trHeight w:val="290"/>
        </w:trPr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0" w:right="0" w:firstLine="0"/>
              <w:jc w:val="left"/>
            </w:pPr>
            <w:r>
              <w:t>Pro: Z Idě? It/ ILDÍ/() „19/6</w:t>
            </w:r>
          </w:p>
        </w:tc>
      </w:tr>
    </w:tbl>
    <w:p w:rsidR="00FE3D2E" w:rsidRDefault="00DD04A3">
      <w:pPr>
        <w:numPr>
          <w:ilvl w:val="0"/>
          <w:numId w:val="1"/>
        </w:numPr>
        <w:spacing w:after="8" w:line="253" w:lineRule="auto"/>
        <w:ind w:right="0" w:hanging="107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3682721</wp:posOffset>
            </wp:positionH>
            <wp:positionV relativeFrom="page">
              <wp:posOffset>234729</wp:posOffset>
            </wp:positionV>
            <wp:extent cx="1734659" cy="481652"/>
            <wp:effectExtent l="0" t="0" r="0" b="0"/>
            <wp:wrapTopAndBottom/>
            <wp:docPr id="2635" name="Picture 2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5" name="Picture 26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4659" cy="481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Zdravotní ústav se sídlem v Ústí nad Labem</w:t>
      </w:r>
    </w:p>
    <w:tbl>
      <w:tblPr>
        <w:tblStyle w:val="TableGrid"/>
        <w:tblW w:w="6606" w:type="dxa"/>
        <w:tblInd w:w="701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4892"/>
      </w:tblGrid>
      <w:tr w:rsidR="00FE3D2E">
        <w:trPr>
          <w:trHeight w:val="223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FE3D2E" w:rsidRDefault="00DD04A3">
            <w:pPr>
              <w:spacing w:after="0" w:line="259" w:lineRule="auto"/>
              <w:ind w:left="10" w:right="0" w:firstLine="0"/>
              <w:jc w:val="left"/>
            </w:pPr>
            <w:r>
              <w:t>Se sídlem: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FE3D2E" w:rsidRDefault="00DD04A3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0"/>
              </w:rPr>
              <w:t>Moskevská 1531/ 15, 400 01 Ústí nad Labem</w:t>
            </w:r>
          </w:p>
        </w:tc>
      </w:tr>
      <w:tr w:rsidR="00FE3D2E">
        <w:trPr>
          <w:trHeight w:val="459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FE3D2E" w:rsidRDefault="00DD04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Jednající: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FE3D2E" w:rsidRDefault="00DD04A3">
            <w:pPr>
              <w:spacing w:after="0" w:line="259" w:lineRule="auto"/>
              <w:ind w:right="922" w:hanging="5"/>
              <w:jc w:val="left"/>
            </w:pPr>
            <w:r>
              <w:t xml:space="preserve">Ing. Pavel Bernáth, ředitel </w:t>
            </w:r>
            <w:r>
              <w:t>71009361</w:t>
            </w:r>
          </w:p>
        </w:tc>
      </w:tr>
      <w:tr w:rsidR="00FE3D2E">
        <w:trPr>
          <w:trHeight w:val="187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FE3D2E" w:rsidRDefault="00DD04A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>DIČ: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FE3D2E" w:rsidRDefault="00DD04A3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CZ71009361</w:t>
            </w:r>
          </w:p>
        </w:tc>
      </w:tr>
    </w:tbl>
    <w:p w:rsidR="00FE3D2E" w:rsidRDefault="00DD04A3">
      <w:pPr>
        <w:spacing w:after="1160" w:line="265" w:lineRule="auto"/>
        <w:ind w:left="710" w:right="0" w:hanging="10"/>
        <w:jc w:val="left"/>
      </w:pPr>
      <w:r>
        <w:rPr>
          <w:sz w:val="16"/>
        </w:rPr>
        <w:t>(dále též jen jako „kupující”)</w:t>
      </w:r>
    </w:p>
    <w:p w:rsidR="00FE3D2E" w:rsidRDefault="00DD04A3">
      <w:pPr>
        <w:spacing w:after="257" w:line="265" w:lineRule="auto"/>
        <w:ind w:left="44" w:right="154" w:hanging="10"/>
        <w:jc w:val="center"/>
      </w:pPr>
      <w:r>
        <w:rPr>
          <w:sz w:val="22"/>
        </w:rPr>
        <w:t>Il. Předmět smlouvy</w:t>
      </w:r>
    </w:p>
    <w:p w:rsidR="00FE3D2E" w:rsidRDefault="00DD04A3">
      <w:pPr>
        <w:numPr>
          <w:ilvl w:val="0"/>
          <w:numId w:val="2"/>
        </w:numPr>
        <w:spacing w:after="404" w:line="253" w:lineRule="auto"/>
        <w:ind w:right="5"/>
      </w:pPr>
      <w:r>
        <w:rPr>
          <w:sz w:val="20"/>
        </w:rPr>
        <w:t xml:space="preserve">Předmětem této smlouvy je úprava podmínek dodávek diagnostických zdravotnických prostředků, které jsou podrobněji specifikovány v příloze č. 1 — Katalog a ceník </w:t>
      </w:r>
      <w:r>
        <w:rPr>
          <w:sz w:val="20"/>
        </w:rPr>
        <w:t xml:space="preserve">diagnostických stanovení (dále též jen jako „zdravotnické prostředky” nebo „zboží”) </w:t>
      </w:r>
      <w:r>
        <w:rPr>
          <w:sz w:val="20"/>
        </w:rPr>
        <w:t xml:space="preserve">prodávajícího kupujícímu. Tato smlouva tvoří spolu s ustanoveními občanského zákoníku právní rámec jednotlivých konkrétních kupních smluv, vznikajících při dodávkách zboží </w:t>
      </w:r>
      <w:r>
        <w:rPr>
          <w:sz w:val="20"/>
        </w:rPr>
        <w:t>prodávajícím kupujícímu a upravuje základní podmínky a způsob uzavírání těchto smluv.</w:t>
      </w:r>
    </w:p>
    <w:p w:rsidR="00FE3D2E" w:rsidRDefault="00DD04A3">
      <w:pPr>
        <w:numPr>
          <w:ilvl w:val="0"/>
          <w:numId w:val="2"/>
        </w:numPr>
        <w:spacing w:after="428"/>
        <w:ind w:right="5"/>
      </w:pPr>
      <w:r>
        <w:t>Prodávající se zavazuje na základě této smlouvy dodávat kupujícímu diagnostické zdravotnické prostředky. Jednotlivé dodávky zboží se budou uskutečňovat na základě samosta</w:t>
      </w:r>
      <w:r>
        <w:t>tných smluv, pro které platí podmínky této rámcové smlouvy, nedohodnou-li se strany v jednotlivých případech jinak.</w:t>
      </w:r>
    </w:p>
    <w:p w:rsidR="00FE3D2E" w:rsidRDefault="00DD04A3">
      <w:pPr>
        <w:numPr>
          <w:ilvl w:val="0"/>
          <w:numId w:val="2"/>
        </w:numPr>
        <w:spacing w:after="391"/>
        <w:ind w:right="5"/>
      </w:pPr>
      <w:r>
        <w:t>Kupující se zavazuje objednané zboží odebrat a zaplatit kupní cenu ve sjednané výši způsobem uvedeným dále v této smlouvě.</w:t>
      </w:r>
    </w:p>
    <w:p w:rsidR="00FE3D2E" w:rsidRDefault="00DD04A3">
      <w:pPr>
        <w:numPr>
          <w:ilvl w:val="0"/>
          <w:numId w:val="2"/>
        </w:numPr>
        <w:ind w:right="5"/>
      </w:pPr>
      <w:r>
        <w:lastRenderedPageBreak/>
        <w:t>Podkladem pro jed</w:t>
      </w:r>
      <w:r>
        <w:t>notlivé dodávky zboží je vždy písemná objednávka (zaslaná e-mailem, faxem, poštou) kupujícího s uvedením druhu, množství a místa dodání zboží.</w:t>
      </w:r>
    </w:p>
    <w:p w:rsidR="00FE3D2E" w:rsidRDefault="00DD04A3">
      <w:pPr>
        <w:numPr>
          <w:ilvl w:val="0"/>
          <w:numId w:val="2"/>
        </w:numPr>
        <w:spacing w:after="338"/>
        <w:ind w:right="5"/>
      </w:pPr>
      <w:r>
        <w:t>Okarnžikem obdržení objednávky se rozumí okamžik doručení písemné objednávky nebo objednávky zaslané formou e-mailové zprávy prodávajícímu.</w:t>
      </w:r>
    </w:p>
    <w:p w:rsidR="00FE3D2E" w:rsidRDefault="00DD04A3">
      <w:pPr>
        <w:numPr>
          <w:ilvl w:val="0"/>
          <w:numId w:val="2"/>
        </w:numPr>
        <w:spacing w:after="628"/>
        <w:ind w:right="5"/>
      </w:pPr>
      <w:r>
        <w:t>Kupní smlouva v konkrétním případě vzniká okamžikem doručení potvrzení objednávky kupujícího prodávajícím.</w:t>
      </w:r>
    </w:p>
    <w:p w:rsidR="00FE3D2E" w:rsidRDefault="00DD04A3">
      <w:pPr>
        <w:pStyle w:val="Nadpis1"/>
        <w:spacing w:after="251"/>
        <w:ind w:left="58" w:right="58"/>
      </w:pPr>
      <w:r>
        <w:t>III. Ceno</w:t>
      </w:r>
      <w:r>
        <w:t>vá ujednání</w:t>
      </w:r>
    </w:p>
    <w:p w:rsidR="00FE3D2E" w:rsidRDefault="00DD04A3">
      <w:pPr>
        <w:numPr>
          <w:ilvl w:val="0"/>
          <w:numId w:val="3"/>
        </w:numPr>
        <w:spacing w:after="71"/>
        <w:ind w:right="5" w:hanging="456"/>
      </w:pPr>
      <w:r>
        <w:t>Kupní cena zboží platná ke dni uzavření této smlouvy je uvedena v příloze této smlouvy.</w:t>
      </w:r>
    </w:p>
    <w:p w:rsidR="00FE3D2E" w:rsidRDefault="00DD04A3">
      <w:pPr>
        <w:numPr>
          <w:ilvl w:val="0"/>
          <w:numId w:val="3"/>
        </w:numPr>
        <w:spacing w:after="96" w:line="279" w:lineRule="auto"/>
        <w:ind w:right="5" w:hanging="456"/>
      </w:pPr>
      <w:r>
        <w:t>Kupní cena zboží zahrnuje cenu zboží, cenu dopravy do místa dodání včetně pojištění a celní poplatky.</w:t>
      </w:r>
    </w:p>
    <w:p w:rsidR="00FE3D2E" w:rsidRDefault="00DD04A3">
      <w:pPr>
        <w:numPr>
          <w:ilvl w:val="0"/>
          <w:numId w:val="3"/>
        </w:numPr>
        <w:ind w:right="5" w:hanging="456"/>
      </w:pPr>
      <w:r>
        <w:t>Placení a fakturace:</w:t>
      </w:r>
    </w:p>
    <w:p w:rsidR="00FE3D2E" w:rsidRDefault="00DD04A3">
      <w:pPr>
        <w:numPr>
          <w:ilvl w:val="1"/>
          <w:numId w:val="3"/>
        </w:numPr>
        <w:ind w:right="1551" w:hanging="398"/>
      </w:pPr>
      <w:r>
        <w:t>prodávající vystaví fakturu nejdříve v den dodání a převzetí zboží kupujícím, faktura musí obsahovat:</w:t>
      </w:r>
    </w:p>
    <w:p w:rsidR="00FE3D2E" w:rsidRDefault="00DD04A3">
      <w:pPr>
        <w:spacing w:after="0" w:line="236" w:lineRule="auto"/>
        <w:ind w:left="1431" w:right="2165" w:firstLine="0"/>
        <w:jc w:val="left"/>
      </w:pPr>
      <w:r>
        <w:rPr>
          <w:noProof/>
        </w:rPr>
        <w:drawing>
          <wp:inline distT="0" distB="0" distL="0" distR="0">
            <wp:extent cx="70118" cy="9146"/>
            <wp:effectExtent l="0" t="0" r="0" b="0"/>
            <wp:docPr id="4944" name="Picture 4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4" name="Picture 49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11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označení faktury a její číslo, </w:t>
      </w:r>
      <w:r>
        <w:rPr>
          <w:noProof/>
        </w:rPr>
        <w:drawing>
          <wp:inline distT="0" distB="0" distL="0" distR="0">
            <wp:extent cx="70118" cy="9147"/>
            <wp:effectExtent l="0" t="0" r="0" b="0"/>
            <wp:docPr id="4945" name="Picture 49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5" name="Picture 494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11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název a sídlo prodávajícího a kupujícího, </w:t>
      </w:r>
      <w:r>
        <w:rPr>
          <w:noProof/>
        </w:rPr>
        <w:drawing>
          <wp:inline distT="0" distB="0" distL="0" distR="0">
            <wp:extent cx="70118" cy="12195"/>
            <wp:effectExtent l="0" t="0" r="0" b="0"/>
            <wp:docPr id="4946" name="Picture 4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6" name="Picture 494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11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předmět plnění a datum zdanitelného plnění, </w:t>
      </w:r>
      <w:r>
        <w:rPr>
          <w:noProof/>
        </w:rPr>
        <w:drawing>
          <wp:inline distT="0" distB="0" distL="0" distR="0">
            <wp:extent cx="70118" cy="12195"/>
            <wp:effectExtent l="0" t="0" r="0" b="0"/>
            <wp:docPr id="4947" name="Picture 4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7" name="Picture 494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11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označení bankovního spojení p</w:t>
      </w:r>
      <w:r>
        <w:t xml:space="preserve">rodávajícího, </w:t>
      </w:r>
      <w:r>
        <w:rPr>
          <w:noProof/>
        </w:rPr>
        <w:drawing>
          <wp:inline distT="0" distB="0" distL="0" distR="0">
            <wp:extent cx="70118" cy="9147"/>
            <wp:effectExtent l="0" t="0" r="0" b="0"/>
            <wp:docPr id="4948" name="Picture 4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8" name="Picture 494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11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udání ceny zboží, údaje o dani z přidané hodnoty, </w:t>
      </w:r>
      <w:r>
        <w:rPr>
          <w:noProof/>
        </w:rPr>
        <w:drawing>
          <wp:inline distT="0" distB="0" distL="0" distR="0">
            <wp:extent cx="70118" cy="12196"/>
            <wp:effectExtent l="0" t="0" r="0" b="0"/>
            <wp:docPr id="4949" name="Picture 4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9" name="Picture 494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11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další údaje dle obecně závazných právních předpisů.</w:t>
      </w:r>
    </w:p>
    <w:p w:rsidR="00FE3D2E" w:rsidRDefault="00FE3D2E">
      <w:pPr>
        <w:sectPr w:rsidR="00FE3D2E">
          <w:footerReference w:type="even" r:id="rId15"/>
          <w:footerReference w:type="default" r:id="rId16"/>
          <w:footerReference w:type="first" r:id="rId17"/>
          <w:pgSz w:w="11993" w:h="16898"/>
          <w:pgMar w:top="475" w:right="1392" w:bottom="1976" w:left="1426" w:header="708" w:footer="1306" w:gutter="0"/>
          <w:cols w:space="708"/>
        </w:sectPr>
      </w:pPr>
    </w:p>
    <w:p w:rsidR="00FE3D2E" w:rsidRDefault="00DD04A3">
      <w:pPr>
        <w:numPr>
          <w:ilvl w:val="1"/>
          <w:numId w:val="3"/>
        </w:numPr>
        <w:spacing w:after="234"/>
        <w:ind w:right="1551" w:hanging="398"/>
      </w:pPr>
      <w:r>
        <w:t xml:space="preserve">kupující může do data splatnosti fakturu vrátit: </w:t>
      </w:r>
      <w:r>
        <w:rPr>
          <w:noProof/>
        </w:rPr>
        <w:drawing>
          <wp:inline distT="0" distB="0" distL="0" distR="0">
            <wp:extent cx="70118" cy="9146"/>
            <wp:effectExtent l="0" t="0" r="0" b="0"/>
            <wp:docPr id="4950" name="Picture 4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0" name="Picture 495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11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obsahuje-li nesprávné cenové údaje, </w:t>
      </w:r>
      <w:r>
        <w:rPr>
          <w:noProof/>
        </w:rPr>
        <w:drawing>
          <wp:inline distT="0" distB="0" distL="0" distR="0">
            <wp:extent cx="70118" cy="12195"/>
            <wp:effectExtent l="0" t="0" r="0" b="0"/>
            <wp:docPr id="4951" name="Picture 4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1" name="Picture 495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11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chybí-li ve faktuře některá z náležitostí.</w:t>
      </w:r>
    </w:p>
    <w:p w:rsidR="00FE3D2E" w:rsidRDefault="00DD04A3">
      <w:pPr>
        <w:numPr>
          <w:ilvl w:val="0"/>
          <w:numId w:val="3"/>
        </w:numPr>
        <w:spacing w:after="554" w:line="265" w:lineRule="auto"/>
        <w:ind w:right="5" w:hanging="456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5057652</wp:posOffset>
            </wp:positionH>
            <wp:positionV relativeFrom="page">
              <wp:posOffset>487819</wp:posOffset>
            </wp:positionV>
            <wp:extent cx="512167" cy="207323"/>
            <wp:effectExtent l="0" t="0" r="0" b="0"/>
            <wp:wrapTopAndBottom/>
            <wp:docPr id="5057" name="Picture 5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7" name="Picture 505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2167" cy="207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Lhůta splatnosti: Doba splatnosti jednotlivých faktur za</w:t>
      </w:r>
      <w:r>
        <w:rPr>
          <w:sz w:val="16"/>
        </w:rPr>
        <w:t xml:space="preserve"> jednotlivé dodávky je dohodnuta na 30 dní od data vystavení faktury.</w:t>
      </w:r>
    </w:p>
    <w:p w:rsidR="00FE3D2E" w:rsidRDefault="00DD04A3">
      <w:pPr>
        <w:spacing w:after="240" w:line="265" w:lineRule="auto"/>
        <w:ind w:left="44" w:right="0" w:hanging="10"/>
        <w:jc w:val="center"/>
      </w:pPr>
      <w:r>
        <w:rPr>
          <w:sz w:val="22"/>
        </w:rPr>
        <w:t>IV. Dodací podmínky</w:t>
      </w:r>
    </w:p>
    <w:p w:rsidR="00FE3D2E" w:rsidRDefault="00DD04A3">
      <w:pPr>
        <w:numPr>
          <w:ilvl w:val="0"/>
          <w:numId w:val="4"/>
        </w:numPr>
        <w:spacing w:after="338"/>
        <w:ind w:right="5" w:hanging="442"/>
      </w:pPr>
      <w:r>
        <w:t>Místem dodání zboží je Zdravotní Ústav se sídlem v Ústí nad Labem, pracoviště Na Kabátě 229, 400 11 Ústí nad Labem.</w:t>
      </w:r>
    </w:p>
    <w:p w:rsidR="00FE3D2E" w:rsidRDefault="00DD04A3">
      <w:pPr>
        <w:numPr>
          <w:ilvl w:val="0"/>
          <w:numId w:val="4"/>
        </w:numPr>
        <w:spacing w:after="525"/>
        <w:ind w:right="5" w:hanging="442"/>
      </w:pPr>
      <w:r>
        <w:t xml:space="preserve">Termín dodání: prodávající bude dodávat zboží kupujícímu v pravidelných měsíčních dodávkách, pro reagencie platí, že musí být dodány nejpozději do 14 dnů po obdržení objednávky. Povinnost prodávajícího dodat kupujícímu zboží dle konkrétní kupní smlouvy je </w:t>
      </w:r>
      <w:r>
        <w:t>splněna okarnžikem předání zboží kupujícímu. Kupující je povinen provést řádnou přejímku dodaného zboží a převzetí zboží prodávajícímu potvrdit na dodacím listu. Nebezpečí škody na zboží přechází v takovém případě na kupujícího okamžikem, kdy mu prodávajíc</w:t>
      </w:r>
      <w:r>
        <w:t>í umožní nakládat se zbožím.</w:t>
      </w:r>
    </w:p>
    <w:p w:rsidR="00FE3D2E" w:rsidRDefault="00DD04A3">
      <w:pPr>
        <w:pStyle w:val="Nadpis1"/>
        <w:ind w:left="58" w:right="0"/>
      </w:pPr>
      <w:r>
        <w:t>v. Záruky</w:t>
      </w:r>
    </w:p>
    <w:p w:rsidR="00FE3D2E" w:rsidRDefault="00DD04A3">
      <w:pPr>
        <w:numPr>
          <w:ilvl w:val="0"/>
          <w:numId w:val="5"/>
        </w:numPr>
        <w:spacing w:after="417"/>
        <w:ind w:right="5" w:hanging="456"/>
      </w:pPr>
      <w:r>
        <w:t>Prodávající je povinen dodat zboží v množství, jakosti a provedení podle této smlouvy a konkrétních kupních smluv.</w:t>
      </w:r>
    </w:p>
    <w:p w:rsidR="00FE3D2E" w:rsidRDefault="00DD04A3">
      <w:pPr>
        <w:numPr>
          <w:ilvl w:val="0"/>
          <w:numId w:val="5"/>
        </w:numPr>
        <w:spacing w:after="367"/>
        <w:ind w:right="5" w:hanging="456"/>
      </w:pPr>
      <w:r>
        <w:t>Vady jakosti zjistitelné kupujícím při přejímce zboží a vady množství zboží je nutno reklamovat okamži</w:t>
      </w:r>
      <w:r>
        <w:t>tě při převzetí zboží, jinak nároky z odpovědnosti za vady nevznikají.</w:t>
      </w:r>
    </w:p>
    <w:p w:rsidR="00FE3D2E" w:rsidRDefault="00DD04A3">
      <w:pPr>
        <w:numPr>
          <w:ilvl w:val="0"/>
          <w:numId w:val="5"/>
        </w:numPr>
        <w:spacing w:after="8" w:line="253" w:lineRule="auto"/>
        <w:ind w:right="5" w:hanging="456"/>
      </w:pPr>
      <w:r>
        <w:rPr>
          <w:sz w:val="20"/>
        </w:rPr>
        <w:t>Prodávající se zavazuje dodávat kupujícímu zboží, do konce jehož doby minimální trvanlivosti (expirační doby) zbývají ke dni dodání zboží minimálně tři měsíce. Zboží, u něhož bude ke dn</w:t>
      </w:r>
      <w:r>
        <w:rPr>
          <w:sz w:val="20"/>
        </w:rPr>
        <w:t xml:space="preserve">i jeho dodání kupujícímu </w:t>
      </w:r>
      <w:r>
        <w:rPr>
          <w:sz w:val="20"/>
        </w:rPr>
        <w:lastRenderedPageBreak/>
        <w:t>zbývat do konce expirační doby méně než tři měsíce, může být dodáno pouze po předchozí dohodě a s výslovným souhlasem</w:t>
      </w:r>
    </w:p>
    <w:p w:rsidR="00FE3D2E" w:rsidRDefault="00DD04A3">
      <w:pPr>
        <w:spacing w:after="415"/>
        <w:ind w:left="475" w:right="5" w:firstLine="0"/>
      </w:pPr>
      <w:r>
        <w:t>odpovědného zaměstnance kupujícího. Ujednání tohoto odstavce neplatí pro zboží, jehož celková expirační doba je k</w:t>
      </w:r>
      <w:r>
        <w:t>ratší než čtyři měsíce.</w:t>
      </w:r>
    </w:p>
    <w:p w:rsidR="00FE3D2E" w:rsidRDefault="00DD04A3">
      <w:pPr>
        <w:numPr>
          <w:ilvl w:val="0"/>
          <w:numId w:val="5"/>
        </w:numPr>
        <w:spacing w:after="421"/>
        <w:ind w:right="5" w:hanging="456"/>
      </w:pPr>
      <w:r>
        <w:t>Za předpokladu, že kupující splnil své závazky vyplývající z této smlouvy, poskytuje prodávající kupujícímu záruku za jakost v délce expirační doby uvedené na zboží.</w:t>
      </w:r>
    </w:p>
    <w:p w:rsidR="00FE3D2E" w:rsidRDefault="00DD04A3">
      <w:pPr>
        <w:numPr>
          <w:ilvl w:val="0"/>
          <w:numId w:val="5"/>
        </w:numPr>
        <w:spacing w:after="441"/>
        <w:ind w:right="5" w:hanging="456"/>
      </w:pPr>
      <w:r>
        <w:t>Nároky z odpovědnosti za vady zboží uplatňuje kupující u prodávajícího písemně reklarnačním listem. V reklamačním listě musí být uveden popis vady a jejích projevů a druh nároku kupujícího plynoucí z vad zboží (viz níže). Nároky z odpovědnosti za vady je k</w:t>
      </w:r>
      <w:r>
        <w:t>upující povinen uplatnit bez zbytečného odkladu poté, co kupující vady zjistí.</w:t>
      </w:r>
    </w:p>
    <w:p w:rsidR="00FE3D2E" w:rsidRDefault="00DD04A3">
      <w:pPr>
        <w:numPr>
          <w:ilvl w:val="0"/>
          <w:numId w:val="5"/>
        </w:numPr>
        <w:ind w:right="5" w:hanging="456"/>
      </w:pPr>
      <w:r>
        <w:t>Jestliže má dodané zboží vady, může kupující podle své volby požadovat:</w:t>
      </w:r>
    </w:p>
    <w:p w:rsidR="00FE3D2E" w:rsidRDefault="00DD04A3">
      <w:pPr>
        <w:numPr>
          <w:ilvl w:val="1"/>
          <w:numId w:val="5"/>
        </w:numPr>
        <w:ind w:left="1393" w:right="5" w:hanging="394"/>
      </w:pPr>
      <w:r>
        <w:t>jde-li o vady provedení a jakosti — dodání náhradního zboží za zboží vadné, vadné zboží je povinen vrátit,</w:t>
      </w:r>
    </w:p>
    <w:p w:rsidR="00FE3D2E" w:rsidRDefault="00DD04A3">
      <w:pPr>
        <w:numPr>
          <w:ilvl w:val="1"/>
          <w:numId w:val="5"/>
        </w:numPr>
        <w:ind w:left="1393" w:right="5" w:hanging="394"/>
      </w:pPr>
      <w:r>
        <w:t>jde-li o vady množství — dodání chybějícího množství,</w:t>
      </w:r>
    </w:p>
    <w:p w:rsidR="00FE3D2E" w:rsidRDefault="00DD04A3">
      <w:pPr>
        <w:numPr>
          <w:ilvl w:val="1"/>
          <w:numId w:val="5"/>
        </w:numPr>
        <w:ind w:left="1393" w:right="5" w:hanging="394"/>
      </w:pPr>
      <w:r>
        <w:t>jde-li o vady právní — odstranění těchto vad,</w:t>
      </w:r>
    </w:p>
    <w:p w:rsidR="00FE3D2E" w:rsidRDefault="00DD04A3">
      <w:pPr>
        <w:numPr>
          <w:ilvl w:val="1"/>
          <w:numId w:val="5"/>
        </w:numPr>
        <w:spacing w:after="958" w:line="253" w:lineRule="auto"/>
        <w:ind w:left="1393" w:right="5" w:hanging="394"/>
      </w:pPr>
      <w:r>
        <w:rPr>
          <w:sz w:val="20"/>
        </w:rPr>
        <w:t>přiměřenou slevu z kupní ceny.</w:t>
      </w:r>
    </w:p>
    <w:p w:rsidR="00FE3D2E" w:rsidRDefault="00DD04A3">
      <w:pPr>
        <w:pStyle w:val="Nadpis1"/>
        <w:spacing w:after="172"/>
        <w:ind w:left="0" w:right="125" w:firstLine="0"/>
      </w:pPr>
      <w:r>
        <w:rPr>
          <w:sz w:val="28"/>
        </w:rPr>
        <w:t>Vl. Doba trvání</w:t>
      </w:r>
    </w:p>
    <w:p w:rsidR="00FE3D2E" w:rsidRDefault="00DD04A3">
      <w:pPr>
        <w:spacing w:after="586" w:line="253" w:lineRule="auto"/>
        <w:ind w:left="494" w:right="0" w:hanging="427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7060581</wp:posOffset>
            </wp:positionH>
            <wp:positionV relativeFrom="page">
              <wp:posOffset>8925812</wp:posOffset>
            </wp:positionV>
            <wp:extent cx="9146" cy="24387"/>
            <wp:effectExtent l="0" t="0" r="0" b="0"/>
            <wp:wrapSquare wrapText="bothSides"/>
            <wp:docPr id="7768" name="Picture 7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8" name="Picture 776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24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1</w:t>
      </w:r>
      <w:r>
        <w:rPr>
          <w:sz w:val="20"/>
        </w:rPr>
        <w:t>. Tato Smlouva se uzavírá na dobu neurčitou, pokud nebude ukončena kteroukoli ze Stran podle níže uvedeného článku VII.</w:t>
      </w:r>
    </w:p>
    <w:p w:rsidR="00FE3D2E" w:rsidRDefault="00DD04A3">
      <w:pPr>
        <w:pStyle w:val="Nadpis2"/>
        <w:spacing w:after="277"/>
        <w:ind w:left="58" w:right="168" w:hanging="10"/>
      </w:pPr>
      <w:r>
        <w:rPr>
          <w:sz w:val="20"/>
        </w:rPr>
        <w:t>VII. Ukončení</w:t>
      </w:r>
    </w:p>
    <w:p w:rsidR="00FE3D2E" w:rsidRDefault="00DD04A3">
      <w:pPr>
        <w:numPr>
          <w:ilvl w:val="0"/>
          <w:numId w:val="6"/>
        </w:numPr>
        <w:spacing w:after="403" w:line="253" w:lineRule="auto"/>
        <w:ind w:left="456" w:right="139" w:hanging="442"/>
      </w:pPr>
      <w:r>
        <w:rPr>
          <w:sz w:val="20"/>
        </w:rPr>
        <w:t>Tato smlouva může být jednostranně vypovězena bez uvedení důvodu, doručením písemné výpovědi. Výpovědní doba je tři měsíce</w:t>
      </w:r>
      <w:r>
        <w:rPr>
          <w:sz w:val="20"/>
        </w:rPr>
        <w:t xml:space="preserve"> a počne běžet prvním dnem měsíce následujícího po měsíci, ve kterém byla písemná výpověď doručena druhé straně.</w:t>
      </w:r>
    </w:p>
    <w:p w:rsidR="00FE3D2E" w:rsidRDefault="00DD04A3">
      <w:pPr>
        <w:numPr>
          <w:ilvl w:val="0"/>
          <w:numId w:val="6"/>
        </w:numPr>
        <w:spacing w:after="292"/>
        <w:ind w:left="456" w:right="139" w:hanging="442"/>
      </w:pPr>
      <w:r>
        <w:t>Vedle odstavce VII. 1 je prodávající dále oprávněn, bez ohledu na jakékoli jiné právo nebo právní prostředek, který může mít k dispozici, ukonč</w:t>
      </w:r>
      <w:r>
        <w:t>it tuto Smlouvu (jako celek, nebo její část) odstoupením s okamžitou účinností podaným kupujícímu písemně kdykoliv po dobu trvání této Smlouvy, jestliže:</w:t>
      </w:r>
    </w:p>
    <w:p w:rsidR="00FE3D2E" w:rsidRDefault="00DD04A3">
      <w:pPr>
        <w:numPr>
          <w:ilvl w:val="1"/>
          <w:numId w:val="6"/>
        </w:numPr>
        <w:ind w:left="2334" w:right="125" w:hanging="855"/>
      </w:pPr>
      <w:r>
        <w:t>kupující bude v prodlení s jakoukoli platební povinností stanovenou v této Smlouvě o více jak 30 dnů a nezjedná nápravu do 30 dnů po obdržení písemného upozornění prodávajícího.</w:t>
      </w:r>
    </w:p>
    <w:p w:rsidR="00FE3D2E" w:rsidRDefault="00DD04A3">
      <w:pPr>
        <w:numPr>
          <w:ilvl w:val="1"/>
          <w:numId w:val="6"/>
        </w:numPr>
        <w:spacing w:after="525"/>
        <w:ind w:left="2334" w:right="125" w:hanging="855"/>
      </w:pPr>
      <w:r>
        <w:t>kupující poruší kterékoli ustanovení této Smlouvy a toto porušení nenapraví ke</w:t>
      </w:r>
      <w:r>
        <w:t xml:space="preserve"> spokojenosti prodávajícího do třiceti (30) dnů od obdržení písemného oznámení, v němž jej prodávající vyzve k nápravě.</w:t>
      </w:r>
    </w:p>
    <w:p w:rsidR="00FE3D2E" w:rsidRDefault="00DD04A3">
      <w:pPr>
        <w:numPr>
          <w:ilvl w:val="0"/>
          <w:numId w:val="6"/>
        </w:numPr>
        <w:spacing w:after="65"/>
        <w:ind w:left="456" w:right="139" w:hanging="442"/>
      </w:pPr>
      <w:r>
        <w:t>Vedle odstavce VII. 1 je kupující dále oprávněn, bez ohledu na jakékoli jiné právo nebo právní prostředek, který může mít k dispozici, u</w:t>
      </w:r>
      <w:r>
        <w:t>končit tuto Smlouvu (jako celek, nebo jejl cast) odstoupením s okamžitou účinností podaným prodávajícímu písemně kdykoliv po dobu trvání této Smlouvy, jestliže:</w:t>
      </w:r>
    </w:p>
    <w:p w:rsidR="00FE3D2E" w:rsidRDefault="00DD04A3">
      <w:pPr>
        <w:numPr>
          <w:ilvl w:val="1"/>
          <w:numId w:val="6"/>
        </w:numPr>
        <w:ind w:left="2334" w:right="125" w:hanging="855"/>
      </w:pPr>
      <w:r>
        <w:lastRenderedPageBreak/>
        <w:t xml:space="preserve">prodávající bude v prodlení s jakoukoli dodávkou dle této smlouvy o více jak 15 dnů a nezjedná </w:t>
      </w:r>
      <w:r>
        <w:t>nápravu do 15 dnů po obdržení písemného upozornění kupujícího.</w:t>
      </w:r>
    </w:p>
    <w:p w:rsidR="00FE3D2E" w:rsidRDefault="00DD04A3">
      <w:pPr>
        <w:numPr>
          <w:ilvl w:val="1"/>
          <w:numId w:val="6"/>
        </w:numPr>
        <w:ind w:left="2334" w:right="125" w:hanging="855"/>
      </w:pPr>
      <w:r>
        <w:t>prodávající poruší kterékoli ustanovení této Smlouvy a toto porušení nenapraví ke spokojenosti kupujícího do třiceti (30) dnů od obdržení písemného oznámení, v němž jej kupující vyzve k nápravě</w:t>
      </w:r>
      <w:r>
        <w:t>.</w:t>
      </w:r>
    </w:p>
    <w:p w:rsidR="00FE3D2E" w:rsidRDefault="00DD04A3">
      <w:pPr>
        <w:spacing w:after="275" w:line="259" w:lineRule="auto"/>
        <w:ind w:left="0" w:right="206" w:firstLine="0"/>
        <w:jc w:val="center"/>
      </w:pPr>
      <w:r>
        <w:rPr>
          <w:sz w:val="14"/>
        </w:rPr>
        <w:t>VIII. Sankce</w:t>
      </w:r>
    </w:p>
    <w:p w:rsidR="00FE3D2E" w:rsidRDefault="00DD04A3">
      <w:pPr>
        <w:numPr>
          <w:ilvl w:val="0"/>
          <w:numId w:val="7"/>
        </w:numPr>
        <w:spacing w:after="379" w:line="289" w:lineRule="auto"/>
        <w:ind w:right="139" w:hanging="442"/>
      </w:pPr>
      <w:r>
        <w:t>V případě, že se kupující dostane do prodlení s úhradou faktury, má prodávající právo požadovat smluvní úrok z prodlení ve výši 0,025 % z fakturované částky za každý den prodlení.</w:t>
      </w:r>
    </w:p>
    <w:p w:rsidR="00FE3D2E" w:rsidRDefault="00DD04A3">
      <w:pPr>
        <w:numPr>
          <w:ilvl w:val="0"/>
          <w:numId w:val="7"/>
        </w:numPr>
        <w:spacing w:after="844" w:line="253" w:lineRule="auto"/>
        <w:ind w:right="139" w:hanging="442"/>
      </w:pPr>
      <w:r>
        <w:rPr>
          <w:sz w:val="20"/>
        </w:rPr>
        <w:t>V případě, že se prodávající dostane do prodlení s dodáním zb</w:t>
      </w:r>
      <w:r>
        <w:rPr>
          <w:sz w:val="20"/>
        </w:rPr>
        <w:t>oží, má kupující právo požadovat smluvní úrok z prodlení ve výši 0,025 % z ceny objednaného zboží za každý den prodlení.</w:t>
      </w:r>
    </w:p>
    <w:p w:rsidR="00FE3D2E" w:rsidRDefault="00DD04A3">
      <w:pPr>
        <w:pStyle w:val="Nadpis2"/>
      </w:pPr>
      <w:r>
        <w:t>IX. Všeobecná ujednání</w:t>
      </w:r>
    </w:p>
    <w:p w:rsidR="00FE3D2E" w:rsidRDefault="00DD04A3">
      <w:pPr>
        <w:numPr>
          <w:ilvl w:val="0"/>
          <w:numId w:val="8"/>
        </w:numPr>
        <w:spacing w:after="291" w:line="337" w:lineRule="auto"/>
        <w:ind w:right="5" w:hanging="456"/>
      </w:pPr>
      <w:r>
        <w:t>Tato smlouva nabývá platnosti dnem jejího podpisu oběma smluvními stranami a účinnosti zveřejněním v registru sm</w:t>
      </w:r>
      <w:r>
        <w:t>luv.</w:t>
      </w:r>
    </w:p>
    <w:p w:rsidR="00FE3D2E" w:rsidRDefault="00DD04A3">
      <w:pPr>
        <w:numPr>
          <w:ilvl w:val="0"/>
          <w:numId w:val="8"/>
        </w:numPr>
        <w:spacing w:after="46"/>
        <w:ind w:right="5" w:hanging="456"/>
      </w:pPr>
      <w:r>
        <w:t>Prodávající je srozuměn se skutečností, že kupující je na základě zákona č. 340/2015 Sb., o zvláštních podmínkách účinnosti některých smluv, uveřejňování těchto smluv a o registru smluv (zákon o registru smluv), ve znění pozdějších předpisů, povinen u</w:t>
      </w:r>
      <w:r>
        <w:t>veřejnit tuto smlouvu v registru smluv a že může být dle zákona č. 106/ 1999 Sb., o svobodném přístupu k informacím, ve znění pozdějších předpisů, povinen o této smlouvě a právním vztahu jí založeném zpřístupnit či poskytnout všechny informace, které citov</w:t>
      </w:r>
      <w:r>
        <w:t>ané zákony nebo jiné právní předpisy z uveřejnění nebo zpřístupnění nevylučují.</w:t>
      </w:r>
    </w:p>
    <w:p w:rsidR="00FE3D2E" w:rsidRDefault="00DD04A3">
      <w:pPr>
        <w:numPr>
          <w:ilvl w:val="0"/>
          <w:numId w:val="8"/>
        </w:numPr>
        <w:spacing w:after="350" w:line="331" w:lineRule="auto"/>
        <w:ind w:right="5" w:hanging="456"/>
      </w:pPr>
      <w:r>
        <w:t>Jakékoli změny a dodatky této smlouvy musí být učiněny písemně a schváleny podpisem obou stran. Tyto dodatky se stanou nedílnou součástí této smlouvy.</w:t>
      </w:r>
    </w:p>
    <w:p w:rsidR="00FE3D2E" w:rsidRDefault="00DD04A3">
      <w:pPr>
        <w:numPr>
          <w:ilvl w:val="0"/>
          <w:numId w:val="8"/>
        </w:numPr>
        <w:spacing w:after="265" w:line="265" w:lineRule="auto"/>
        <w:ind w:right="5" w:hanging="456"/>
      </w:pPr>
      <w:r>
        <w:rPr>
          <w:sz w:val="16"/>
        </w:rPr>
        <w:t>Všechny přílohy této smlouvy jsou její nedílnou součástí.</w:t>
      </w:r>
    </w:p>
    <w:p w:rsidR="00FE3D2E" w:rsidRDefault="00DD04A3">
      <w:pPr>
        <w:numPr>
          <w:ilvl w:val="0"/>
          <w:numId w:val="8"/>
        </w:numPr>
        <w:spacing w:after="8" w:line="253" w:lineRule="auto"/>
        <w:ind w:right="5" w:hanging="456"/>
      </w:pPr>
      <w:r>
        <w:rPr>
          <w:sz w:val="20"/>
        </w:rPr>
        <w:t>Tato smlouva bude vyhotovena ve dvou stejnopisech, z nichž každý jednotlivě bude</w:t>
      </w:r>
    </w:p>
    <w:p w:rsidR="00FE3D2E" w:rsidRDefault="00FE3D2E">
      <w:pPr>
        <w:sectPr w:rsidR="00FE3D2E">
          <w:type w:val="continuous"/>
          <w:pgSz w:w="11993" w:h="16898"/>
          <w:pgMar w:top="1468" w:right="1354" w:bottom="1377" w:left="1378" w:header="708" w:footer="708" w:gutter="0"/>
          <w:cols w:space="708"/>
        </w:sectPr>
      </w:pPr>
    </w:p>
    <w:p w:rsidR="00FE3D2E" w:rsidRDefault="00DD04A3">
      <w:pPr>
        <w:spacing w:after="738" w:line="259" w:lineRule="auto"/>
        <w:ind w:left="0" w:right="0" w:firstLine="0"/>
        <w:jc w:val="right"/>
      </w:pPr>
      <w:r>
        <w:t>považován za originál.</w:t>
      </w:r>
    </w:p>
    <w:tbl>
      <w:tblPr>
        <w:tblStyle w:val="TableGrid"/>
        <w:tblpPr w:vertAnchor="text" w:horzAnchor="margin" w:tblpX="130" w:tblpY="1565"/>
        <w:tblOverlap w:val="never"/>
        <w:tblW w:w="10133" w:type="dxa"/>
        <w:tblInd w:w="0" w:type="dxa"/>
        <w:tblCellMar>
          <w:top w:w="34" w:type="dxa"/>
          <w:left w:w="0" w:type="dxa"/>
          <w:bottom w:w="3" w:type="dxa"/>
          <w:right w:w="0" w:type="dxa"/>
        </w:tblCellMar>
        <w:tblLook w:val="04A0" w:firstRow="1" w:lastRow="0" w:firstColumn="1" w:lastColumn="0" w:noHBand="0" w:noVBand="1"/>
      </w:tblPr>
      <w:tblGrid>
        <w:gridCol w:w="4607"/>
        <w:gridCol w:w="3113"/>
        <w:gridCol w:w="1416"/>
        <w:gridCol w:w="997"/>
      </w:tblGrid>
      <w:tr w:rsidR="00FE3D2E">
        <w:trPr>
          <w:trHeight w:val="307"/>
        </w:trPr>
        <w:tc>
          <w:tcPr>
            <w:tcW w:w="46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16"/>
              </w:rPr>
              <w:t>za prodávajícího</w:t>
            </w:r>
          </w:p>
          <w:p w:rsidR="00FE3D2E" w:rsidRDefault="00DD04A3">
            <w:pPr>
              <w:spacing w:after="0" w:line="259" w:lineRule="auto"/>
              <w:ind w:left="62" w:right="0" w:firstLine="0"/>
              <w:jc w:val="left"/>
            </w:pPr>
            <w:r>
              <w:t>Diasorin Czech spol. s.r.o.</w:t>
            </w:r>
          </w:p>
          <w:p w:rsidR="00FE3D2E" w:rsidRDefault="00FE3D2E">
            <w:pPr>
              <w:spacing w:after="441" w:line="259" w:lineRule="auto"/>
              <w:ind w:left="1138" w:right="0" w:firstLine="0"/>
              <w:jc w:val="left"/>
            </w:pPr>
          </w:p>
          <w:p w:rsidR="00FE3D2E" w:rsidRDefault="00DD04A3">
            <w:pPr>
              <w:spacing w:after="0" w:line="301" w:lineRule="auto"/>
              <w:ind w:left="87" w:right="0" w:hanging="5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posOffset>1448091</wp:posOffset>
                  </wp:positionH>
                  <wp:positionV relativeFrom="paragraph">
                    <wp:posOffset>277544</wp:posOffset>
                  </wp:positionV>
                  <wp:extent cx="545702" cy="97550"/>
                  <wp:effectExtent l="0" t="0" r="0" b="0"/>
                  <wp:wrapSquare wrapText="bothSides"/>
                  <wp:docPr id="10652" name="Picture 10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2" name="Picture 1065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702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RNDr. Milan šrot iájúrn Čzech </w:t>
            </w:r>
            <w:r>
              <w:t>2606/2bs.r.o. ředitel a jednatel společriöSti' I &amp;ëha 5 - Stodůlky</w:t>
            </w:r>
          </w:p>
          <w:p w:rsidR="00FE3D2E" w:rsidRDefault="00DD04A3">
            <w:pPr>
              <w:spacing w:after="0" w:line="259" w:lineRule="auto"/>
              <w:ind w:left="2280" w:right="291" w:firstLine="0"/>
              <w:jc w:val="right"/>
            </w:pPr>
            <w:r>
              <w:rPr>
                <w:sz w:val="16"/>
              </w:rPr>
              <w:t>DIČ:CZ28497481</w:t>
            </w:r>
          </w:p>
        </w:tc>
        <w:tc>
          <w:tcPr>
            <w:tcW w:w="31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3D2E" w:rsidRDefault="00DD04A3">
            <w:pPr>
              <w:spacing w:after="0" w:line="259" w:lineRule="auto"/>
              <w:ind w:left="55" w:right="-1008" w:firstLine="0"/>
              <w:jc w:val="left"/>
            </w:pPr>
            <w:r>
              <w:lastRenderedPageBreak/>
              <w:t xml:space="preserve">za </w:t>
            </w:r>
            <w:r>
              <w:t>kupujícího</w:t>
            </w:r>
          </w:p>
          <w:p w:rsidR="00FE3D2E" w:rsidRDefault="00DD04A3">
            <w:pPr>
              <w:spacing w:after="0" w:line="259" w:lineRule="auto"/>
              <w:ind w:left="151" w:right="552" w:hanging="5"/>
              <w:jc w:val="left"/>
            </w:pPr>
            <w:r>
              <w:rPr>
                <w:sz w:val="20"/>
              </w:rPr>
              <w:t>Ing. Pavel Bernáth ředitel</w:t>
            </w:r>
          </w:p>
        </w:tc>
        <w:tc>
          <w:tcPr>
            <w:tcW w:w="141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0" w:right="197" w:firstLine="0"/>
              <w:jc w:val="right"/>
            </w:pPr>
            <w:r>
              <w:rPr>
                <w:sz w:val="24"/>
              </w:rPr>
              <w:t xml:space="preserve">ZDRAVOT </w:t>
            </w:r>
          </w:p>
          <w:p w:rsidR="00FE3D2E" w:rsidRDefault="00DD04A3">
            <w:pPr>
              <w:spacing w:after="0" w:line="259" w:lineRule="auto"/>
              <w:ind w:left="0" w:right="110" w:firstLine="0"/>
              <w:jc w:val="right"/>
            </w:pPr>
            <w:r>
              <w:rPr>
                <w:sz w:val="16"/>
              </w:rPr>
              <w:t xml:space="preserve">se sídlem v Ústí </w:t>
            </w:r>
          </w:p>
          <w:p w:rsidR="00FE3D2E" w:rsidRDefault="00DD04A3">
            <w:pPr>
              <w:spacing w:after="26" w:line="259" w:lineRule="auto"/>
              <w:ind w:left="0" w:right="0" w:firstLine="0"/>
            </w:pPr>
            <w:r>
              <w:rPr>
                <w:sz w:val="16"/>
              </w:rPr>
              <w:lastRenderedPageBreak/>
              <w:t xml:space="preserve">Moskevská 15, 400 01 </w:t>
            </w:r>
          </w:p>
          <w:p w:rsidR="00FE3D2E" w:rsidRDefault="00DD04A3">
            <w:pPr>
              <w:spacing w:after="34" w:line="259" w:lineRule="auto"/>
              <w:ind w:left="0" w:right="158" w:firstLine="0"/>
              <w:jc w:val="right"/>
            </w:pPr>
            <w:r>
              <w:rPr>
                <w:sz w:val="14"/>
              </w:rPr>
              <w:t xml:space="preserve">71009361 Dič </w:t>
            </w:r>
          </w:p>
          <w:p w:rsidR="00FE3D2E" w:rsidRDefault="00DD04A3">
            <w:pPr>
              <w:spacing w:after="0" w:line="259" w:lineRule="auto"/>
              <w:ind w:left="0" w:right="182" w:firstLine="0"/>
              <w:jc w:val="right"/>
            </w:pPr>
            <w:r>
              <w:rPr>
                <w:sz w:val="16"/>
              </w:rPr>
              <w:t>601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E3D2E" w:rsidRDefault="00DD04A3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lastRenderedPageBreak/>
              <w:t>ŮSTAVd Labem</w:t>
            </w:r>
          </w:p>
          <w:p w:rsidR="00FE3D2E" w:rsidRDefault="00DD04A3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16"/>
              </w:rPr>
              <w:t>stí nad Labem</w:t>
            </w:r>
          </w:p>
          <w:p w:rsidR="00FE3D2E" w:rsidRDefault="00DD04A3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14"/>
              </w:rPr>
              <w:t>009361</w:t>
            </w:r>
          </w:p>
        </w:tc>
      </w:tr>
      <w:tr w:rsidR="00FE3D2E">
        <w:trPr>
          <w:trHeight w:val="73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E3D2E" w:rsidRDefault="00FE3D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E3D2E" w:rsidRDefault="00FE3D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E3D2E" w:rsidRDefault="00FE3D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3D2E" w:rsidRDefault="00FE3D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E3D2E">
        <w:trPr>
          <w:trHeight w:val="17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FE3D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3D2E" w:rsidRDefault="00FE3D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E3D2E" w:rsidRDefault="00FE3D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FE3D2E" w:rsidRDefault="00FE3D2E">
            <w:pPr>
              <w:spacing w:after="0" w:line="259" w:lineRule="auto"/>
              <w:ind w:left="43" w:right="0" w:firstLine="0"/>
              <w:jc w:val="left"/>
            </w:pPr>
          </w:p>
        </w:tc>
      </w:tr>
    </w:tbl>
    <w:p w:rsidR="00FE3D2E" w:rsidRDefault="00DD04A3">
      <w:pPr>
        <w:spacing w:after="229" w:line="259" w:lineRule="auto"/>
        <w:ind w:left="-5" w:right="0" w:hanging="10"/>
        <w:jc w:val="left"/>
      </w:pPr>
      <w:r>
        <w:rPr>
          <w:sz w:val="22"/>
        </w:rPr>
        <w:t>V Ústí nad Labem dne</w:t>
      </w:r>
    </w:p>
    <w:p w:rsidR="00FE3D2E" w:rsidRDefault="00FE3D2E">
      <w:pPr>
        <w:sectPr w:rsidR="00FE3D2E">
          <w:type w:val="continuous"/>
          <w:pgSz w:w="11993" w:h="16898"/>
          <w:pgMar w:top="1468" w:right="7888" w:bottom="2129" w:left="1532" w:header="708" w:footer="708" w:gutter="0"/>
          <w:cols w:space="708"/>
        </w:sectPr>
      </w:pPr>
    </w:p>
    <w:p w:rsidR="00FE3D2E" w:rsidRDefault="00DD04A3">
      <w:pPr>
        <w:tabs>
          <w:tab w:val="center" w:pos="5320"/>
          <w:tab w:val="right" w:pos="7150"/>
        </w:tabs>
        <w:spacing w:after="0" w:line="259" w:lineRule="auto"/>
        <w:ind w:left="0" w:right="0" w:firstLine="0"/>
        <w:jc w:val="left"/>
      </w:pPr>
      <w:r>
        <w:rPr>
          <w:sz w:val="28"/>
        </w:rPr>
        <w:tab/>
        <w:t>V Praze dne</w:t>
      </w:r>
      <w:r>
        <w:rPr>
          <w:sz w:val="28"/>
        </w:rPr>
        <w:tab/>
        <w:t>26. 03,</w:t>
      </w:r>
    </w:p>
    <w:tbl>
      <w:tblPr>
        <w:tblStyle w:val="TableGrid"/>
        <w:tblpPr w:vertAnchor="page" w:horzAnchor="page" w:tblpX="1438" w:tblpY="13250"/>
        <w:tblOverlap w:val="never"/>
        <w:tblW w:w="8968" w:type="dxa"/>
        <w:tblInd w:w="0" w:type="dxa"/>
        <w:tblCellMar>
          <w:top w:w="58" w:type="dxa"/>
          <w:left w:w="35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1728"/>
        <w:gridCol w:w="3936"/>
        <w:gridCol w:w="1653"/>
        <w:gridCol w:w="1651"/>
      </w:tblGrid>
      <w:tr w:rsidR="00FE3D2E">
        <w:trPr>
          <w:trHeight w:val="264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319200</w:t>
            </w: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LIAISON XL-Starter Kit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FE3D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Pr="00DD04A3" w:rsidRDefault="00DD04A3">
            <w:pPr>
              <w:spacing w:after="0" w:line="259" w:lineRule="auto"/>
              <w:ind w:left="896" w:right="0" w:firstLine="0"/>
              <w:jc w:val="left"/>
              <w:rPr>
                <w:highlight w:val="black"/>
              </w:rPr>
            </w:pPr>
            <w:r w:rsidRPr="00DD04A3">
              <w:rPr>
                <w:rFonts w:ascii="Calibri" w:eastAsia="Calibri" w:hAnsi="Calibri" w:cs="Calibri"/>
                <w:sz w:val="20"/>
                <w:highlight w:val="black"/>
              </w:rPr>
              <w:t>3 040</w:t>
            </w:r>
          </w:p>
        </w:tc>
      </w:tr>
      <w:tr w:rsidR="00FE3D2E">
        <w:trPr>
          <w:trHeight w:val="259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319100</w:t>
            </w: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LIAISON Wash/System Liquid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FE3D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Pr="00DD04A3" w:rsidRDefault="00DD04A3">
            <w:pPr>
              <w:spacing w:after="0" w:line="259" w:lineRule="auto"/>
              <w:ind w:left="0" w:right="0" w:firstLine="0"/>
              <w:jc w:val="right"/>
              <w:rPr>
                <w:highlight w:val="black"/>
              </w:rPr>
            </w:pPr>
            <w:r w:rsidRPr="00DD04A3">
              <w:rPr>
                <w:rFonts w:ascii="Calibri" w:eastAsia="Calibri" w:hAnsi="Calibri" w:cs="Calibri"/>
                <w:sz w:val="20"/>
                <w:highlight w:val="black"/>
              </w:rPr>
              <w:t>4 621 Kö</w:t>
            </w:r>
          </w:p>
        </w:tc>
      </w:tr>
      <w:tr w:rsidR="00FE3D2E">
        <w:trPr>
          <w:trHeight w:val="262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X0025</w:t>
            </w: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SOLID WASTE BAG (QTY 50)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FE3D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Pr="00DD04A3" w:rsidRDefault="00DD04A3">
            <w:pPr>
              <w:spacing w:after="0" w:line="259" w:lineRule="auto"/>
              <w:ind w:left="901" w:right="0" w:firstLine="0"/>
              <w:jc w:val="left"/>
              <w:rPr>
                <w:highlight w:val="black"/>
              </w:rPr>
            </w:pPr>
            <w:r w:rsidRPr="00DD04A3">
              <w:rPr>
                <w:rFonts w:ascii="Calibri" w:eastAsia="Calibri" w:hAnsi="Calibri" w:cs="Calibri"/>
                <w:sz w:val="20"/>
                <w:highlight w:val="black"/>
              </w:rPr>
              <w:t>2 900</w:t>
            </w:r>
          </w:p>
        </w:tc>
      </w:tr>
      <w:tr w:rsidR="00FE3D2E">
        <w:trPr>
          <w:trHeight w:val="250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X0015 E</w:t>
            </w: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LIAISON XL DiTi (6912 Disposable Tips)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FE3D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Pr="00DD04A3" w:rsidRDefault="00DD04A3">
            <w:pPr>
              <w:spacing w:after="0" w:line="259" w:lineRule="auto"/>
              <w:ind w:left="805" w:right="0" w:firstLine="0"/>
              <w:jc w:val="left"/>
              <w:rPr>
                <w:highlight w:val="black"/>
              </w:rPr>
            </w:pPr>
            <w:r w:rsidRPr="00DD04A3">
              <w:rPr>
                <w:rFonts w:ascii="Calibri" w:eastAsia="Calibri" w:hAnsi="Calibri" w:cs="Calibri"/>
                <w:sz w:val="20"/>
                <w:highlight w:val="black"/>
              </w:rPr>
              <w:t>14 900</w:t>
            </w:r>
          </w:p>
        </w:tc>
      </w:tr>
      <w:tr w:rsidR="00FE3D2E">
        <w:trPr>
          <w:trHeight w:val="256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FE3D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LIAISON XL Cuvettes (7200 Cuvette)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FE3D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Pr="00DD04A3" w:rsidRDefault="00DD04A3">
            <w:pPr>
              <w:spacing w:after="0" w:line="259" w:lineRule="auto"/>
              <w:ind w:left="901" w:right="0" w:firstLine="0"/>
              <w:jc w:val="left"/>
              <w:rPr>
                <w:highlight w:val="black"/>
              </w:rPr>
            </w:pPr>
            <w:r w:rsidRPr="00DD04A3">
              <w:rPr>
                <w:rFonts w:ascii="Calibri" w:eastAsia="Calibri" w:hAnsi="Calibri" w:cs="Calibri"/>
                <w:sz w:val="20"/>
                <w:highlight w:val="black"/>
              </w:rPr>
              <w:t>7 500</w:t>
            </w:r>
          </w:p>
        </w:tc>
      </w:tr>
      <w:tr w:rsidR="00FE3D2E">
        <w:trPr>
          <w:trHeight w:val="264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11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310995</w:t>
            </w: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LIAISON XL Cleaning Tool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FE3D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Pr="00DD04A3" w:rsidRDefault="00DD04A3">
            <w:pPr>
              <w:spacing w:after="0" w:line="259" w:lineRule="auto"/>
              <w:ind w:left="905" w:right="0" w:firstLine="0"/>
              <w:jc w:val="left"/>
              <w:rPr>
                <w:highlight w:val="black"/>
              </w:rPr>
            </w:pPr>
            <w:r w:rsidRPr="00DD04A3">
              <w:rPr>
                <w:rFonts w:ascii="Calibri" w:eastAsia="Calibri" w:hAnsi="Calibri" w:cs="Calibri"/>
                <w:sz w:val="20"/>
                <w:highlight w:val="black"/>
              </w:rPr>
              <w:t>2 300</w:t>
            </w:r>
          </w:p>
        </w:tc>
      </w:tr>
      <w:tr w:rsidR="00FE3D2E">
        <w:trPr>
          <w:trHeight w:val="264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11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X0022</w:t>
            </w: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LIQUI-NOX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FE3D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Pr="00DD04A3" w:rsidRDefault="00DD04A3">
            <w:pPr>
              <w:spacing w:after="0" w:line="259" w:lineRule="auto"/>
              <w:ind w:left="910" w:right="0" w:firstLine="0"/>
              <w:jc w:val="left"/>
              <w:rPr>
                <w:highlight w:val="black"/>
              </w:rPr>
            </w:pPr>
            <w:r w:rsidRPr="00DD04A3">
              <w:rPr>
                <w:rFonts w:ascii="Calibri" w:eastAsia="Calibri" w:hAnsi="Calibri" w:cs="Calibri"/>
                <w:sz w:val="22"/>
                <w:highlight w:val="black"/>
              </w:rPr>
              <w:t>1 180</w:t>
            </w:r>
          </w:p>
        </w:tc>
      </w:tr>
    </w:tbl>
    <w:p w:rsidR="00FE3D2E" w:rsidRDefault="00DD04A3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34"/>
        </w:rPr>
        <w:t>PFiIoha 1: Katalog a cenfk diagnostickYch stanoveni</w:t>
      </w:r>
    </w:p>
    <w:tbl>
      <w:tblPr>
        <w:tblStyle w:val="TableGrid"/>
        <w:tblW w:w="8971" w:type="dxa"/>
        <w:tblInd w:w="0" w:type="dxa"/>
        <w:tblCellMar>
          <w:top w:w="54" w:type="dxa"/>
          <w:left w:w="29" w:type="dxa"/>
          <w:bottom w:w="10" w:type="dxa"/>
          <w:right w:w="23" w:type="dxa"/>
        </w:tblCellMar>
        <w:tblLook w:val="04A0" w:firstRow="1" w:lastRow="0" w:firstColumn="1" w:lastColumn="0" w:noHBand="0" w:noVBand="1"/>
      </w:tblPr>
      <w:tblGrid>
        <w:gridCol w:w="1730"/>
        <w:gridCol w:w="3937"/>
        <w:gridCol w:w="1652"/>
        <w:gridCol w:w="1652"/>
      </w:tblGrid>
      <w:tr w:rsidR="00FE3D2E">
        <w:trPr>
          <w:trHeight w:val="535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3D2E" w:rsidRDefault="00DD04A3">
            <w:pPr>
              <w:spacing w:after="0" w:line="259" w:lineRule="auto"/>
              <w:ind w:left="0" w:right="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K6d zboäi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3D2E" w:rsidRDefault="00DD04A3">
            <w:pPr>
              <w:spacing w:after="0" w:line="259" w:lineRule="auto"/>
              <w:ind w:left="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Nézev zboii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Poäet testü v balenf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449" w:right="0" w:hanging="394"/>
            </w:pPr>
            <w:r>
              <w:rPr>
                <w:rFonts w:ascii="Calibri" w:eastAsia="Calibri" w:hAnsi="Calibri" w:cs="Calibri"/>
                <w:sz w:val="22"/>
              </w:rPr>
              <w:t>Cena KE za balenf bez DPH</w:t>
            </w:r>
          </w:p>
        </w:tc>
      </w:tr>
      <w:tr w:rsidR="00FE3D2E">
        <w:trPr>
          <w:trHeight w:val="368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FE3D2E" w:rsidRDefault="00DD04A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Reagencie</w:t>
            </w:r>
          </w:p>
        </w:tc>
        <w:tc>
          <w:tcPr>
            <w:tcW w:w="39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E3D2E" w:rsidRDefault="00FE3D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E3D2E" w:rsidRDefault="00FE3D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E3D2E" w:rsidRDefault="00FE3D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E3D2E">
        <w:trPr>
          <w:trHeight w:val="261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0" w:right="11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310500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13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LIAISON EBV lgM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100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Pr="00DD04A3" w:rsidRDefault="00DD04A3">
            <w:pPr>
              <w:spacing w:after="0" w:line="259" w:lineRule="auto"/>
              <w:ind w:left="904" w:right="0" w:firstLine="0"/>
              <w:jc w:val="left"/>
              <w:rPr>
                <w:highlight w:val="black"/>
              </w:rPr>
            </w:pPr>
            <w:r w:rsidRPr="00DD04A3">
              <w:rPr>
                <w:rFonts w:ascii="Calibri" w:eastAsia="Calibri" w:hAnsi="Calibri" w:cs="Calibri"/>
                <w:sz w:val="20"/>
                <w:highlight w:val="black"/>
              </w:rPr>
              <w:t>5 655</w:t>
            </w:r>
          </w:p>
        </w:tc>
      </w:tr>
      <w:tr w:rsidR="00FE3D2E">
        <w:trPr>
          <w:trHeight w:val="264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310510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13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LIAISON VCA lgG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100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Pr="00DD04A3" w:rsidRDefault="00DD04A3">
            <w:pPr>
              <w:spacing w:after="0" w:line="259" w:lineRule="auto"/>
              <w:ind w:left="904" w:right="0" w:firstLine="0"/>
              <w:jc w:val="left"/>
              <w:rPr>
                <w:highlight w:val="black"/>
              </w:rPr>
            </w:pPr>
            <w:r w:rsidRPr="00DD04A3">
              <w:rPr>
                <w:rFonts w:ascii="Calibri" w:eastAsia="Calibri" w:hAnsi="Calibri" w:cs="Calibri"/>
                <w:sz w:val="22"/>
                <w:highlight w:val="black"/>
              </w:rPr>
              <w:t>5 510</w:t>
            </w:r>
          </w:p>
        </w:tc>
      </w:tr>
      <w:tr w:rsidR="00FE3D2E">
        <w:trPr>
          <w:trHeight w:val="265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310520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1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LIAISON EBNA lgG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100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Pr="00DD04A3" w:rsidRDefault="00DD04A3">
            <w:pPr>
              <w:spacing w:after="0" w:line="259" w:lineRule="auto"/>
              <w:ind w:left="904" w:right="0" w:firstLine="0"/>
              <w:jc w:val="left"/>
              <w:rPr>
                <w:highlight w:val="black"/>
              </w:rPr>
            </w:pPr>
            <w:r w:rsidRPr="00DD04A3">
              <w:rPr>
                <w:rFonts w:ascii="Calibri" w:eastAsia="Calibri" w:hAnsi="Calibri" w:cs="Calibri"/>
                <w:sz w:val="20"/>
                <w:highlight w:val="black"/>
              </w:rPr>
              <w:t>5 510</w:t>
            </w:r>
          </w:p>
        </w:tc>
      </w:tr>
      <w:tr w:rsidR="00FE3D2E">
        <w:trPr>
          <w:trHeight w:val="260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310540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1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LIAISON EA lgG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1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100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Pr="00DD04A3" w:rsidRDefault="00DD04A3">
            <w:pPr>
              <w:spacing w:after="0" w:line="259" w:lineRule="auto"/>
              <w:ind w:left="909" w:right="0" w:firstLine="0"/>
              <w:jc w:val="left"/>
              <w:rPr>
                <w:highlight w:val="black"/>
              </w:rPr>
            </w:pPr>
            <w:r w:rsidRPr="00DD04A3">
              <w:rPr>
                <w:rFonts w:ascii="Calibri" w:eastAsia="Calibri" w:hAnsi="Calibri" w:cs="Calibri"/>
                <w:sz w:val="22"/>
                <w:highlight w:val="black"/>
              </w:rPr>
              <w:t>6 137</w:t>
            </w:r>
          </w:p>
        </w:tc>
      </w:tr>
      <w:tr w:rsidR="00FE3D2E">
        <w:trPr>
          <w:trHeight w:val="263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3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310600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1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LIAISON 250H VITAMIN D TOTAL ASSAY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1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100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Pr="00DD04A3" w:rsidRDefault="00DD04A3">
            <w:pPr>
              <w:spacing w:after="0" w:line="259" w:lineRule="auto"/>
              <w:ind w:left="813" w:right="0" w:firstLine="0"/>
              <w:jc w:val="left"/>
              <w:rPr>
                <w:highlight w:val="black"/>
              </w:rPr>
            </w:pPr>
            <w:r w:rsidRPr="00DD04A3">
              <w:rPr>
                <w:rFonts w:ascii="Calibri" w:eastAsia="Calibri" w:hAnsi="Calibri" w:cs="Calibri"/>
                <w:sz w:val="20"/>
                <w:highlight w:val="black"/>
              </w:rPr>
              <w:t>10 200</w:t>
            </w:r>
          </w:p>
        </w:tc>
      </w:tr>
      <w:tr w:rsidR="00FE3D2E">
        <w:trPr>
          <w:trHeight w:val="260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3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310720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23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LIAISON Rubella lgG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1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100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Pr="00DD04A3" w:rsidRDefault="00DD04A3">
            <w:pPr>
              <w:spacing w:after="0" w:line="259" w:lineRule="auto"/>
              <w:ind w:left="904" w:right="0" w:firstLine="0"/>
              <w:jc w:val="left"/>
              <w:rPr>
                <w:highlight w:val="black"/>
              </w:rPr>
            </w:pPr>
            <w:r w:rsidRPr="00DD04A3">
              <w:rPr>
                <w:rFonts w:ascii="Calibri" w:eastAsia="Calibri" w:hAnsi="Calibri" w:cs="Calibri"/>
                <w:sz w:val="20"/>
                <w:highlight w:val="black"/>
              </w:rPr>
              <w:t>4 000</w:t>
            </w:r>
          </w:p>
        </w:tc>
      </w:tr>
      <w:tr w:rsidR="00FE3D2E">
        <w:trPr>
          <w:trHeight w:val="262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3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310730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1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LIAISON Rubella lgM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1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100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Pr="00DD04A3" w:rsidRDefault="00DD04A3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r w:rsidRPr="00DD04A3">
              <w:rPr>
                <w:rFonts w:ascii="Calibri" w:eastAsia="Calibri" w:hAnsi="Calibri" w:cs="Calibri"/>
                <w:sz w:val="20"/>
                <w:highlight w:val="black"/>
              </w:rPr>
              <w:t>4 000 Kö</w:t>
            </w:r>
          </w:p>
        </w:tc>
      </w:tr>
      <w:tr w:rsidR="00FE3D2E">
        <w:trPr>
          <w:trHeight w:val="262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8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310850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23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LIAISON VZV lgG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7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100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Pr="00DD04A3" w:rsidRDefault="00DD04A3">
            <w:pPr>
              <w:spacing w:after="0" w:line="259" w:lineRule="auto"/>
              <w:ind w:left="909" w:right="0" w:firstLine="0"/>
              <w:jc w:val="left"/>
              <w:rPr>
                <w:highlight w:val="black"/>
              </w:rPr>
            </w:pPr>
            <w:r w:rsidRPr="00DD04A3">
              <w:rPr>
                <w:rFonts w:ascii="Calibri" w:eastAsia="Calibri" w:hAnsi="Calibri" w:cs="Calibri"/>
                <w:sz w:val="20"/>
                <w:highlight w:val="black"/>
              </w:rPr>
              <w:t>5 960</w:t>
            </w:r>
          </w:p>
        </w:tc>
      </w:tr>
      <w:tr w:rsidR="00FE3D2E">
        <w:trPr>
          <w:trHeight w:val="262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8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310860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23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LIAISON VZV lgM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8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50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Pr="00DD04A3" w:rsidRDefault="00DD04A3">
            <w:pPr>
              <w:spacing w:after="0" w:line="259" w:lineRule="auto"/>
              <w:ind w:left="914" w:right="0" w:firstLine="0"/>
              <w:jc w:val="left"/>
              <w:rPr>
                <w:highlight w:val="black"/>
              </w:rPr>
            </w:pPr>
            <w:r w:rsidRPr="00DD04A3">
              <w:rPr>
                <w:rFonts w:ascii="Calibri" w:eastAsia="Calibri" w:hAnsi="Calibri" w:cs="Calibri"/>
                <w:sz w:val="20"/>
                <w:highlight w:val="black"/>
              </w:rPr>
              <w:t>2 980</w:t>
            </w:r>
          </w:p>
        </w:tc>
      </w:tr>
      <w:tr w:rsidR="00FE3D2E">
        <w:trPr>
          <w:trHeight w:val="261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8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314121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23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LIAISON TPA-M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100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Pr="00DD04A3" w:rsidRDefault="00DD04A3">
            <w:pPr>
              <w:spacing w:after="0" w:line="259" w:lineRule="auto"/>
              <w:ind w:left="909" w:right="0" w:firstLine="0"/>
              <w:jc w:val="left"/>
              <w:rPr>
                <w:highlight w:val="black"/>
              </w:rPr>
            </w:pPr>
            <w:r w:rsidRPr="00DD04A3">
              <w:rPr>
                <w:rFonts w:ascii="Calibri" w:eastAsia="Calibri" w:hAnsi="Calibri" w:cs="Calibri"/>
                <w:sz w:val="20"/>
                <w:highlight w:val="black"/>
              </w:rPr>
              <w:t>8 550</w:t>
            </w:r>
          </w:p>
        </w:tc>
      </w:tr>
      <w:tr w:rsidR="00FE3D2E">
        <w:trPr>
          <w:trHeight w:val="262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13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314701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23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LIAISON Sloo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100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Pr="00DD04A3" w:rsidRDefault="00DD04A3">
            <w:pPr>
              <w:spacing w:after="0" w:line="259" w:lineRule="auto"/>
              <w:ind w:left="818" w:right="0" w:firstLine="0"/>
              <w:jc w:val="left"/>
              <w:rPr>
                <w:highlight w:val="black"/>
              </w:rPr>
            </w:pPr>
            <w:r w:rsidRPr="00DD04A3">
              <w:rPr>
                <w:rFonts w:ascii="Calibri" w:eastAsia="Calibri" w:hAnsi="Calibri" w:cs="Calibri"/>
                <w:sz w:val="20"/>
                <w:highlight w:val="black"/>
              </w:rPr>
              <w:t>17 000</w:t>
            </w:r>
          </w:p>
        </w:tc>
      </w:tr>
      <w:tr w:rsidR="00FE3D2E">
        <w:trPr>
          <w:trHeight w:val="261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13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319117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23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LIAISON Sloo Cal (low/high)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FE3D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Pr="00DD04A3" w:rsidRDefault="00DD04A3">
            <w:pPr>
              <w:spacing w:after="0" w:line="259" w:lineRule="auto"/>
              <w:ind w:left="914" w:right="0" w:firstLine="0"/>
              <w:jc w:val="left"/>
              <w:rPr>
                <w:highlight w:val="black"/>
              </w:rPr>
            </w:pPr>
            <w:r w:rsidRPr="00DD04A3">
              <w:rPr>
                <w:rFonts w:ascii="Calibri" w:eastAsia="Calibri" w:hAnsi="Calibri" w:cs="Calibri"/>
                <w:sz w:val="20"/>
                <w:highlight w:val="black"/>
              </w:rPr>
              <w:t>2 700</w:t>
            </w:r>
          </w:p>
        </w:tc>
      </w:tr>
      <w:tr w:rsidR="00FE3D2E">
        <w:trPr>
          <w:trHeight w:val="260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17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317000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2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LIAISON Biotrin Parvovirus B19 lgG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18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50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Pr="00DD04A3" w:rsidRDefault="00DD04A3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r w:rsidRPr="00DD04A3">
              <w:rPr>
                <w:rFonts w:ascii="Calibri" w:eastAsia="Calibri" w:hAnsi="Calibri" w:cs="Calibri"/>
                <w:sz w:val="20"/>
                <w:highlight w:val="black"/>
              </w:rPr>
              <w:t>4 000 Kö</w:t>
            </w:r>
          </w:p>
        </w:tc>
      </w:tr>
      <w:tr w:rsidR="00FE3D2E">
        <w:trPr>
          <w:trHeight w:val="263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17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317010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2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LIAISON Biotrin Parvovirus B19 lgM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18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50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Pr="00DD04A3" w:rsidRDefault="00DD04A3">
            <w:pPr>
              <w:spacing w:after="0" w:line="259" w:lineRule="auto"/>
              <w:ind w:left="909" w:right="0" w:firstLine="0"/>
              <w:jc w:val="left"/>
              <w:rPr>
                <w:highlight w:val="black"/>
              </w:rPr>
            </w:pPr>
            <w:r w:rsidRPr="00DD04A3">
              <w:rPr>
                <w:rFonts w:ascii="Calibri" w:eastAsia="Calibri" w:hAnsi="Calibri" w:cs="Calibri"/>
                <w:sz w:val="20"/>
                <w:highlight w:val="black"/>
              </w:rPr>
              <w:t>4 000</w:t>
            </w:r>
          </w:p>
        </w:tc>
      </w:tr>
      <w:tr w:rsidR="00FE3D2E">
        <w:trPr>
          <w:trHeight w:val="260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22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318810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2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LIAISON Measles lgG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100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Pr="00DD04A3" w:rsidRDefault="00DD04A3">
            <w:pPr>
              <w:spacing w:after="0" w:line="259" w:lineRule="auto"/>
              <w:ind w:left="914" w:right="0" w:firstLine="0"/>
              <w:jc w:val="left"/>
              <w:rPr>
                <w:highlight w:val="black"/>
              </w:rPr>
            </w:pPr>
            <w:r w:rsidRPr="00DD04A3">
              <w:rPr>
                <w:rFonts w:ascii="Calibri" w:eastAsia="Calibri" w:hAnsi="Calibri" w:cs="Calibri"/>
                <w:sz w:val="20"/>
                <w:highlight w:val="black"/>
              </w:rPr>
              <w:t>5 750</w:t>
            </w:r>
          </w:p>
        </w:tc>
      </w:tr>
      <w:tr w:rsidR="00FE3D2E">
        <w:trPr>
          <w:trHeight w:val="261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22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318820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2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LIAISON Measles lgM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28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50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Pr="00DD04A3" w:rsidRDefault="00DD04A3">
            <w:pPr>
              <w:spacing w:after="0" w:line="259" w:lineRule="auto"/>
              <w:ind w:left="914" w:right="0" w:firstLine="0"/>
              <w:jc w:val="left"/>
              <w:rPr>
                <w:highlight w:val="black"/>
              </w:rPr>
            </w:pPr>
            <w:r w:rsidRPr="00DD04A3">
              <w:rPr>
                <w:rFonts w:ascii="Calibri" w:eastAsia="Calibri" w:hAnsi="Calibri" w:cs="Calibri"/>
                <w:sz w:val="20"/>
                <w:highlight w:val="black"/>
              </w:rPr>
              <w:t>3 500</w:t>
            </w:r>
          </w:p>
        </w:tc>
      </w:tr>
      <w:tr w:rsidR="00FE3D2E">
        <w:trPr>
          <w:trHeight w:val="262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22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318830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28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LIAISON Mumps lgM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28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50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Pr="00DD04A3" w:rsidRDefault="00DD04A3">
            <w:pPr>
              <w:spacing w:after="0" w:line="259" w:lineRule="auto"/>
              <w:ind w:left="0" w:right="0" w:firstLine="0"/>
              <w:jc w:val="right"/>
              <w:rPr>
                <w:highlight w:val="black"/>
              </w:rPr>
            </w:pPr>
            <w:r w:rsidRPr="00DD04A3">
              <w:rPr>
                <w:rFonts w:ascii="Calibri" w:eastAsia="Calibri" w:hAnsi="Calibri" w:cs="Calibri"/>
                <w:sz w:val="20"/>
                <w:highlight w:val="black"/>
              </w:rPr>
              <w:t>4 000 Kö</w:t>
            </w:r>
          </w:p>
        </w:tc>
      </w:tr>
      <w:tr w:rsidR="00FE3D2E">
        <w:trPr>
          <w:trHeight w:val="260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22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318840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32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LIAISON Mumps lgG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100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Pr="00DD04A3" w:rsidRDefault="00DD04A3">
            <w:pPr>
              <w:spacing w:after="0" w:line="259" w:lineRule="auto"/>
              <w:ind w:left="914" w:right="0" w:firstLine="0"/>
              <w:jc w:val="left"/>
              <w:rPr>
                <w:highlight w:val="black"/>
              </w:rPr>
            </w:pPr>
            <w:r w:rsidRPr="00DD04A3">
              <w:rPr>
                <w:rFonts w:ascii="Calibri" w:eastAsia="Calibri" w:hAnsi="Calibri" w:cs="Calibri"/>
                <w:sz w:val="20"/>
                <w:highlight w:val="black"/>
              </w:rPr>
              <w:t>4 500</w:t>
            </w:r>
          </w:p>
        </w:tc>
      </w:tr>
    </w:tbl>
    <w:p w:rsidR="00FE3D2E" w:rsidRDefault="00DD04A3">
      <w:pPr>
        <w:spacing w:after="0" w:line="259" w:lineRule="auto"/>
        <w:ind w:left="62" w:right="0" w:hanging="10"/>
        <w:jc w:val="left"/>
      </w:pPr>
      <w:r>
        <w:rPr>
          <w:rFonts w:ascii="Calibri" w:eastAsia="Calibri" w:hAnsi="Calibri" w:cs="Calibri"/>
          <w:sz w:val="20"/>
        </w:rPr>
        <w:t>Kontroly</w:t>
      </w:r>
    </w:p>
    <w:tbl>
      <w:tblPr>
        <w:tblStyle w:val="TableGrid"/>
        <w:tblW w:w="8971" w:type="dxa"/>
        <w:tblInd w:w="22" w:type="dxa"/>
        <w:tblCellMar>
          <w:top w:w="60" w:type="dxa"/>
          <w:left w:w="40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1728"/>
        <w:gridCol w:w="3938"/>
        <w:gridCol w:w="1651"/>
        <w:gridCol w:w="1654"/>
      </w:tblGrid>
      <w:tr w:rsidR="00FE3D2E">
        <w:trPr>
          <w:trHeight w:val="262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310501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LIAISON Control EBV lgM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FE3D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Pr="00DD04A3" w:rsidRDefault="00DD04A3">
            <w:pPr>
              <w:spacing w:after="0" w:line="259" w:lineRule="auto"/>
              <w:ind w:left="896" w:right="0" w:firstLine="0"/>
              <w:jc w:val="left"/>
              <w:rPr>
                <w:highlight w:val="black"/>
              </w:rPr>
            </w:pPr>
            <w:r w:rsidRPr="00DD04A3">
              <w:rPr>
                <w:rFonts w:ascii="Calibri" w:eastAsia="Calibri" w:hAnsi="Calibri" w:cs="Calibri"/>
                <w:sz w:val="20"/>
                <w:highlight w:val="black"/>
              </w:rPr>
              <w:t>1 710</w:t>
            </w:r>
          </w:p>
        </w:tc>
      </w:tr>
      <w:tr w:rsidR="00FE3D2E">
        <w:trPr>
          <w:trHeight w:val="259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310511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LIAISON Control VCA lgG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FE3D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Pr="00DD04A3" w:rsidRDefault="00DD04A3">
            <w:pPr>
              <w:spacing w:after="0" w:line="259" w:lineRule="auto"/>
              <w:ind w:left="896" w:right="0" w:firstLine="0"/>
              <w:jc w:val="left"/>
              <w:rPr>
                <w:highlight w:val="black"/>
              </w:rPr>
            </w:pPr>
            <w:r w:rsidRPr="00DD04A3">
              <w:rPr>
                <w:rFonts w:ascii="Calibri" w:eastAsia="Calibri" w:hAnsi="Calibri" w:cs="Calibri"/>
                <w:sz w:val="20"/>
                <w:highlight w:val="black"/>
              </w:rPr>
              <w:t>1 710</w:t>
            </w:r>
          </w:p>
        </w:tc>
      </w:tr>
      <w:tr w:rsidR="00FE3D2E">
        <w:trPr>
          <w:trHeight w:val="262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310521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LIAISON Control EBNA lgG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FE3D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Pr="00DD04A3" w:rsidRDefault="00DD04A3">
            <w:pPr>
              <w:spacing w:after="0" w:line="259" w:lineRule="auto"/>
              <w:ind w:left="896" w:right="0" w:firstLine="0"/>
              <w:jc w:val="left"/>
              <w:rPr>
                <w:highlight w:val="black"/>
              </w:rPr>
            </w:pPr>
            <w:r w:rsidRPr="00DD04A3">
              <w:rPr>
                <w:rFonts w:ascii="Calibri" w:eastAsia="Calibri" w:hAnsi="Calibri" w:cs="Calibri"/>
                <w:sz w:val="20"/>
                <w:highlight w:val="black"/>
              </w:rPr>
              <w:t>1 710</w:t>
            </w:r>
          </w:p>
        </w:tc>
      </w:tr>
      <w:tr w:rsidR="00FE3D2E">
        <w:trPr>
          <w:trHeight w:val="262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310541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LIAISON Control EA lgG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FE3D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Pr="00DD04A3" w:rsidRDefault="00DD04A3">
            <w:pPr>
              <w:spacing w:after="0" w:line="259" w:lineRule="auto"/>
              <w:ind w:left="896" w:right="0" w:firstLine="0"/>
              <w:jc w:val="left"/>
              <w:rPr>
                <w:highlight w:val="black"/>
              </w:rPr>
            </w:pPr>
            <w:r w:rsidRPr="00DD04A3">
              <w:rPr>
                <w:rFonts w:ascii="Calibri" w:eastAsia="Calibri" w:hAnsi="Calibri" w:cs="Calibri"/>
                <w:sz w:val="20"/>
                <w:highlight w:val="black"/>
              </w:rPr>
              <w:t>1 710</w:t>
            </w:r>
          </w:p>
        </w:tc>
      </w:tr>
      <w:tr w:rsidR="00FE3D2E">
        <w:trPr>
          <w:trHeight w:val="259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310601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LIAISON 250H VITAMIN D TOTAL CONTROL SE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FE3D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Pr="00DD04A3" w:rsidRDefault="00DD04A3">
            <w:pPr>
              <w:spacing w:after="0" w:line="259" w:lineRule="auto"/>
              <w:ind w:left="896" w:right="0" w:firstLine="0"/>
              <w:jc w:val="left"/>
              <w:rPr>
                <w:highlight w:val="black"/>
              </w:rPr>
            </w:pPr>
            <w:r w:rsidRPr="00DD04A3">
              <w:rPr>
                <w:rFonts w:ascii="Calibri" w:eastAsia="Calibri" w:hAnsi="Calibri" w:cs="Calibri"/>
                <w:sz w:val="20"/>
                <w:highlight w:val="black"/>
              </w:rPr>
              <w:t>1 695</w:t>
            </w:r>
          </w:p>
        </w:tc>
      </w:tr>
      <w:tr w:rsidR="00FE3D2E">
        <w:trPr>
          <w:trHeight w:val="259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310721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LIAISON Control Rubella lgG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FE3D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Pr="00DD04A3" w:rsidRDefault="00DD04A3">
            <w:pPr>
              <w:spacing w:after="0" w:line="259" w:lineRule="auto"/>
              <w:ind w:left="896" w:right="0" w:firstLine="0"/>
              <w:jc w:val="left"/>
              <w:rPr>
                <w:highlight w:val="black"/>
              </w:rPr>
            </w:pPr>
            <w:r w:rsidRPr="00DD04A3">
              <w:rPr>
                <w:rFonts w:ascii="Calibri" w:eastAsia="Calibri" w:hAnsi="Calibri" w:cs="Calibri"/>
                <w:sz w:val="20"/>
                <w:highlight w:val="black"/>
              </w:rPr>
              <w:t>2 000</w:t>
            </w:r>
          </w:p>
        </w:tc>
      </w:tr>
      <w:tr w:rsidR="00FE3D2E">
        <w:trPr>
          <w:trHeight w:val="263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310731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LIAISON Control Rubella lgM (40T)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FE3D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Pr="00DD04A3" w:rsidRDefault="00DD04A3">
            <w:pPr>
              <w:spacing w:after="0" w:line="259" w:lineRule="auto"/>
              <w:ind w:left="896" w:right="0" w:firstLine="0"/>
              <w:jc w:val="left"/>
              <w:rPr>
                <w:highlight w:val="black"/>
              </w:rPr>
            </w:pPr>
            <w:r w:rsidRPr="00DD04A3">
              <w:rPr>
                <w:rFonts w:ascii="Calibri" w:eastAsia="Calibri" w:hAnsi="Calibri" w:cs="Calibri"/>
                <w:sz w:val="20"/>
                <w:highlight w:val="black"/>
              </w:rPr>
              <w:t>2 000</w:t>
            </w:r>
          </w:p>
        </w:tc>
      </w:tr>
      <w:tr w:rsidR="00FE3D2E">
        <w:trPr>
          <w:trHeight w:val="260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310851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LIAISON Control VZV lgG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FE3D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Pr="00DD04A3" w:rsidRDefault="00DD04A3">
            <w:pPr>
              <w:spacing w:after="0" w:line="259" w:lineRule="auto"/>
              <w:ind w:left="901" w:right="0" w:firstLine="0"/>
              <w:jc w:val="left"/>
              <w:rPr>
                <w:highlight w:val="black"/>
              </w:rPr>
            </w:pPr>
            <w:r w:rsidRPr="00DD04A3">
              <w:rPr>
                <w:rFonts w:ascii="Calibri" w:eastAsia="Calibri" w:hAnsi="Calibri" w:cs="Calibri"/>
                <w:sz w:val="20"/>
                <w:highlight w:val="black"/>
              </w:rPr>
              <w:t>1 500</w:t>
            </w:r>
          </w:p>
        </w:tc>
      </w:tr>
      <w:tr w:rsidR="00FE3D2E">
        <w:trPr>
          <w:trHeight w:val="256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310861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LIAISON Control VZV lgM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FE3D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Pr="00DD04A3" w:rsidRDefault="00DD04A3">
            <w:pPr>
              <w:spacing w:after="0" w:line="259" w:lineRule="auto"/>
              <w:ind w:left="901" w:right="0" w:firstLine="0"/>
              <w:jc w:val="left"/>
              <w:rPr>
                <w:highlight w:val="black"/>
              </w:rPr>
            </w:pPr>
            <w:r w:rsidRPr="00DD04A3">
              <w:rPr>
                <w:rFonts w:ascii="Calibri" w:eastAsia="Calibri" w:hAnsi="Calibri" w:cs="Calibri"/>
                <w:sz w:val="20"/>
                <w:highlight w:val="black"/>
              </w:rPr>
              <w:t>1 500</w:t>
            </w:r>
          </w:p>
        </w:tc>
      </w:tr>
      <w:tr w:rsidR="00FE3D2E">
        <w:trPr>
          <w:trHeight w:val="262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319112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LIAISON Sloo Controlle Level 1 &amp; 2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FE3D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Pr="00DD04A3" w:rsidRDefault="00DD04A3">
            <w:pPr>
              <w:spacing w:after="0" w:line="259" w:lineRule="auto"/>
              <w:ind w:left="0" w:right="0" w:firstLine="0"/>
              <w:jc w:val="right"/>
              <w:rPr>
                <w:highlight w:val="black"/>
              </w:rPr>
            </w:pPr>
            <w:r w:rsidRPr="00DD04A3">
              <w:rPr>
                <w:rFonts w:ascii="Calibri" w:eastAsia="Calibri" w:hAnsi="Calibri" w:cs="Calibri"/>
                <w:sz w:val="20"/>
                <w:highlight w:val="black"/>
              </w:rPr>
              <w:t>4 700 Kö</w:t>
            </w:r>
          </w:p>
        </w:tc>
      </w:tr>
      <w:tr w:rsidR="00FE3D2E">
        <w:trPr>
          <w:trHeight w:val="262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10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317001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LIAISON Biotrin Control Parv. B19 lgG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FE3D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Pr="00DD04A3" w:rsidRDefault="00DD04A3">
            <w:pPr>
              <w:spacing w:after="0" w:line="259" w:lineRule="auto"/>
              <w:ind w:left="901" w:right="0" w:firstLine="0"/>
              <w:jc w:val="left"/>
              <w:rPr>
                <w:highlight w:val="black"/>
              </w:rPr>
            </w:pPr>
            <w:r w:rsidRPr="00DD04A3">
              <w:rPr>
                <w:rFonts w:ascii="Calibri" w:eastAsia="Calibri" w:hAnsi="Calibri" w:cs="Calibri"/>
                <w:sz w:val="20"/>
                <w:highlight w:val="black"/>
              </w:rPr>
              <w:t>2 000</w:t>
            </w:r>
          </w:p>
        </w:tc>
      </w:tr>
      <w:tr w:rsidR="00FE3D2E">
        <w:trPr>
          <w:trHeight w:val="262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10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317011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LIAISON Biotrin Control Parv. B19 lgM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FE3D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Pr="00DD04A3" w:rsidRDefault="00DD04A3">
            <w:pPr>
              <w:spacing w:after="0" w:line="259" w:lineRule="auto"/>
              <w:ind w:left="901" w:right="0" w:firstLine="0"/>
              <w:jc w:val="left"/>
              <w:rPr>
                <w:highlight w:val="black"/>
              </w:rPr>
            </w:pPr>
            <w:r w:rsidRPr="00DD04A3">
              <w:rPr>
                <w:rFonts w:ascii="Calibri" w:eastAsia="Calibri" w:hAnsi="Calibri" w:cs="Calibri"/>
                <w:sz w:val="20"/>
                <w:highlight w:val="black"/>
              </w:rPr>
              <w:t>2 000</w:t>
            </w:r>
          </w:p>
        </w:tc>
      </w:tr>
      <w:tr w:rsidR="00FE3D2E">
        <w:trPr>
          <w:trHeight w:val="263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10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318811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LIAISON Control Measles I G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FE3D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Pr="00DD04A3" w:rsidRDefault="00DD04A3">
            <w:pPr>
              <w:spacing w:after="0" w:line="259" w:lineRule="auto"/>
              <w:ind w:left="905" w:right="0" w:firstLine="0"/>
              <w:jc w:val="left"/>
              <w:rPr>
                <w:highlight w:val="black"/>
              </w:rPr>
            </w:pPr>
            <w:r w:rsidRPr="00DD04A3">
              <w:rPr>
                <w:rFonts w:ascii="Calibri" w:eastAsia="Calibri" w:hAnsi="Calibri" w:cs="Calibri"/>
                <w:sz w:val="20"/>
                <w:highlight w:val="black"/>
              </w:rPr>
              <w:t>1 600</w:t>
            </w:r>
          </w:p>
        </w:tc>
      </w:tr>
      <w:tr w:rsidR="00FE3D2E">
        <w:trPr>
          <w:trHeight w:val="263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14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318821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LIAISON Control Measles IgM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FE3D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Pr="00DD04A3" w:rsidRDefault="00DD04A3">
            <w:pPr>
              <w:spacing w:after="0" w:line="259" w:lineRule="auto"/>
              <w:ind w:left="905" w:right="0" w:firstLine="0"/>
              <w:jc w:val="left"/>
              <w:rPr>
                <w:highlight w:val="black"/>
              </w:rPr>
            </w:pPr>
            <w:r w:rsidRPr="00DD04A3">
              <w:rPr>
                <w:rFonts w:ascii="Calibri" w:eastAsia="Calibri" w:hAnsi="Calibri" w:cs="Calibri"/>
                <w:sz w:val="22"/>
                <w:highlight w:val="black"/>
              </w:rPr>
              <w:t>1 800</w:t>
            </w:r>
          </w:p>
        </w:tc>
      </w:tr>
      <w:tr w:rsidR="00FE3D2E">
        <w:trPr>
          <w:trHeight w:val="258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19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318831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LIAISON Control Mumps lgM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FE3D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Pr="00DD04A3" w:rsidRDefault="00DD04A3">
            <w:pPr>
              <w:spacing w:after="0" w:line="259" w:lineRule="auto"/>
              <w:ind w:left="905" w:right="0" w:firstLine="0"/>
              <w:jc w:val="left"/>
              <w:rPr>
                <w:highlight w:val="black"/>
              </w:rPr>
            </w:pPr>
            <w:r w:rsidRPr="00DD04A3">
              <w:rPr>
                <w:rFonts w:ascii="Calibri" w:eastAsia="Calibri" w:hAnsi="Calibri" w:cs="Calibri"/>
                <w:sz w:val="20"/>
                <w:highlight w:val="black"/>
              </w:rPr>
              <w:t>2 000</w:t>
            </w:r>
          </w:p>
        </w:tc>
      </w:tr>
      <w:tr w:rsidR="00FE3D2E">
        <w:trPr>
          <w:trHeight w:val="265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19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318841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19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LIAISON Control Mumps lgG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FE3D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Pr="00DD04A3" w:rsidRDefault="00DD04A3">
            <w:pPr>
              <w:spacing w:after="0" w:line="259" w:lineRule="auto"/>
              <w:ind w:left="905" w:right="0" w:firstLine="0"/>
              <w:jc w:val="left"/>
              <w:rPr>
                <w:highlight w:val="black"/>
              </w:rPr>
            </w:pPr>
            <w:r w:rsidRPr="00DD04A3">
              <w:rPr>
                <w:rFonts w:ascii="Calibri" w:eastAsia="Calibri" w:hAnsi="Calibri" w:cs="Calibri"/>
                <w:sz w:val="20"/>
                <w:highlight w:val="black"/>
              </w:rPr>
              <w:t>2 000</w:t>
            </w:r>
          </w:p>
        </w:tc>
      </w:tr>
      <w:tr w:rsidR="00FE3D2E">
        <w:trPr>
          <w:trHeight w:val="257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29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319107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DD04A3">
            <w:pPr>
              <w:spacing w:after="0" w:line="259" w:lineRule="auto"/>
              <w:ind w:left="19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LIAISON Control TPA - 9226703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Default="00FE3D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D2E" w:rsidRPr="00DD04A3" w:rsidRDefault="00DD04A3">
            <w:pPr>
              <w:spacing w:after="0" w:line="259" w:lineRule="auto"/>
              <w:ind w:left="910" w:right="0" w:firstLine="0"/>
              <w:jc w:val="left"/>
              <w:rPr>
                <w:highlight w:val="black"/>
              </w:rPr>
            </w:pPr>
            <w:r w:rsidRPr="00DD04A3">
              <w:rPr>
                <w:rFonts w:ascii="Calibri" w:eastAsia="Calibri" w:hAnsi="Calibri" w:cs="Calibri"/>
                <w:sz w:val="20"/>
                <w:highlight w:val="black"/>
              </w:rPr>
              <w:t>1 710</w:t>
            </w:r>
            <w:bookmarkStart w:id="0" w:name="_GoBack"/>
            <w:bookmarkEnd w:id="0"/>
          </w:p>
        </w:tc>
      </w:tr>
    </w:tbl>
    <w:p w:rsidR="00FE3D2E" w:rsidRDefault="00DD04A3">
      <w:pPr>
        <w:spacing w:after="0" w:line="259" w:lineRule="auto"/>
        <w:ind w:left="62" w:right="0" w:hanging="10"/>
        <w:jc w:val="left"/>
      </w:pPr>
      <w:r>
        <w:rPr>
          <w:rFonts w:ascii="Calibri" w:eastAsia="Calibri" w:hAnsi="Calibri" w:cs="Calibri"/>
          <w:sz w:val="20"/>
        </w:rPr>
        <w:t>SpotFebni materiål</w:t>
      </w:r>
    </w:p>
    <w:p w:rsidR="00FE3D2E" w:rsidRDefault="00FE3D2E">
      <w:pPr>
        <w:sectPr w:rsidR="00FE3D2E">
          <w:type w:val="continuous"/>
          <w:pgSz w:w="11993" w:h="16898"/>
          <w:pgMar w:top="1489" w:right="3446" w:bottom="1877" w:left="1397" w:header="708" w:footer="708" w:gutter="0"/>
          <w:cols w:space="708"/>
        </w:sectPr>
      </w:pPr>
    </w:p>
    <w:p w:rsidR="00FE3D2E" w:rsidRDefault="00DD04A3">
      <w:pPr>
        <w:spacing w:after="0" w:line="259" w:lineRule="auto"/>
        <w:ind w:left="-1440" w:right="10466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TopAndBottom/>
            <wp:docPr id="35201" name="Picture 35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01" name="Picture 3520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3D2E">
      <w:footerReference w:type="even" r:id="rId24"/>
      <w:footerReference w:type="default" r:id="rId25"/>
      <w:footerReference w:type="first" r:id="rId26"/>
      <w:pgSz w:w="11993" w:h="16898"/>
      <w:pgMar w:top="1440" w:right="1440" w:bottom="1440" w:left="1440" w:header="708" w:footer="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D04A3">
      <w:pPr>
        <w:spacing w:after="0" w:line="240" w:lineRule="auto"/>
      </w:pPr>
      <w:r>
        <w:separator/>
      </w:r>
    </w:p>
  </w:endnote>
  <w:endnote w:type="continuationSeparator" w:id="0">
    <w:p w:rsidR="00000000" w:rsidRDefault="00DD0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D2E" w:rsidRDefault="00DD04A3">
    <w:pPr>
      <w:spacing w:after="0" w:line="259" w:lineRule="auto"/>
      <w:ind w:left="0" w:right="58" w:firstLine="0"/>
      <w:jc w:val="right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z 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D2E" w:rsidRDefault="00DD04A3">
    <w:pPr>
      <w:spacing w:after="0" w:line="259" w:lineRule="auto"/>
      <w:ind w:left="0" w:right="58" w:firstLine="0"/>
      <w:jc w:val="right"/>
    </w:pPr>
    <w:r>
      <w:rPr>
        <w:sz w:val="20"/>
      </w:rPr>
      <w:t xml:space="preserve">Strana </w:t>
    </w:r>
    <w:r>
      <w:fldChar w:fldCharType="begin"/>
    </w:r>
    <w:r>
      <w:instrText xml:space="preserve"> PAGE   \* MERGEFO</w:instrText>
    </w:r>
    <w:r>
      <w:instrText xml:space="preserve">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z 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D2E" w:rsidRDefault="00DD04A3">
    <w:pPr>
      <w:spacing w:after="0" w:line="259" w:lineRule="auto"/>
      <w:ind w:left="0" w:right="58" w:firstLine="0"/>
      <w:jc w:val="right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z 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D2E" w:rsidRDefault="00FE3D2E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D2E" w:rsidRDefault="00FE3D2E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D2E" w:rsidRDefault="00FE3D2E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D04A3">
      <w:pPr>
        <w:spacing w:after="0" w:line="240" w:lineRule="auto"/>
      </w:pPr>
      <w:r>
        <w:separator/>
      </w:r>
    </w:p>
  </w:footnote>
  <w:footnote w:type="continuationSeparator" w:id="0">
    <w:p w:rsidR="00000000" w:rsidRDefault="00DD0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B25"/>
    <w:multiLevelType w:val="hybridMultilevel"/>
    <w:tmpl w:val="92987FF2"/>
    <w:lvl w:ilvl="0" w:tplc="05F601F4">
      <w:start w:val="1"/>
      <w:numFmt w:val="decimal"/>
      <w:lvlText w:val="%1."/>
      <w:lvlJc w:val="left"/>
      <w:pPr>
        <w:ind w:left="4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8A9622">
      <w:start w:val="1"/>
      <w:numFmt w:val="lowerLetter"/>
      <w:lvlText w:val="%2"/>
      <w:lvlJc w:val="left"/>
      <w:pPr>
        <w:ind w:left="10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567264">
      <w:start w:val="1"/>
      <w:numFmt w:val="lowerRoman"/>
      <w:lvlText w:val="%3"/>
      <w:lvlJc w:val="left"/>
      <w:pPr>
        <w:ind w:left="18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F6F570">
      <w:start w:val="1"/>
      <w:numFmt w:val="decimal"/>
      <w:lvlText w:val="%4"/>
      <w:lvlJc w:val="left"/>
      <w:pPr>
        <w:ind w:left="25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6C9760">
      <w:start w:val="1"/>
      <w:numFmt w:val="lowerLetter"/>
      <w:lvlText w:val="%5"/>
      <w:lvlJc w:val="left"/>
      <w:pPr>
        <w:ind w:left="32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CCE61A">
      <w:start w:val="1"/>
      <w:numFmt w:val="lowerRoman"/>
      <w:lvlText w:val="%6"/>
      <w:lvlJc w:val="left"/>
      <w:pPr>
        <w:ind w:left="39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54089E">
      <w:start w:val="1"/>
      <w:numFmt w:val="decimal"/>
      <w:lvlText w:val="%7"/>
      <w:lvlJc w:val="left"/>
      <w:pPr>
        <w:ind w:left="46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AC32BC">
      <w:start w:val="1"/>
      <w:numFmt w:val="lowerLetter"/>
      <w:lvlText w:val="%8"/>
      <w:lvlJc w:val="left"/>
      <w:pPr>
        <w:ind w:left="54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C4">
      <w:start w:val="1"/>
      <w:numFmt w:val="lowerRoman"/>
      <w:lvlText w:val="%9"/>
      <w:lvlJc w:val="left"/>
      <w:pPr>
        <w:ind w:left="61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30521C"/>
    <w:multiLevelType w:val="hybridMultilevel"/>
    <w:tmpl w:val="6A663D4E"/>
    <w:lvl w:ilvl="0" w:tplc="3D36BB64">
      <w:start w:val="1"/>
      <w:numFmt w:val="decimal"/>
      <w:lvlText w:val="%1."/>
      <w:lvlJc w:val="left"/>
      <w:pPr>
        <w:ind w:left="4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98941E">
      <w:start w:val="1"/>
      <w:numFmt w:val="lowerLetter"/>
      <w:lvlText w:val="%2)"/>
      <w:lvlJc w:val="left"/>
      <w:pPr>
        <w:ind w:left="23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EC86BC8">
      <w:start w:val="1"/>
      <w:numFmt w:val="lowerRoman"/>
      <w:lvlText w:val="%3"/>
      <w:lvlJc w:val="left"/>
      <w:pPr>
        <w:ind w:left="25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6A801AA">
      <w:start w:val="1"/>
      <w:numFmt w:val="decimal"/>
      <w:lvlText w:val="%4"/>
      <w:lvlJc w:val="left"/>
      <w:pPr>
        <w:ind w:left="32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422CB8">
      <w:start w:val="1"/>
      <w:numFmt w:val="lowerLetter"/>
      <w:lvlText w:val="%5"/>
      <w:lvlJc w:val="left"/>
      <w:pPr>
        <w:ind w:left="39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452F5CA">
      <w:start w:val="1"/>
      <w:numFmt w:val="lowerRoman"/>
      <w:lvlText w:val="%6"/>
      <w:lvlJc w:val="left"/>
      <w:pPr>
        <w:ind w:left="47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17A0310">
      <w:start w:val="1"/>
      <w:numFmt w:val="decimal"/>
      <w:lvlText w:val="%7"/>
      <w:lvlJc w:val="left"/>
      <w:pPr>
        <w:ind w:left="54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76D430">
      <w:start w:val="1"/>
      <w:numFmt w:val="lowerLetter"/>
      <w:lvlText w:val="%8"/>
      <w:lvlJc w:val="left"/>
      <w:pPr>
        <w:ind w:left="61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33E71BE">
      <w:start w:val="1"/>
      <w:numFmt w:val="lowerRoman"/>
      <w:lvlText w:val="%9"/>
      <w:lvlJc w:val="left"/>
      <w:pPr>
        <w:ind w:left="68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371132"/>
    <w:multiLevelType w:val="hybridMultilevel"/>
    <w:tmpl w:val="C22A8220"/>
    <w:lvl w:ilvl="0" w:tplc="96AA6928">
      <w:start w:val="1"/>
      <w:numFmt w:val="decimal"/>
      <w:lvlText w:val="%1."/>
      <w:lvlJc w:val="left"/>
      <w:pPr>
        <w:ind w:left="4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A60BD8">
      <w:start w:val="1"/>
      <w:numFmt w:val="lowerLetter"/>
      <w:lvlText w:val="%2)"/>
      <w:lvlJc w:val="left"/>
      <w:pPr>
        <w:ind w:left="13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5AB9B4">
      <w:start w:val="1"/>
      <w:numFmt w:val="lowerRoman"/>
      <w:lvlText w:val="%3"/>
      <w:lvlJc w:val="left"/>
      <w:pPr>
        <w:ind w:left="20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AFA91AA">
      <w:start w:val="1"/>
      <w:numFmt w:val="decimal"/>
      <w:lvlText w:val="%4"/>
      <w:lvlJc w:val="left"/>
      <w:pPr>
        <w:ind w:left="27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4AC9F0">
      <w:start w:val="1"/>
      <w:numFmt w:val="lowerLetter"/>
      <w:lvlText w:val="%5"/>
      <w:lvlJc w:val="left"/>
      <w:pPr>
        <w:ind w:left="34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F6F512">
      <w:start w:val="1"/>
      <w:numFmt w:val="lowerRoman"/>
      <w:lvlText w:val="%6"/>
      <w:lvlJc w:val="left"/>
      <w:pPr>
        <w:ind w:left="42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456FA40">
      <w:start w:val="1"/>
      <w:numFmt w:val="decimal"/>
      <w:lvlText w:val="%7"/>
      <w:lvlJc w:val="left"/>
      <w:pPr>
        <w:ind w:left="49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AA38D0">
      <w:start w:val="1"/>
      <w:numFmt w:val="lowerLetter"/>
      <w:lvlText w:val="%8"/>
      <w:lvlJc w:val="left"/>
      <w:pPr>
        <w:ind w:left="56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410267E">
      <w:start w:val="1"/>
      <w:numFmt w:val="lowerRoman"/>
      <w:lvlText w:val="%9"/>
      <w:lvlJc w:val="left"/>
      <w:pPr>
        <w:ind w:left="63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2D1D5F"/>
    <w:multiLevelType w:val="hybridMultilevel"/>
    <w:tmpl w:val="FB5CA3B0"/>
    <w:lvl w:ilvl="0" w:tplc="25E2976C">
      <w:start w:val="1"/>
      <w:numFmt w:val="decimal"/>
      <w:lvlText w:val="%1."/>
      <w:lvlJc w:val="left"/>
      <w:pPr>
        <w:ind w:left="4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D4483A">
      <w:start w:val="1"/>
      <w:numFmt w:val="lowerLetter"/>
      <w:lvlText w:val="%2"/>
      <w:lvlJc w:val="left"/>
      <w:pPr>
        <w:ind w:left="11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026428">
      <w:start w:val="1"/>
      <w:numFmt w:val="lowerRoman"/>
      <w:lvlText w:val="%3"/>
      <w:lvlJc w:val="left"/>
      <w:pPr>
        <w:ind w:left="18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AE8290">
      <w:start w:val="1"/>
      <w:numFmt w:val="decimal"/>
      <w:lvlText w:val="%4"/>
      <w:lvlJc w:val="left"/>
      <w:pPr>
        <w:ind w:left="25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242956">
      <w:start w:val="1"/>
      <w:numFmt w:val="lowerLetter"/>
      <w:lvlText w:val="%5"/>
      <w:lvlJc w:val="left"/>
      <w:pPr>
        <w:ind w:left="33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08DDC2">
      <w:start w:val="1"/>
      <w:numFmt w:val="lowerRoman"/>
      <w:lvlText w:val="%6"/>
      <w:lvlJc w:val="left"/>
      <w:pPr>
        <w:ind w:left="40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DE2548">
      <w:start w:val="1"/>
      <w:numFmt w:val="decimal"/>
      <w:lvlText w:val="%7"/>
      <w:lvlJc w:val="left"/>
      <w:pPr>
        <w:ind w:left="47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257E6">
      <w:start w:val="1"/>
      <w:numFmt w:val="lowerLetter"/>
      <w:lvlText w:val="%8"/>
      <w:lvlJc w:val="left"/>
      <w:pPr>
        <w:ind w:left="54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481F0">
      <w:start w:val="1"/>
      <w:numFmt w:val="lowerRoman"/>
      <w:lvlText w:val="%9"/>
      <w:lvlJc w:val="left"/>
      <w:pPr>
        <w:ind w:left="61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995806"/>
    <w:multiLevelType w:val="hybridMultilevel"/>
    <w:tmpl w:val="60203D84"/>
    <w:lvl w:ilvl="0" w:tplc="60B806AA">
      <w:start w:val="1"/>
      <w:numFmt w:val="decimal"/>
      <w:lvlText w:val="(%1)"/>
      <w:lvlJc w:val="left"/>
      <w:pPr>
        <w:ind w:left="14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442BCE">
      <w:start w:val="1"/>
      <w:numFmt w:val="lowerLetter"/>
      <w:lvlText w:val="%2"/>
      <w:lvlJc w:val="left"/>
      <w:pPr>
        <w:ind w:left="14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FE500E">
      <w:start w:val="1"/>
      <w:numFmt w:val="lowerRoman"/>
      <w:lvlText w:val="%3"/>
      <w:lvlJc w:val="left"/>
      <w:pPr>
        <w:ind w:left="21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CCD2AA">
      <w:start w:val="1"/>
      <w:numFmt w:val="decimal"/>
      <w:lvlText w:val="%4"/>
      <w:lvlJc w:val="left"/>
      <w:pPr>
        <w:ind w:left="28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6B28A58">
      <w:start w:val="1"/>
      <w:numFmt w:val="lowerLetter"/>
      <w:lvlText w:val="%5"/>
      <w:lvlJc w:val="left"/>
      <w:pPr>
        <w:ind w:left="35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D64EC16">
      <w:start w:val="1"/>
      <w:numFmt w:val="lowerRoman"/>
      <w:lvlText w:val="%6"/>
      <w:lvlJc w:val="left"/>
      <w:pPr>
        <w:ind w:left="43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FFECF2E">
      <w:start w:val="1"/>
      <w:numFmt w:val="decimal"/>
      <w:lvlText w:val="%7"/>
      <w:lvlJc w:val="left"/>
      <w:pPr>
        <w:ind w:left="50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405856">
      <w:start w:val="1"/>
      <w:numFmt w:val="lowerLetter"/>
      <w:lvlText w:val="%8"/>
      <w:lvlJc w:val="left"/>
      <w:pPr>
        <w:ind w:left="57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19A0EE4">
      <w:start w:val="1"/>
      <w:numFmt w:val="lowerRoman"/>
      <w:lvlText w:val="%9"/>
      <w:lvlJc w:val="left"/>
      <w:pPr>
        <w:ind w:left="64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9378A1"/>
    <w:multiLevelType w:val="hybridMultilevel"/>
    <w:tmpl w:val="0C4298AA"/>
    <w:lvl w:ilvl="0" w:tplc="4F0000FE">
      <w:start w:val="1"/>
      <w:numFmt w:val="decimal"/>
      <w:lvlText w:val="%1."/>
      <w:lvlJc w:val="left"/>
      <w:pPr>
        <w:ind w:left="4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D4A3E2">
      <w:start w:val="1"/>
      <w:numFmt w:val="lowerLetter"/>
      <w:lvlText w:val="%2)"/>
      <w:lvlJc w:val="left"/>
      <w:pPr>
        <w:ind w:left="14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5DE681C">
      <w:start w:val="1"/>
      <w:numFmt w:val="lowerRoman"/>
      <w:lvlText w:val="%3"/>
      <w:lvlJc w:val="left"/>
      <w:pPr>
        <w:ind w:left="20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32A294">
      <w:start w:val="1"/>
      <w:numFmt w:val="decimal"/>
      <w:lvlText w:val="%4"/>
      <w:lvlJc w:val="left"/>
      <w:pPr>
        <w:ind w:left="27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3C75BE">
      <w:start w:val="1"/>
      <w:numFmt w:val="lowerLetter"/>
      <w:lvlText w:val="%5"/>
      <w:lvlJc w:val="left"/>
      <w:pPr>
        <w:ind w:left="34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A083BC6">
      <w:start w:val="1"/>
      <w:numFmt w:val="lowerRoman"/>
      <w:lvlText w:val="%6"/>
      <w:lvlJc w:val="left"/>
      <w:pPr>
        <w:ind w:left="42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E84976A">
      <w:start w:val="1"/>
      <w:numFmt w:val="decimal"/>
      <w:lvlText w:val="%7"/>
      <w:lvlJc w:val="left"/>
      <w:pPr>
        <w:ind w:left="49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C884A04">
      <w:start w:val="1"/>
      <w:numFmt w:val="lowerLetter"/>
      <w:lvlText w:val="%8"/>
      <w:lvlJc w:val="left"/>
      <w:pPr>
        <w:ind w:left="56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754FF52">
      <w:start w:val="1"/>
      <w:numFmt w:val="lowerRoman"/>
      <w:lvlText w:val="%9"/>
      <w:lvlJc w:val="left"/>
      <w:pPr>
        <w:ind w:left="63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BC097F"/>
    <w:multiLevelType w:val="hybridMultilevel"/>
    <w:tmpl w:val="DB96A294"/>
    <w:lvl w:ilvl="0" w:tplc="9A868336">
      <w:start w:val="1"/>
      <w:numFmt w:val="decimal"/>
      <w:lvlText w:val="%1."/>
      <w:lvlJc w:val="left"/>
      <w:pPr>
        <w:ind w:left="4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F705B60">
      <w:start w:val="1"/>
      <w:numFmt w:val="lowerLetter"/>
      <w:lvlText w:val="%2"/>
      <w:lvlJc w:val="left"/>
      <w:pPr>
        <w:ind w:left="10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44ACB8">
      <w:start w:val="1"/>
      <w:numFmt w:val="lowerRoman"/>
      <w:lvlText w:val="%3"/>
      <w:lvlJc w:val="left"/>
      <w:pPr>
        <w:ind w:left="18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6486232">
      <w:start w:val="1"/>
      <w:numFmt w:val="decimal"/>
      <w:lvlText w:val="%4"/>
      <w:lvlJc w:val="left"/>
      <w:pPr>
        <w:ind w:left="25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08E136">
      <w:start w:val="1"/>
      <w:numFmt w:val="lowerLetter"/>
      <w:lvlText w:val="%5"/>
      <w:lvlJc w:val="left"/>
      <w:pPr>
        <w:ind w:left="32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B8DE62">
      <w:start w:val="1"/>
      <w:numFmt w:val="lowerRoman"/>
      <w:lvlText w:val="%6"/>
      <w:lvlJc w:val="left"/>
      <w:pPr>
        <w:ind w:left="39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1638C4">
      <w:start w:val="1"/>
      <w:numFmt w:val="decimal"/>
      <w:lvlText w:val="%7"/>
      <w:lvlJc w:val="left"/>
      <w:pPr>
        <w:ind w:left="46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24BF24">
      <w:start w:val="1"/>
      <w:numFmt w:val="lowerLetter"/>
      <w:lvlText w:val="%8"/>
      <w:lvlJc w:val="left"/>
      <w:pPr>
        <w:ind w:left="54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04A370">
      <w:start w:val="1"/>
      <w:numFmt w:val="lowerRoman"/>
      <w:lvlText w:val="%9"/>
      <w:lvlJc w:val="left"/>
      <w:pPr>
        <w:ind w:left="61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B64C18"/>
    <w:multiLevelType w:val="hybridMultilevel"/>
    <w:tmpl w:val="D8864208"/>
    <w:lvl w:ilvl="0" w:tplc="AD12F636">
      <w:start w:val="1"/>
      <w:numFmt w:val="decimal"/>
      <w:lvlText w:val="%1."/>
      <w:lvlJc w:val="left"/>
      <w:pPr>
        <w:ind w:left="5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340900">
      <w:start w:val="1"/>
      <w:numFmt w:val="lowerLetter"/>
      <w:lvlText w:val="%2"/>
      <w:lvlJc w:val="left"/>
      <w:pPr>
        <w:ind w:left="10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C85122">
      <w:start w:val="1"/>
      <w:numFmt w:val="lowerRoman"/>
      <w:lvlText w:val="%3"/>
      <w:lvlJc w:val="left"/>
      <w:pPr>
        <w:ind w:left="18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566748">
      <w:start w:val="1"/>
      <w:numFmt w:val="decimal"/>
      <w:lvlText w:val="%4"/>
      <w:lvlJc w:val="left"/>
      <w:pPr>
        <w:ind w:left="25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2637C2">
      <w:start w:val="1"/>
      <w:numFmt w:val="lowerLetter"/>
      <w:lvlText w:val="%5"/>
      <w:lvlJc w:val="left"/>
      <w:pPr>
        <w:ind w:left="32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E41C34">
      <w:start w:val="1"/>
      <w:numFmt w:val="lowerRoman"/>
      <w:lvlText w:val="%6"/>
      <w:lvlJc w:val="left"/>
      <w:pPr>
        <w:ind w:left="39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864EC4">
      <w:start w:val="1"/>
      <w:numFmt w:val="decimal"/>
      <w:lvlText w:val="%7"/>
      <w:lvlJc w:val="left"/>
      <w:pPr>
        <w:ind w:left="46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A0443E">
      <w:start w:val="1"/>
      <w:numFmt w:val="lowerLetter"/>
      <w:lvlText w:val="%8"/>
      <w:lvlJc w:val="left"/>
      <w:pPr>
        <w:ind w:left="54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C8698A">
      <w:start w:val="1"/>
      <w:numFmt w:val="lowerRoman"/>
      <w:lvlText w:val="%9"/>
      <w:lvlJc w:val="left"/>
      <w:pPr>
        <w:ind w:left="61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D2E"/>
    <w:rsid w:val="00DD04A3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6F551-DE58-4890-AADD-B2F5D67D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3" w:line="227" w:lineRule="auto"/>
      <w:ind w:left="461" w:right="144" w:hanging="461"/>
      <w:jc w:val="both"/>
    </w:pPr>
    <w:rPr>
      <w:rFonts w:ascii="Courier New" w:eastAsia="Courier New" w:hAnsi="Courier New" w:cs="Courier New"/>
      <w:color w:val="000000"/>
      <w:sz w:val="18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77"/>
      <w:ind w:left="10" w:right="144" w:hanging="10"/>
      <w:jc w:val="center"/>
      <w:outlineLvl w:val="0"/>
    </w:pPr>
    <w:rPr>
      <w:rFonts w:ascii="Courier New" w:eastAsia="Courier New" w:hAnsi="Courier New" w:cs="Courier New"/>
      <w:color w:val="000000"/>
      <w:sz w:val="2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92"/>
      <w:ind w:right="96"/>
      <w:jc w:val="center"/>
      <w:outlineLvl w:val="1"/>
    </w:pPr>
    <w:rPr>
      <w:rFonts w:ascii="Courier New" w:eastAsia="Courier New" w:hAnsi="Courier New" w:cs="Courier New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ourier New" w:eastAsia="Courier New" w:hAnsi="Courier New" w:cs="Courier New"/>
      <w:color w:val="000000"/>
      <w:sz w:val="26"/>
    </w:rPr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9.jpg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14.jpg"/><Relationship Id="rId28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3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1535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2018-04-12T05:48:00Z</dcterms:created>
  <dcterms:modified xsi:type="dcterms:W3CDTF">2018-04-12T05:48:00Z</dcterms:modified>
</cp:coreProperties>
</file>