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0167B3E6"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sp. zn. </w:t>
      </w:r>
      <w:r w:rsidRPr="003D63B6">
        <w:rPr>
          <w:sz w:val="24"/>
          <w:szCs w:val="24"/>
        </w:rPr>
        <w:t>P</w:t>
      </w:r>
      <w:r w:rsidR="00C721BA" w:rsidRPr="003D63B6">
        <w:rPr>
          <w:sz w:val="24"/>
          <w:szCs w:val="24"/>
        </w:rPr>
        <w:t>r</w:t>
      </w:r>
      <w:r w:rsidR="00C721BA">
        <w:rPr>
          <w:sz w:val="24"/>
          <w:szCs w:val="24"/>
        </w:rPr>
        <w:t xml:space="preserve"> </w:t>
      </w:r>
      <w:r w:rsidRPr="007D23E0">
        <w:rPr>
          <w:sz w:val="24"/>
          <w:szCs w:val="24"/>
        </w:rPr>
        <w:t>1342</w:t>
      </w:r>
    </w:p>
    <w:p w14:paraId="28AD975C" w14:textId="00080036"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F97759">
        <w:rPr>
          <w:sz w:val="24"/>
          <w:szCs w:val="24"/>
        </w:rPr>
        <w:t>XXXXXXXXXXXXXXXXXXXXXXXXXXX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77777777"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t xml:space="preserve">ČNB Praha </w:t>
      </w:r>
    </w:p>
    <w:p w14:paraId="061525E5" w14:textId="6D0D1578"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F97759">
        <w:rPr>
          <w:sz w:val="24"/>
          <w:szCs w:val="24"/>
        </w:rPr>
        <w:t>XXXXXXXXXXXXXXXXXXXXXXXXXXX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06AF0989"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F97759">
        <w:rPr>
          <w:sz w:val="24"/>
          <w:szCs w:val="24"/>
        </w:rPr>
        <w:t>XXXXXXXXXXXXXXXXXXXXXXXXXXX</w:t>
      </w:r>
      <w:r w:rsidRPr="007D23E0">
        <w:rPr>
          <w:sz w:val="24"/>
          <w:szCs w:val="24"/>
        </w:rPr>
        <w:tab/>
      </w:r>
    </w:p>
    <w:p w14:paraId="5F686CEF" w14:textId="2DFC8C3C" w:rsidR="007F6FDF" w:rsidRPr="005C31B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F97759">
        <w:rPr>
          <w:sz w:val="24"/>
          <w:szCs w:val="24"/>
        </w:rPr>
        <w:t>XXXXXXXXXXXXXXXXXXXXXXXXXXX</w:t>
      </w:r>
    </w:p>
    <w:p w14:paraId="14E75D17" w14:textId="6DE92450" w:rsidR="00863539" w:rsidRPr="005C31B0" w:rsidRDefault="00F97759" w:rsidP="00863539">
      <w:pPr>
        <w:pStyle w:val="Odstavecseseznamem"/>
        <w:spacing w:line="100" w:lineRule="atLeast"/>
        <w:ind w:left="2880"/>
        <w:contextualSpacing/>
        <w:rPr>
          <w:sz w:val="24"/>
          <w:szCs w:val="24"/>
        </w:rPr>
      </w:pPr>
      <w:r>
        <w:rPr>
          <w:sz w:val="24"/>
          <w:szCs w:val="24"/>
        </w:rPr>
        <w:t>XXXXXXXXXXXXXXXXXXXXXXXXXXX</w:t>
      </w:r>
      <w:r w:rsidR="00863539" w:rsidRPr="005C31B0">
        <w:rPr>
          <w:sz w:val="24"/>
        </w:rPr>
        <w:t xml:space="preserve"> </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69DB9B91" w14:textId="77777777" w:rsidR="0057101C" w:rsidRPr="00A66240" w:rsidRDefault="0057101C" w:rsidP="0057101C">
      <w:pPr>
        <w:spacing w:line="100" w:lineRule="atLeast"/>
        <w:rPr>
          <w:sz w:val="24"/>
          <w:szCs w:val="24"/>
        </w:rPr>
      </w:pPr>
      <w:r w:rsidRPr="00A66240">
        <w:rPr>
          <w:sz w:val="24"/>
          <w:szCs w:val="24"/>
        </w:rPr>
        <w:t>Zhotovitel:</w:t>
      </w:r>
      <w:r w:rsidRPr="00A66240">
        <w:rPr>
          <w:sz w:val="24"/>
          <w:szCs w:val="24"/>
        </w:rPr>
        <w:tab/>
      </w:r>
      <w:r w:rsidRPr="00A66240">
        <w:rPr>
          <w:sz w:val="24"/>
          <w:szCs w:val="24"/>
        </w:rPr>
        <w:tab/>
      </w:r>
      <w:r w:rsidRPr="00A66240">
        <w:rPr>
          <w:sz w:val="24"/>
          <w:szCs w:val="24"/>
        </w:rPr>
        <w:tab/>
      </w:r>
      <w:r w:rsidRPr="009C122D">
        <w:rPr>
          <w:b/>
          <w:sz w:val="24"/>
          <w:szCs w:val="24"/>
        </w:rPr>
        <w:t>U</w:t>
      </w:r>
      <w:r>
        <w:rPr>
          <w:b/>
          <w:sz w:val="24"/>
          <w:szCs w:val="24"/>
        </w:rPr>
        <w:t>CHYTIL s. r. o.</w:t>
      </w:r>
    </w:p>
    <w:p w14:paraId="28EBFC18" w14:textId="77777777" w:rsidR="0057101C" w:rsidRPr="00A66240" w:rsidRDefault="0057101C" w:rsidP="0057101C">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Pr>
          <w:sz w:val="24"/>
          <w:szCs w:val="24"/>
        </w:rPr>
        <w:t>K Terminálu 7, 619 00 Brno</w:t>
      </w:r>
    </w:p>
    <w:p w14:paraId="0032FD37" w14:textId="77777777" w:rsidR="0057101C" w:rsidRPr="00A66240" w:rsidRDefault="0057101C" w:rsidP="0057101C">
      <w:pPr>
        <w:spacing w:line="100" w:lineRule="atLeast"/>
        <w:ind w:left="2127" w:hanging="2127"/>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r>
      <w:r>
        <w:rPr>
          <w:sz w:val="24"/>
          <w:szCs w:val="24"/>
        </w:rPr>
        <w:t>v OR u KS v Brně, oddíl C, vložka 17690</w:t>
      </w:r>
    </w:p>
    <w:p w14:paraId="3F28C7F3" w14:textId="73E8E1D5" w:rsidR="0057101C" w:rsidRPr="00A66240" w:rsidRDefault="0057101C" w:rsidP="0057101C">
      <w:pPr>
        <w:spacing w:line="100" w:lineRule="atLeast"/>
        <w:rPr>
          <w:sz w:val="24"/>
          <w:szCs w:val="24"/>
        </w:rPr>
      </w:pPr>
      <w:r>
        <w:rPr>
          <w:sz w:val="24"/>
          <w:szCs w:val="24"/>
        </w:rPr>
        <w:t>Zastoupený</w:t>
      </w:r>
      <w:r w:rsidRPr="00A66240">
        <w:rPr>
          <w:sz w:val="24"/>
          <w:szCs w:val="24"/>
        </w:rPr>
        <w:t>:</w:t>
      </w:r>
      <w:r w:rsidRPr="00A66240">
        <w:rPr>
          <w:sz w:val="24"/>
          <w:szCs w:val="24"/>
        </w:rPr>
        <w:tab/>
      </w:r>
      <w:r w:rsidRPr="00A66240">
        <w:rPr>
          <w:sz w:val="24"/>
          <w:szCs w:val="24"/>
        </w:rPr>
        <w:tab/>
      </w:r>
      <w:r>
        <w:rPr>
          <w:sz w:val="24"/>
          <w:szCs w:val="24"/>
        </w:rPr>
        <w:t xml:space="preserve">            </w:t>
      </w:r>
      <w:r w:rsidR="00F97759">
        <w:rPr>
          <w:sz w:val="24"/>
          <w:szCs w:val="24"/>
        </w:rPr>
        <w:t>XXXXXXXXXXXXXXXXXXXXXXXXXXX</w:t>
      </w:r>
    </w:p>
    <w:p w14:paraId="1A8B8C20" w14:textId="77777777" w:rsidR="0057101C" w:rsidRPr="00A66240" w:rsidRDefault="0057101C" w:rsidP="0057101C">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Pr>
          <w:sz w:val="24"/>
          <w:szCs w:val="24"/>
        </w:rPr>
        <w:t>60734078</w:t>
      </w:r>
    </w:p>
    <w:p w14:paraId="768B5720" w14:textId="77777777" w:rsidR="0057101C" w:rsidRPr="00A66240" w:rsidRDefault="0057101C" w:rsidP="0057101C">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Pr>
          <w:sz w:val="24"/>
          <w:szCs w:val="24"/>
        </w:rPr>
        <w:t>CZ60734078</w:t>
      </w:r>
    </w:p>
    <w:p w14:paraId="5A9A6CF8" w14:textId="77777777" w:rsidR="0057101C" w:rsidRPr="00A66240" w:rsidRDefault="0057101C" w:rsidP="0057101C">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r>
        <w:rPr>
          <w:sz w:val="24"/>
          <w:szCs w:val="24"/>
        </w:rPr>
        <w:t>q3tciba</w:t>
      </w:r>
    </w:p>
    <w:p w14:paraId="71535A28" w14:textId="77777777" w:rsidR="0057101C" w:rsidRPr="00A66240" w:rsidRDefault="0057101C" w:rsidP="0057101C">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r>
        <w:rPr>
          <w:sz w:val="24"/>
          <w:szCs w:val="24"/>
        </w:rPr>
        <w:t>KB Brno, a. s.</w:t>
      </w:r>
    </w:p>
    <w:p w14:paraId="25B6983C" w14:textId="1468E863" w:rsidR="0057101C" w:rsidRPr="00A66240" w:rsidRDefault="0057101C" w:rsidP="0057101C">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F97759">
        <w:rPr>
          <w:sz w:val="24"/>
          <w:szCs w:val="24"/>
        </w:rPr>
        <w:t>XXXXXXXXXXXXXXXXXXXXXXXXXXX</w:t>
      </w:r>
    </w:p>
    <w:p w14:paraId="68FAF842" w14:textId="77777777" w:rsidR="0057101C" w:rsidRPr="00A66240" w:rsidRDefault="0057101C" w:rsidP="0057101C">
      <w:pPr>
        <w:spacing w:line="100" w:lineRule="atLeast"/>
        <w:jc w:val="both"/>
        <w:rPr>
          <w:sz w:val="24"/>
          <w:szCs w:val="24"/>
        </w:rPr>
      </w:pPr>
      <w:r w:rsidRPr="00A66240">
        <w:rPr>
          <w:sz w:val="24"/>
          <w:szCs w:val="24"/>
        </w:rPr>
        <w:t>Oprávněn jednat:</w:t>
      </w:r>
      <w:r w:rsidRPr="00A66240">
        <w:rPr>
          <w:sz w:val="24"/>
          <w:szCs w:val="24"/>
        </w:rPr>
        <w:tab/>
      </w:r>
    </w:p>
    <w:p w14:paraId="7F12DA3C" w14:textId="1CFAE3A3" w:rsidR="0057101C" w:rsidRPr="002A3430" w:rsidRDefault="0057101C" w:rsidP="0057101C">
      <w:pPr>
        <w:pStyle w:val="Odstavecseseznamem"/>
        <w:numPr>
          <w:ilvl w:val="0"/>
          <w:numId w:val="46"/>
        </w:numPr>
        <w:spacing w:line="100" w:lineRule="atLeast"/>
        <w:contextualSpacing/>
        <w:jc w:val="both"/>
        <w:rPr>
          <w:sz w:val="24"/>
          <w:szCs w:val="24"/>
        </w:rPr>
      </w:pPr>
      <w:r w:rsidRPr="002A3430">
        <w:rPr>
          <w:sz w:val="24"/>
          <w:szCs w:val="24"/>
        </w:rPr>
        <w:t>ve věcech smluvních:</w:t>
      </w:r>
      <w:r w:rsidRPr="002A3430">
        <w:rPr>
          <w:sz w:val="24"/>
          <w:szCs w:val="24"/>
        </w:rPr>
        <w:tab/>
      </w:r>
      <w:r w:rsidR="00F97759">
        <w:rPr>
          <w:sz w:val="24"/>
          <w:szCs w:val="24"/>
        </w:rPr>
        <w:t>XXXXXXXXXXXXXXXXXXXXXXXXXXX</w:t>
      </w:r>
      <w:r w:rsidRPr="002A3430">
        <w:rPr>
          <w:sz w:val="24"/>
          <w:szCs w:val="24"/>
        </w:rPr>
        <w:tab/>
      </w:r>
    </w:p>
    <w:p w14:paraId="114B1CF8" w14:textId="55780A9F" w:rsidR="0057101C" w:rsidRPr="002A3430" w:rsidRDefault="0057101C" w:rsidP="0057101C">
      <w:pPr>
        <w:pStyle w:val="Odstavecseseznamem"/>
        <w:numPr>
          <w:ilvl w:val="0"/>
          <w:numId w:val="46"/>
        </w:numPr>
        <w:spacing w:line="100" w:lineRule="atLeast"/>
        <w:contextualSpacing/>
        <w:rPr>
          <w:sz w:val="24"/>
          <w:szCs w:val="24"/>
        </w:rPr>
      </w:pPr>
      <w:r w:rsidRPr="002A3430">
        <w:rPr>
          <w:sz w:val="24"/>
          <w:szCs w:val="24"/>
        </w:rPr>
        <w:t>ve věcech technických:</w:t>
      </w:r>
      <w:r w:rsidRPr="002A3430">
        <w:rPr>
          <w:sz w:val="24"/>
          <w:szCs w:val="24"/>
        </w:rPr>
        <w:tab/>
      </w:r>
      <w:r w:rsidR="00F97759">
        <w:rPr>
          <w:sz w:val="24"/>
          <w:szCs w:val="24"/>
        </w:rPr>
        <w:t>XXXXXXXXXXXXXXXXXXXXXXXXXXX</w:t>
      </w:r>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F42193">
      <w:pPr>
        <w:pStyle w:val="Nadpis2"/>
        <w:keepNext w:val="0"/>
        <w:spacing w:before="0" w:after="24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2FFB72F3"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závazek zhotovitele zpracovat prováděcí projektovou dokumentaci na akci</w:t>
      </w:r>
      <w:r w:rsidRPr="00C43B98">
        <w:rPr>
          <w:sz w:val="24"/>
          <w:szCs w:val="24"/>
        </w:rPr>
        <w:t xml:space="preserve"> </w:t>
      </w:r>
      <w:r w:rsidR="00A0703D">
        <w:rPr>
          <w:sz w:val="24"/>
          <w:szCs w:val="24"/>
        </w:rPr>
        <w:t>„</w:t>
      </w:r>
      <w:r w:rsidR="00863539" w:rsidRPr="00863539">
        <w:rPr>
          <w:color w:val="000000"/>
          <w:sz w:val="24"/>
        </w:rPr>
        <w:t>Lobzy – rekonstrukce plynové kotelny</w:t>
      </w:r>
      <w:r w:rsidR="00A0703D">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B12860" w:rsidRPr="00BC69A9">
        <w:rPr>
          <w:sz w:val="24"/>
          <w:szCs w:val="24"/>
        </w:rPr>
        <w:t xml:space="preserve"> v rozsahu pro provedení stavby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 xml:space="preserve">odsouhlasení </w:t>
      </w:r>
      <w:r w:rsidR="00D8470D">
        <w:rPr>
          <w:sz w:val="24"/>
          <w:szCs w:val="24"/>
        </w:rPr>
        <w:t>projektové dokumentace (</w:t>
      </w:r>
      <w:r w:rsidR="00D8470D" w:rsidRPr="00C43B98">
        <w:rPr>
          <w:bCs/>
          <w:iCs/>
          <w:color w:val="000000"/>
          <w:sz w:val="24"/>
          <w:szCs w:val="24"/>
        </w:rPr>
        <w:t>dále jen „PD“)</w:t>
      </w:r>
      <w:r w:rsidR="00D80768" w:rsidRPr="00C43B98">
        <w:rPr>
          <w:sz w:val="24"/>
          <w:szCs w:val="24"/>
        </w:rPr>
        <w:t xml:space="preserve">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v rozsahu pro provedení stavby dle podmínek a</w:t>
      </w:r>
      <w:r w:rsidR="00F42193">
        <w:rPr>
          <w:sz w:val="24"/>
          <w:szCs w:val="24"/>
        </w:rPr>
        <w:t> </w:t>
      </w:r>
      <w:r w:rsidR="00B12860" w:rsidRPr="00C43B98">
        <w:rPr>
          <w:sz w:val="24"/>
          <w:szCs w:val="24"/>
        </w:rPr>
        <w:t xml:space="preserve">rozsahu obecného zadání. </w:t>
      </w:r>
    </w:p>
    <w:p w14:paraId="5970EE5F" w14:textId="0AE14C1F"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a </w:t>
      </w:r>
      <w:r w:rsidR="00D8470D">
        <w:rPr>
          <w:sz w:val="24"/>
          <w:szCs w:val="24"/>
          <w:lang w:eastAsia="ar-SA"/>
        </w:rPr>
        <w:t>v</w:t>
      </w:r>
      <w:r w:rsidR="007A16CB" w:rsidRPr="00C43B98">
        <w:rPr>
          <w:sz w:val="24"/>
          <w:szCs w:val="24"/>
          <w:lang w:eastAsia="ar-SA"/>
        </w:rPr>
        <w:t>yhláškou č.</w:t>
      </w:r>
      <w:r w:rsidR="00317B0D">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D8470D">
        <w:rPr>
          <w:sz w:val="24"/>
          <w:szCs w:val="24"/>
          <w:lang w:eastAsia="ar-SA"/>
        </w:rPr>
        <w:t>, v platném znění (dále jen „vyhláška“)</w:t>
      </w:r>
      <w:r w:rsidR="00A0703D">
        <w:rPr>
          <w:sz w:val="24"/>
          <w:szCs w:val="24"/>
          <w:lang w:eastAsia="ar-SA"/>
        </w:rPr>
        <w:t xml:space="preserve"> </w:t>
      </w:r>
      <w:r w:rsidR="007A16CB" w:rsidRPr="00C43B98">
        <w:rPr>
          <w:sz w:val="24"/>
          <w:szCs w:val="24"/>
          <w:lang w:eastAsia="ar-SA"/>
        </w:rPr>
        <w:t xml:space="preserve">a </w:t>
      </w:r>
      <w:r w:rsidR="00D8470D">
        <w:rPr>
          <w:sz w:val="24"/>
          <w:szCs w:val="24"/>
          <w:lang w:eastAsia="ar-SA"/>
        </w:rPr>
        <w:t xml:space="preserve">v souladu s </w:t>
      </w:r>
      <w:r w:rsidR="007A16CB" w:rsidRPr="00C43B98">
        <w:rPr>
          <w:sz w:val="24"/>
          <w:szCs w:val="24"/>
          <w:lang w:eastAsia="ar-SA"/>
        </w:rPr>
        <w:t>další</w:t>
      </w:r>
      <w:r w:rsidR="00D8470D">
        <w:rPr>
          <w:sz w:val="24"/>
          <w:szCs w:val="24"/>
          <w:lang w:eastAsia="ar-SA"/>
        </w:rPr>
        <w:t>mi</w:t>
      </w:r>
      <w:r w:rsidR="007A16CB" w:rsidRPr="00C43B98">
        <w:rPr>
          <w:sz w:val="24"/>
          <w:szCs w:val="24"/>
          <w:lang w:eastAsia="ar-SA"/>
        </w:rPr>
        <w:t xml:space="preserve"> související</w:t>
      </w:r>
      <w:r w:rsidR="00D8470D">
        <w:rPr>
          <w:sz w:val="24"/>
          <w:szCs w:val="24"/>
          <w:lang w:eastAsia="ar-SA"/>
        </w:rPr>
        <w:t>mi</w:t>
      </w:r>
      <w:r w:rsidR="007A16CB" w:rsidRPr="00C43B98">
        <w:rPr>
          <w:sz w:val="24"/>
          <w:szCs w:val="24"/>
          <w:lang w:eastAsia="ar-SA"/>
        </w:rPr>
        <w:t xml:space="preserve"> předpis</w:t>
      </w:r>
      <w:r w:rsidR="00D8470D">
        <w:rPr>
          <w:sz w:val="24"/>
          <w:szCs w:val="24"/>
          <w:lang w:eastAsia="ar-SA"/>
        </w:rPr>
        <w:t xml:space="preserve">y </w:t>
      </w:r>
      <w:r w:rsidR="007A16CB" w:rsidRPr="00C43B98">
        <w:rPr>
          <w:sz w:val="24"/>
          <w:szCs w:val="24"/>
          <w:lang w:eastAsia="ar-SA"/>
        </w:rPr>
        <w:t xml:space="preserve">tak, aby splňovala požadavky zákona na zadávací dokumentaci a technické podmínky. </w:t>
      </w:r>
    </w:p>
    <w:p w14:paraId="73830F23" w14:textId="77777777" w:rsidR="00317B0D" w:rsidRDefault="00317B0D" w:rsidP="00F42193">
      <w:pPr>
        <w:spacing w:line="288" w:lineRule="auto"/>
        <w:jc w:val="both"/>
        <w:rPr>
          <w:rFonts w:eastAsia="Calibri"/>
          <w:sz w:val="24"/>
          <w:szCs w:val="24"/>
          <w:lang w:eastAsia="en-US"/>
        </w:rPr>
      </w:pPr>
    </w:p>
    <w:p w14:paraId="5C759185" w14:textId="04D17BB2" w:rsidR="00B12860" w:rsidRPr="00C43B98" w:rsidRDefault="007A16CB" w:rsidP="00F42193">
      <w:pPr>
        <w:spacing w:line="288" w:lineRule="auto"/>
        <w:jc w:val="both"/>
        <w:rPr>
          <w:rFonts w:eastAsia="Calibri"/>
          <w:sz w:val="24"/>
          <w:szCs w:val="24"/>
          <w:lang w:eastAsia="en-US"/>
        </w:rPr>
      </w:pPr>
      <w:r w:rsidRPr="00C43B98">
        <w:rPr>
          <w:rFonts w:eastAsia="Calibri"/>
          <w:sz w:val="24"/>
          <w:szCs w:val="24"/>
          <w:lang w:eastAsia="en-US"/>
        </w:rPr>
        <w:t>Rozsah požadovaných prací</w:t>
      </w:r>
      <w:r w:rsidR="00B12860" w:rsidRPr="00C43B98">
        <w:rPr>
          <w:rFonts w:eastAsia="Calibri"/>
          <w:sz w:val="24"/>
          <w:szCs w:val="24"/>
          <w:lang w:eastAsia="en-US"/>
        </w:rPr>
        <w:t>:</w:t>
      </w:r>
    </w:p>
    <w:p w14:paraId="255C8172" w14:textId="76E63CAE" w:rsidR="00B12860" w:rsidRPr="007D23E0" w:rsidRDefault="00B12860" w:rsidP="007D23E0">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656D45">
        <w:rPr>
          <w:sz w:val="24"/>
          <w:szCs w:val="24"/>
        </w:rPr>
        <w:t>1</w:t>
      </w:r>
      <w:r w:rsidR="00FD6AF5">
        <w:rPr>
          <w:sz w:val="24"/>
          <w:szCs w:val="24"/>
        </w:rPr>
        <w:t>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 technických požadavcích na stavby, ve znění pozdějších předpisů v rozsahu dokumentace pro provedení stavb</w:t>
      </w:r>
      <w:r w:rsidR="00DE1C1D" w:rsidRPr="007D23E0">
        <w:rPr>
          <w:sz w:val="24"/>
          <w:szCs w:val="24"/>
        </w:rPr>
        <w:t>y včetně všech návazných profesí</w:t>
      </w:r>
      <w:r w:rsidR="00FD3612">
        <w:rPr>
          <w:sz w:val="24"/>
          <w:szCs w:val="24"/>
        </w:rPr>
        <w:t xml:space="preserve"> a dále dle zákona č. 183/2006 Sb., o územním plánování a stavebním řádu, v platném znění.</w:t>
      </w:r>
      <w:r w:rsidRPr="007D23E0">
        <w:rPr>
          <w:sz w:val="24"/>
          <w:szCs w:val="24"/>
        </w:rPr>
        <w:t xml:space="preserve"> Do PD zapracovat požadavky vyplývající ze stavebního řízení.</w:t>
      </w:r>
    </w:p>
    <w:p w14:paraId="68DEBBFE" w14:textId="2B8720B9" w:rsidR="00A0283E" w:rsidRPr="00C43B98"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r w:rsidR="00994FDB">
        <w:rPr>
          <w:sz w:val="24"/>
          <w:szCs w:val="24"/>
        </w:rPr>
        <w:t>, uživatelem a</w:t>
      </w:r>
      <w:r w:rsidR="00F42193">
        <w:rPr>
          <w:sz w:val="24"/>
          <w:szCs w:val="24"/>
        </w:rPr>
        <w:t> </w:t>
      </w:r>
      <w:r w:rsidR="0098365C">
        <w:rPr>
          <w:sz w:val="24"/>
          <w:szCs w:val="24"/>
        </w:rPr>
        <w:t>provozním střediskem</w:t>
      </w: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pro vydání </w:t>
      </w:r>
      <w:r w:rsidR="00D8470D" w:rsidRPr="0079798B">
        <w:rPr>
          <w:sz w:val="24"/>
          <w:szCs w:val="24"/>
        </w:rPr>
        <w:t xml:space="preserve">pravomoceného </w:t>
      </w:r>
      <w:r w:rsidR="00ED4DD0" w:rsidRPr="0079798B">
        <w:rPr>
          <w:sz w:val="24"/>
          <w:szCs w:val="24"/>
        </w:rPr>
        <w:t xml:space="preserve">stavebního </w:t>
      </w:r>
      <w:r w:rsidR="00ED4DD0" w:rsidRPr="004659FA">
        <w:rPr>
          <w:sz w:val="24"/>
          <w:szCs w:val="24"/>
        </w:rPr>
        <w:t>povolení</w:t>
      </w:r>
      <w:r w:rsidR="00D8470D" w:rsidRPr="004659FA">
        <w:rPr>
          <w:sz w:val="24"/>
          <w:szCs w:val="24"/>
        </w:rPr>
        <w:t>,</w:t>
      </w:r>
      <w:r w:rsidR="00437A26" w:rsidRPr="004659FA">
        <w:rPr>
          <w:sz w:val="24"/>
          <w:szCs w:val="24"/>
        </w:rPr>
        <w:t xml:space="preserve"> případně souhlasu s provedením ohlášené stavby,</w:t>
      </w:r>
      <w:r w:rsidR="00437A26" w:rsidRPr="00C43B98">
        <w:rPr>
          <w:sz w:val="24"/>
          <w:szCs w:val="24"/>
        </w:rPr>
        <w:t xml:space="preserve"> </w:t>
      </w:r>
      <w:r w:rsidRPr="00C43B98">
        <w:rPr>
          <w:sz w:val="24"/>
          <w:szCs w:val="24"/>
        </w:rPr>
        <w:t>zajištění souhlasných stanovisek a rozhodnutí zejména dle § 11 zák.</w:t>
      </w:r>
      <w:r w:rsidR="00317B0D">
        <w:rPr>
          <w:sz w:val="24"/>
          <w:szCs w:val="24"/>
        </w:rPr>
        <w:t> č. </w:t>
      </w:r>
      <w:r w:rsidRPr="00C43B98">
        <w:rPr>
          <w:sz w:val="24"/>
          <w:szCs w:val="24"/>
        </w:rPr>
        <w:t>201/2012</w:t>
      </w:r>
      <w:r w:rsidR="001B48B5" w:rsidRPr="00C43B98">
        <w:rPr>
          <w:sz w:val="24"/>
          <w:szCs w:val="24"/>
        </w:rPr>
        <w:t xml:space="preserve"> </w:t>
      </w:r>
      <w:r w:rsidRPr="00C43B98">
        <w:rPr>
          <w:sz w:val="24"/>
          <w:szCs w:val="24"/>
        </w:rPr>
        <w:t xml:space="preserve">Sb., ve znění pozdějších předpisů, </w:t>
      </w:r>
      <w:r w:rsidR="00437A26">
        <w:rPr>
          <w:sz w:val="24"/>
          <w:szCs w:val="24"/>
        </w:rPr>
        <w:t xml:space="preserve">  </w:t>
      </w:r>
      <w:r w:rsidRPr="00C43B98">
        <w:rPr>
          <w:sz w:val="24"/>
          <w:szCs w:val="24"/>
        </w:rPr>
        <w:t>u příslušného vojenského úřadu (včetně úhrady vše</w:t>
      </w:r>
      <w:r w:rsidR="00A0283E" w:rsidRPr="00C43B98">
        <w:rPr>
          <w:sz w:val="24"/>
          <w:szCs w:val="24"/>
        </w:rPr>
        <w:t xml:space="preserve">ch zákonných poplatků).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310CF08D" w:rsidR="00A0283E" w:rsidRDefault="00D80768" w:rsidP="000E6C9D">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437A26">
        <w:rPr>
          <w:sz w:val="24"/>
          <w:szCs w:val="24"/>
        </w:rPr>
        <w:t>o</w:t>
      </w:r>
      <w:r w:rsidR="00FD6AF5">
        <w:rPr>
          <w:sz w:val="24"/>
          <w:szCs w:val="24"/>
        </w:rPr>
        <w:t xml:space="preserve">dboru státního </w:t>
      </w:r>
      <w:r w:rsidR="00176253" w:rsidRPr="00C43B98">
        <w:rPr>
          <w:sz w:val="24"/>
          <w:szCs w:val="24"/>
        </w:rPr>
        <w:t>dozoru MO</w:t>
      </w:r>
      <w:r w:rsidR="00FD6AF5">
        <w:rPr>
          <w:sz w:val="24"/>
          <w:szCs w:val="24"/>
        </w:rPr>
        <w:t>.</w:t>
      </w:r>
    </w:p>
    <w:p w14:paraId="0BFD04DF" w14:textId="30348827" w:rsidR="00176253"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FD6AF5">
        <w:rPr>
          <w:sz w:val="24"/>
          <w:szCs w:val="24"/>
        </w:rPr>
        <w:t>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r w:rsidR="005B3E3C">
        <w:rPr>
          <w:sz w:val="24"/>
          <w:szCs w:val="24"/>
        </w:rPr>
        <w:t xml:space="preserve"> Poslední TER svolá zhotovitel nejpozději 10 kal. dní před předáním dokončené PD objednateli. Na této TER bude provedena kontrola úplnosti PD.</w:t>
      </w:r>
    </w:p>
    <w:p w14:paraId="02F22AC3" w14:textId="50ACC32E" w:rsidR="005B3E3C" w:rsidRPr="00C43B98" w:rsidRDefault="005B3E3C" w:rsidP="00B42E78">
      <w:pPr>
        <w:pStyle w:val="Odstavecseseznamem"/>
        <w:numPr>
          <w:ilvl w:val="0"/>
          <w:numId w:val="38"/>
        </w:numPr>
        <w:spacing w:before="120"/>
        <w:ind w:left="567"/>
        <w:jc w:val="both"/>
        <w:rPr>
          <w:sz w:val="24"/>
          <w:szCs w:val="24"/>
        </w:rPr>
      </w:pPr>
      <w:r>
        <w:rPr>
          <w:sz w:val="24"/>
          <w:szCs w:val="24"/>
        </w:rPr>
        <w:t>Z každé TER bude pořízen zápis, který vždy zpracuje zhotovitel.</w:t>
      </w:r>
    </w:p>
    <w:p w14:paraId="04B0A7B2" w14:textId="06C8A228" w:rsidR="00176253" w:rsidRPr="00EE1C28" w:rsidRDefault="000E6C9D" w:rsidP="007D23E0">
      <w:pPr>
        <w:pStyle w:val="Odstavecseseznamem"/>
        <w:numPr>
          <w:ilvl w:val="0"/>
          <w:numId w:val="38"/>
        </w:numPr>
        <w:spacing w:before="120"/>
        <w:ind w:left="567"/>
        <w:jc w:val="both"/>
      </w:pPr>
      <w:r w:rsidRPr="007D23E0">
        <w:rPr>
          <w:sz w:val="24"/>
          <w:szCs w:val="24"/>
        </w:rPr>
        <w:t>PD</w:t>
      </w:r>
      <w:r w:rsidR="00D8470D">
        <w:rPr>
          <w:sz w:val="24"/>
          <w:szCs w:val="24"/>
        </w:rPr>
        <w:t xml:space="preserve"> zpracovat podle platných ČSN a požadavků výrobce</w:t>
      </w:r>
      <w:r w:rsidR="00176253" w:rsidRPr="007D23E0">
        <w:rPr>
          <w:sz w:val="24"/>
          <w:szCs w:val="24"/>
        </w:rPr>
        <w:t xml:space="preserve">. </w:t>
      </w:r>
    </w:p>
    <w:p w14:paraId="081E127D" w14:textId="7EE5E876"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PD zpracovat v 6 paré v tištěné podobě a 1</w:t>
      </w:r>
      <w:r w:rsidRPr="00C43B98">
        <w:rPr>
          <w:sz w:val="24"/>
          <w:szCs w:val="24"/>
        </w:rPr>
        <w:t>x v elektronické podobě na nosiči CD ve formátu *.pdf a *.dwg.</w:t>
      </w:r>
    </w:p>
    <w:p w14:paraId="04B7E914" w14:textId="5524B488" w:rsidR="00176253" w:rsidRPr="004659FA" w:rsidRDefault="009F0941" w:rsidP="007D23E0">
      <w:pPr>
        <w:pStyle w:val="Odstavecseseznamem"/>
        <w:numPr>
          <w:ilvl w:val="0"/>
          <w:numId w:val="38"/>
        </w:numPr>
        <w:spacing w:before="120"/>
        <w:ind w:left="567"/>
        <w:jc w:val="both"/>
      </w:pPr>
      <w:r w:rsidRPr="007D23E0">
        <w:rPr>
          <w:sz w:val="24"/>
          <w:szCs w:val="24"/>
        </w:rPr>
        <w:t>Zpracovat „</w:t>
      </w:r>
      <w:r w:rsidR="00D8470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s</w:t>
      </w:r>
      <w:r w:rsidR="00F42193">
        <w:rPr>
          <w:sz w:val="24"/>
          <w:szCs w:val="24"/>
        </w:rPr>
        <w:t> </w:t>
      </w:r>
      <w:r w:rsidR="00176253" w:rsidRPr="00B42E78">
        <w:rPr>
          <w:sz w:val="24"/>
          <w:szCs w:val="24"/>
        </w:rPr>
        <w:t xml:space="preserve">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vedlejší</w:t>
      </w:r>
      <w:r w:rsidR="00CA7833" w:rsidRPr="00B42E78">
        <w:rPr>
          <w:sz w:val="24"/>
          <w:szCs w:val="24"/>
        </w:rPr>
        <w:t xml:space="preserve"> </w:t>
      </w:r>
      <w:r w:rsidR="000A33FA" w:rsidRPr="004659FA">
        <w:rPr>
          <w:sz w:val="24"/>
          <w:szCs w:val="24"/>
        </w:rPr>
        <w:t>náklady</w:t>
      </w:r>
      <w:r w:rsidR="00176253" w:rsidRPr="004659FA">
        <w:rPr>
          <w:sz w:val="24"/>
          <w:szCs w:val="24"/>
        </w:rPr>
        <w:t xml:space="preserve">. </w:t>
      </w:r>
      <w:r w:rsidR="00FD6AF5" w:rsidRPr="004659FA">
        <w:rPr>
          <w:sz w:val="24"/>
          <w:szCs w:val="24"/>
        </w:rPr>
        <w:t xml:space="preserve">Ostatní náklady </w:t>
      </w:r>
      <w:r w:rsidR="000A33FA" w:rsidRPr="004659FA">
        <w:rPr>
          <w:sz w:val="24"/>
          <w:szCs w:val="24"/>
        </w:rPr>
        <w:t>jako součást rozpočtu</w:t>
      </w:r>
      <w:r w:rsidR="00176253" w:rsidRPr="004659FA">
        <w:rPr>
          <w:sz w:val="24"/>
          <w:szCs w:val="24"/>
        </w:rPr>
        <w:t xml:space="preserve"> bud</w:t>
      </w:r>
      <w:r w:rsidR="000A33FA" w:rsidRPr="004659FA">
        <w:rPr>
          <w:sz w:val="24"/>
          <w:szCs w:val="24"/>
        </w:rPr>
        <w:t>ou uvedeny</w:t>
      </w:r>
      <w:r w:rsidR="00176253" w:rsidRPr="004659FA">
        <w:rPr>
          <w:sz w:val="24"/>
          <w:szCs w:val="24"/>
        </w:rPr>
        <w:t xml:space="preserve"> v samostatné </w:t>
      </w:r>
      <w:r w:rsidR="00FD6AF5" w:rsidRPr="004659FA">
        <w:rPr>
          <w:sz w:val="24"/>
          <w:szCs w:val="24"/>
        </w:rPr>
        <w:t>kapitole</w:t>
      </w:r>
      <w:r w:rsidR="00176253" w:rsidRPr="004659FA">
        <w:rPr>
          <w:sz w:val="24"/>
          <w:szCs w:val="24"/>
        </w:rPr>
        <w:t>. V</w:t>
      </w:r>
      <w:r w:rsidR="00F42193" w:rsidRPr="004659FA">
        <w:rPr>
          <w:sz w:val="24"/>
          <w:szCs w:val="24"/>
        </w:rPr>
        <w:t> </w:t>
      </w:r>
      <w:r w:rsidR="00176253" w:rsidRPr="004659FA">
        <w:rPr>
          <w:sz w:val="24"/>
          <w:szCs w:val="24"/>
        </w:rPr>
        <w:t>dokumentaci bude uveden odkaz na použitou cenovou soustavu.</w:t>
      </w:r>
    </w:p>
    <w:p w14:paraId="1E75696D" w14:textId="3E980F67" w:rsidR="00176253" w:rsidRPr="004659FA" w:rsidRDefault="009F0941" w:rsidP="007D23E0">
      <w:pPr>
        <w:pStyle w:val="Odstavecseseznamem"/>
        <w:numPr>
          <w:ilvl w:val="0"/>
          <w:numId w:val="38"/>
        </w:numPr>
        <w:spacing w:before="120"/>
        <w:ind w:left="567"/>
        <w:jc w:val="both"/>
        <w:rPr>
          <w:sz w:val="24"/>
          <w:szCs w:val="24"/>
        </w:rPr>
      </w:pPr>
      <w:r w:rsidRPr="004659FA">
        <w:rPr>
          <w:sz w:val="24"/>
          <w:szCs w:val="24"/>
        </w:rPr>
        <w:t>Zpracovat o</w:t>
      </w:r>
      <w:r w:rsidR="00176253" w:rsidRPr="004659FA">
        <w:rPr>
          <w:sz w:val="24"/>
          <w:szCs w:val="24"/>
        </w:rPr>
        <w:t>ceněný položkový rozpočet 1x v písemné formě</w:t>
      </w:r>
      <w:r w:rsidR="008E11D6" w:rsidRPr="004659FA">
        <w:rPr>
          <w:sz w:val="24"/>
          <w:szCs w:val="24"/>
        </w:rPr>
        <w:t xml:space="preserve"> a </w:t>
      </w:r>
      <w:r w:rsidR="00176253" w:rsidRPr="004659FA">
        <w:rPr>
          <w:sz w:val="24"/>
          <w:szCs w:val="24"/>
        </w:rPr>
        <w:t>1x ve formátu *.xls na nosiči CD. Zpracov</w:t>
      </w:r>
      <w:r w:rsidR="00C721BA" w:rsidRPr="004659FA">
        <w:rPr>
          <w:sz w:val="24"/>
          <w:szCs w:val="24"/>
        </w:rPr>
        <w:t xml:space="preserve">at </w:t>
      </w:r>
      <w:r w:rsidR="00176253" w:rsidRPr="004659FA">
        <w:rPr>
          <w:sz w:val="24"/>
          <w:szCs w:val="24"/>
        </w:rPr>
        <w:t>rozpočt</w:t>
      </w:r>
      <w:r w:rsidR="00C721BA" w:rsidRPr="004659FA">
        <w:rPr>
          <w:sz w:val="24"/>
          <w:szCs w:val="24"/>
        </w:rPr>
        <w:t>y</w:t>
      </w:r>
      <w:r w:rsidR="00176253" w:rsidRPr="004659FA">
        <w:rPr>
          <w:sz w:val="24"/>
          <w:szCs w:val="24"/>
        </w:rPr>
        <w:t xml:space="preserve"> do cen roku </w:t>
      </w:r>
      <w:r w:rsidR="009C5A7E" w:rsidRPr="004659FA">
        <w:rPr>
          <w:sz w:val="24"/>
          <w:szCs w:val="24"/>
        </w:rPr>
        <w:t>201</w:t>
      </w:r>
      <w:r w:rsidR="002B30B8" w:rsidRPr="004659FA">
        <w:rPr>
          <w:sz w:val="24"/>
          <w:szCs w:val="24"/>
        </w:rPr>
        <w:t>8</w:t>
      </w:r>
      <w:r w:rsidR="00176253" w:rsidRPr="004659FA">
        <w:rPr>
          <w:sz w:val="24"/>
          <w:szCs w:val="24"/>
        </w:rPr>
        <w:t>.</w:t>
      </w:r>
    </w:p>
    <w:p w14:paraId="37695540" w14:textId="4EF6EACF" w:rsidR="00BF76F0" w:rsidRPr="00EE1C28" w:rsidRDefault="00BF76F0" w:rsidP="00B42E78">
      <w:pPr>
        <w:pStyle w:val="Odstavecseseznamem"/>
        <w:numPr>
          <w:ilvl w:val="0"/>
          <w:numId w:val="38"/>
        </w:numPr>
        <w:spacing w:before="120"/>
        <w:ind w:left="567"/>
        <w:jc w:val="both"/>
      </w:pPr>
      <w:r w:rsidRPr="00B42E78">
        <w:rPr>
          <w:sz w:val="24"/>
          <w:szCs w:val="24"/>
        </w:rPr>
        <w:t>Posoudit dle</w:t>
      </w:r>
      <w:r w:rsidR="00F60DD4" w:rsidRPr="00B42E78">
        <w:rPr>
          <w:sz w:val="24"/>
          <w:szCs w:val="24"/>
        </w:rPr>
        <w:t xml:space="preserve"> § 44</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xml:space="preserve">., v platném znění nutnost 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5EF8522A" w14:textId="77777777" w:rsidR="009C5A7E" w:rsidRPr="00C43B98" w:rsidRDefault="009C5A7E" w:rsidP="009C5A7E">
      <w:pPr>
        <w:spacing w:before="120"/>
        <w:jc w:val="both"/>
        <w:rPr>
          <w:sz w:val="24"/>
          <w:szCs w:val="24"/>
        </w:rPr>
      </w:pPr>
    </w:p>
    <w:p w14:paraId="7774EDE5" w14:textId="77777777" w:rsidR="00EA0BEA" w:rsidRPr="0058554A" w:rsidRDefault="00F60DD4" w:rsidP="00F42193">
      <w:pPr>
        <w:jc w:val="both"/>
        <w:rPr>
          <w:sz w:val="24"/>
          <w:szCs w:val="24"/>
        </w:rPr>
      </w:pPr>
      <w:r w:rsidRPr="0058554A">
        <w:rPr>
          <w:sz w:val="24"/>
          <w:szCs w:val="24"/>
        </w:rPr>
        <w:t>Součástí zhotovení PD dále je</w:t>
      </w:r>
      <w:r w:rsidR="00176253" w:rsidRPr="0058554A">
        <w:rPr>
          <w:sz w:val="24"/>
          <w:szCs w:val="24"/>
        </w:rPr>
        <w:t>:</w:t>
      </w:r>
    </w:p>
    <w:p w14:paraId="0565042E" w14:textId="77777777" w:rsidR="00863539" w:rsidRPr="00863539" w:rsidRDefault="00863539" w:rsidP="00863539">
      <w:pPr>
        <w:spacing w:before="120"/>
        <w:jc w:val="both"/>
        <w:rPr>
          <w:sz w:val="24"/>
          <w:szCs w:val="24"/>
        </w:rPr>
      </w:pPr>
      <w:r w:rsidRPr="00863539">
        <w:rPr>
          <w:sz w:val="24"/>
          <w:szCs w:val="24"/>
        </w:rPr>
        <w:t>Demontáže – budou provedeny v nutném rozsahu: odstranění a ekologická likvidace demontovaného technologického zařízení původní kotelny, původní elektroinstalace, betonových podstavců, pomocných konstrukcí, atd.</w:t>
      </w:r>
    </w:p>
    <w:p w14:paraId="0F5E024D" w14:textId="77777777" w:rsidR="00863539" w:rsidRPr="00863539" w:rsidRDefault="00863539" w:rsidP="00863539">
      <w:pPr>
        <w:spacing w:before="120"/>
        <w:jc w:val="both"/>
        <w:rPr>
          <w:sz w:val="24"/>
          <w:szCs w:val="24"/>
        </w:rPr>
      </w:pPr>
      <w:r w:rsidRPr="00863539">
        <w:rPr>
          <w:sz w:val="24"/>
          <w:szCs w:val="24"/>
        </w:rPr>
        <w:t>Výkresy se zákresem bouraných konstrukcí do výkresů stávajícího stavu.</w:t>
      </w:r>
    </w:p>
    <w:p w14:paraId="248AF02F" w14:textId="51AD15A7" w:rsidR="00863539" w:rsidRPr="0098365C" w:rsidRDefault="00863539" w:rsidP="00863539">
      <w:pPr>
        <w:spacing w:before="120"/>
        <w:jc w:val="both"/>
        <w:rPr>
          <w:sz w:val="24"/>
          <w:szCs w:val="24"/>
        </w:rPr>
      </w:pPr>
      <w:r w:rsidRPr="00863539">
        <w:rPr>
          <w:sz w:val="24"/>
          <w:szCs w:val="24"/>
        </w:rPr>
        <w:t xml:space="preserve">Stavební část – PD stávajícího stavu se zaměřením a návrhem nového stavu týkající se zejména nezbytných stavebních úprav prostor kotelny včetně případného hydroizolačního řešení podlahových </w:t>
      </w:r>
      <w:r w:rsidRPr="0098365C">
        <w:rPr>
          <w:sz w:val="24"/>
          <w:szCs w:val="24"/>
        </w:rPr>
        <w:lastRenderedPageBreak/>
        <w:t xml:space="preserve">konstrukcí, voděodolná povrchová úprava podlah, nátěry stávajících kovových konstrukcí, oprava omítek, nová výmalba, nutné stavební přípomoce a vysprávky po odstraněných stávajících rozvodů, stávající elektroinstalace, atd. </w:t>
      </w:r>
    </w:p>
    <w:p w14:paraId="012CF4FF" w14:textId="624AFD9B" w:rsidR="00863539" w:rsidRPr="004659FA" w:rsidRDefault="00863539" w:rsidP="00863539">
      <w:pPr>
        <w:spacing w:before="120"/>
        <w:jc w:val="both"/>
        <w:rPr>
          <w:sz w:val="24"/>
          <w:szCs w:val="24"/>
        </w:rPr>
      </w:pPr>
      <w:r w:rsidRPr="0098365C">
        <w:rPr>
          <w:sz w:val="24"/>
          <w:szCs w:val="24"/>
        </w:rPr>
        <w:t xml:space="preserve">Část </w:t>
      </w:r>
      <w:r w:rsidR="00437A26" w:rsidRPr="0098365C">
        <w:rPr>
          <w:sz w:val="24"/>
          <w:szCs w:val="24"/>
        </w:rPr>
        <w:t>ústřední topení („</w:t>
      </w:r>
      <w:r w:rsidRPr="0098365C">
        <w:rPr>
          <w:sz w:val="24"/>
          <w:szCs w:val="24"/>
        </w:rPr>
        <w:t>ÚT</w:t>
      </w:r>
      <w:r w:rsidR="00437A26" w:rsidRPr="0098365C">
        <w:rPr>
          <w:sz w:val="24"/>
          <w:szCs w:val="24"/>
        </w:rPr>
        <w:t>“)</w:t>
      </w:r>
      <w:r w:rsidRPr="0098365C">
        <w:rPr>
          <w:sz w:val="24"/>
          <w:szCs w:val="24"/>
        </w:rPr>
        <w:t xml:space="preserve"> - návrh nového zdroje vytápění dle ČSN 06 0310</w:t>
      </w:r>
      <w:r w:rsidR="00B12800">
        <w:rPr>
          <w:sz w:val="24"/>
          <w:szCs w:val="24"/>
        </w:rPr>
        <w:t>, zejména</w:t>
      </w:r>
      <w:r w:rsidRPr="0098365C">
        <w:rPr>
          <w:sz w:val="24"/>
          <w:szCs w:val="24"/>
        </w:rPr>
        <w:t xml:space="preserve"> čl. 6.5 s kotli splňujícími emisní limity stanovené vyhláškou 452/2017 Sb., řešení odkouření kondenzačních kotlů pomocí úpravy stávajících komínů dle ČSN 73 4201, návrh řešení a výpočet zabezpečovacího zařízení kotlů. Provoz kotelny navrhnout</w:t>
      </w:r>
      <w:r w:rsidRPr="00863539">
        <w:rPr>
          <w:sz w:val="24"/>
          <w:szCs w:val="24"/>
        </w:rPr>
        <w:t xml:space="preserve"> s občasnou obsluhou s možností dispečerského řízení přes GSM (viz požadavky MaR). Stanovit v PD požadovaný způsob obsluhy. Součástí PD bude demontáž stávajícího zařízení. Kotelnu vystrojit kondenzačními plynovými kotli o výkonu daným výpočtem tepelných ztrát budovy, novým rozdělovačem a sběračem se směšovacími armaturami pro stávající </w:t>
      </w:r>
      <w:r w:rsidRPr="004659FA">
        <w:rPr>
          <w:sz w:val="24"/>
          <w:szCs w:val="24"/>
        </w:rPr>
        <w:t xml:space="preserve">větve řízenými ekvitermní regulací. </w:t>
      </w:r>
      <w:r w:rsidR="00706A7D" w:rsidRPr="00706A7D">
        <w:rPr>
          <w:sz w:val="24"/>
          <w:szCs w:val="24"/>
        </w:rPr>
        <w:t>Zabezpečovací zařízení navrhnout dle ČSN 06 0830</w:t>
      </w:r>
      <w:r w:rsidRPr="004659FA">
        <w:rPr>
          <w:sz w:val="24"/>
          <w:szCs w:val="24"/>
        </w:rPr>
        <w:t xml:space="preserve">. </w:t>
      </w:r>
    </w:p>
    <w:p w14:paraId="34BF9DC6" w14:textId="5B646E1F" w:rsidR="00863539" w:rsidRPr="004659FA" w:rsidRDefault="00863539" w:rsidP="00863539">
      <w:pPr>
        <w:spacing w:before="120"/>
        <w:jc w:val="both"/>
        <w:rPr>
          <w:sz w:val="24"/>
          <w:szCs w:val="24"/>
        </w:rPr>
      </w:pPr>
      <w:r w:rsidRPr="004659FA">
        <w:rPr>
          <w:sz w:val="24"/>
          <w:szCs w:val="24"/>
        </w:rPr>
        <w:t xml:space="preserve">Část </w:t>
      </w:r>
      <w:r w:rsidR="00437A26" w:rsidRPr="004659FA">
        <w:rPr>
          <w:sz w:val="24"/>
          <w:szCs w:val="24"/>
        </w:rPr>
        <w:t>měření a regulace („</w:t>
      </w:r>
      <w:r w:rsidRPr="004659FA">
        <w:rPr>
          <w:sz w:val="24"/>
          <w:szCs w:val="24"/>
        </w:rPr>
        <w:t>MaR</w:t>
      </w:r>
      <w:r w:rsidR="00437A26" w:rsidRPr="004659FA">
        <w:rPr>
          <w:sz w:val="24"/>
          <w:szCs w:val="24"/>
        </w:rPr>
        <w:t>“)</w:t>
      </w:r>
      <w:r w:rsidRPr="004659FA">
        <w:rPr>
          <w:sz w:val="24"/>
          <w:szCs w:val="24"/>
        </w:rPr>
        <w:t xml:space="preserve"> – plně automatické řízení provozu kotlů, ekvitermní regulace výstupních teplot pro jednotlivé topné větve, informace o poruchových stavech</w:t>
      </w:r>
      <w:r w:rsidR="001E3B4A">
        <w:rPr>
          <w:sz w:val="24"/>
          <w:szCs w:val="24"/>
        </w:rPr>
        <w:t xml:space="preserve"> (tzn. vnik poruchy a pominutí poruchy)</w:t>
      </w:r>
      <w:r w:rsidRPr="004659FA">
        <w:rPr>
          <w:sz w:val="24"/>
          <w:szCs w:val="24"/>
        </w:rPr>
        <w:t xml:space="preserve"> přes GSM bránu. Zajistit dálkový přístup do MaR s možností připojení z kteréhokoliv PC. Vizualizaci všech provozních, poruchových a havarijních stavů, s možností dálkové korekce zadávaných parametrů. Možnost sledování venkovní teploty s jejím záznamem v definovaných časech, odečet měření všech vstupních energii (elektro, plyn, voda)</w:t>
      </w:r>
      <w:r w:rsidR="00706A7D" w:rsidRPr="00706A7D">
        <w:t xml:space="preserve"> </w:t>
      </w:r>
      <w:r w:rsidR="00706A7D" w:rsidRPr="00706A7D">
        <w:rPr>
          <w:sz w:val="24"/>
          <w:szCs w:val="24"/>
        </w:rPr>
        <w:t>a výstupních</w:t>
      </w:r>
      <w:r w:rsidR="00706A7D">
        <w:rPr>
          <w:sz w:val="24"/>
          <w:szCs w:val="24"/>
        </w:rPr>
        <w:t>,</w:t>
      </w:r>
      <w:r w:rsidR="00706A7D" w:rsidRPr="00706A7D">
        <w:rPr>
          <w:sz w:val="24"/>
          <w:szCs w:val="24"/>
        </w:rPr>
        <w:t xml:space="preserve"> které končí stěnou kotelny popř. strojovny</w:t>
      </w:r>
      <w:r w:rsidRPr="004659FA">
        <w:rPr>
          <w:sz w:val="24"/>
          <w:szCs w:val="24"/>
        </w:rPr>
        <w:t>. Návrh napojení nové MaR na stávající elektroinstalaci. Zajistit archiv průměrných denních teplot. Ověřit možnost připojení na stávající internetovou síť v objektu</w:t>
      </w:r>
    </w:p>
    <w:p w14:paraId="3614852E" w14:textId="77777777" w:rsidR="00863539" w:rsidRPr="004659FA" w:rsidRDefault="00863539" w:rsidP="00863539">
      <w:pPr>
        <w:spacing w:before="120"/>
        <w:jc w:val="both"/>
        <w:rPr>
          <w:sz w:val="24"/>
          <w:szCs w:val="24"/>
        </w:rPr>
      </w:pPr>
      <w:r w:rsidRPr="004659FA">
        <w:rPr>
          <w:sz w:val="24"/>
          <w:szCs w:val="24"/>
        </w:rPr>
        <w:t>- v případě, že tato možnost bude umožněna, zapracovat do PD dálkový přenos pomocí této sítě</w:t>
      </w:r>
    </w:p>
    <w:p w14:paraId="4C46094B" w14:textId="77777777" w:rsidR="00863539" w:rsidRPr="004659FA" w:rsidRDefault="00863539" w:rsidP="00863539">
      <w:pPr>
        <w:spacing w:before="120"/>
        <w:jc w:val="both"/>
        <w:rPr>
          <w:sz w:val="24"/>
          <w:szCs w:val="24"/>
        </w:rPr>
      </w:pPr>
      <w:r w:rsidRPr="004659FA">
        <w:rPr>
          <w:sz w:val="24"/>
          <w:szCs w:val="24"/>
        </w:rPr>
        <w:t>- v případě, že nebude umožněno připojení na síť pro přenos dat, zapracovat do PD variantu dálkového přístupu pomocí SIM karty</w:t>
      </w:r>
    </w:p>
    <w:p w14:paraId="35DF60A8" w14:textId="7A366E81" w:rsidR="00863539" w:rsidRPr="004659FA" w:rsidRDefault="00396AFB" w:rsidP="00863539">
      <w:pPr>
        <w:spacing w:before="120"/>
        <w:jc w:val="both"/>
        <w:rPr>
          <w:sz w:val="24"/>
          <w:szCs w:val="24"/>
        </w:rPr>
      </w:pPr>
      <w:r w:rsidRPr="004659FA">
        <w:rPr>
          <w:sz w:val="24"/>
          <w:szCs w:val="24"/>
        </w:rPr>
        <w:t>Zpracovat p</w:t>
      </w:r>
      <w:r w:rsidR="00863539" w:rsidRPr="004659FA">
        <w:rPr>
          <w:sz w:val="24"/>
          <w:szCs w:val="24"/>
        </w:rPr>
        <w:t>ožárně bezpečnostní řešení stavby.</w:t>
      </w:r>
    </w:p>
    <w:p w14:paraId="558BE1C6" w14:textId="77777777" w:rsidR="00863539" w:rsidRPr="004659FA" w:rsidRDefault="00863539" w:rsidP="00863539">
      <w:pPr>
        <w:spacing w:before="120"/>
        <w:jc w:val="both"/>
        <w:rPr>
          <w:sz w:val="24"/>
          <w:szCs w:val="24"/>
        </w:rPr>
      </w:pPr>
      <w:r w:rsidRPr="004659FA">
        <w:rPr>
          <w:sz w:val="24"/>
          <w:szCs w:val="24"/>
        </w:rPr>
        <w:t>Zdravotechnika – vnitřní vodovod: připojení ke stávajícímu rozvodu pro potřeby napouštění a dopouštění vč. osazení podružného vodoměru s dálkovým odečtem. Návrh zařízení na úpravu topné vody v souladu s platnými předpisy, zejména ČSN 07 0711 a ČSN 07 7401;</w:t>
      </w:r>
    </w:p>
    <w:p w14:paraId="7261537A" w14:textId="77777777" w:rsidR="00863539" w:rsidRPr="004659FA" w:rsidRDefault="00863539" w:rsidP="00863539">
      <w:pPr>
        <w:spacing w:before="120"/>
        <w:jc w:val="both"/>
        <w:rPr>
          <w:sz w:val="24"/>
          <w:szCs w:val="24"/>
        </w:rPr>
      </w:pPr>
      <w:r w:rsidRPr="004659FA">
        <w:rPr>
          <w:sz w:val="24"/>
          <w:szCs w:val="24"/>
        </w:rPr>
        <w:t xml:space="preserve"> - kanalizace: odvodnění podlahy kotelny, odvod kondenzátu.</w:t>
      </w:r>
    </w:p>
    <w:p w14:paraId="1ACC5467" w14:textId="56F63B8F" w:rsidR="00863539" w:rsidRPr="004659FA" w:rsidRDefault="00863539" w:rsidP="00863539">
      <w:pPr>
        <w:spacing w:before="120"/>
        <w:jc w:val="both"/>
        <w:rPr>
          <w:sz w:val="24"/>
          <w:szCs w:val="24"/>
        </w:rPr>
      </w:pPr>
      <w:r w:rsidRPr="004659FA">
        <w:rPr>
          <w:sz w:val="24"/>
          <w:szCs w:val="24"/>
        </w:rPr>
        <w:t xml:space="preserve">Vzduchotechnika – </w:t>
      </w:r>
      <w:r w:rsidR="00396AFB" w:rsidRPr="004659FA">
        <w:rPr>
          <w:sz w:val="24"/>
          <w:szCs w:val="24"/>
        </w:rPr>
        <w:t xml:space="preserve">zpracovat </w:t>
      </w:r>
      <w:r w:rsidRPr="004659FA">
        <w:rPr>
          <w:sz w:val="24"/>
          <w:szCs w:val="24"/>
        </w:rPr>
        <w:t>návrh technického řešení a výpočet účinného větrání kotelny a prostorů souvisejících s provozem kotelny dle vyhlášky 91/1993 Sb. Doložit výpočet potřebného množství vzduchu pro spalování plynu, zejména dle ČSN 07 0703 a potřebného tahu kotlů dle ČSN 73 4201.</w:t>
      </w:r>
    </w:p>
    <w:p w14:paraId="2BCEA83E" w14:textId="5DDBD97E" w:rsidR="00863539" w:rsidRDefault="00863539" w:rsidP="00863539">
      <w:pPr>
        <w:spacing w:before="120"/>
        <w:jc w:val="both"/>
        <w:rPr>
          <w:sz w:val="24"/>
          <w:szCs w:val="24"/>
        </w:rPr>
      </w:pPr>
      <w:r w:rsidRPr="004659FA">
        <w:rPr>
          <w:sz w:val="24"/>
          <w:szCs w:val="24"/>
        </w:rPr>
        <w:t>Elektroinstalace – nové elektrorozvody (návrh osvětlení, zásuvkové okruhy, rozvaděč ESI), osazení podružného měření elektro pro kotelnu. Osazení podružného měření e</w:t>
      </w:r>
      <w:r w:rsidR="00706A7D">
        <w:rPr>
          <w:sz w:val="24"/>
          <w:szCs w:val="24"/>
        </w:rPr>
        <w:t>lektroodběru kotelny</w:t>
      </w:r>
      <w:r w:rsidRPr="004659FA">
        <w:rPr>
          <w:sz w:val="24"/>
          <w:szCs w:val="24"/>
        </w:rPr>
        <w:t>.</w:t>
      </w:r>
    </w:p>
    <w:p w14:paraId="12619A4D" w14:textId="35BE2ECC" w:rsidR="00706A7D" w:rsidRPr="004659FA" w:rsidRDefault="00706A7D" w:rsidP="00863539">
      <w:pPr>
        <w:spacing w:before="120"/>
        <w:jc w:val="both"/>
        <w:rPr>
          <w:sz w:val="24"/>
          <w:szCs w:val="24"/>
        </w:rPr>
      </w:pPr>
      <w:r w:rsidRPr="00706A7D">
        <w:rPr>
          <w:sz w:val="24"/>
          <w:szCs w:val="24"/>
        </w:rPr>
        <w:t>Plyn – požadavky na rozvod plynu dle ČSN 070709, zejména čl. 9.</w:t>
      </w:r>
    </w:p>
    <w:p w14:paraId="32192E89" w14:textId="21814D71" w:rsidR="00863539" w:rsidRPr="004659FA" w:rsidRDefault="00396AFB" w:rsidP="00863539">
      <w:pPr>
        <w:spacing w:before="120"/>
        <w:jc w:val="both"/>
        <w:rPr>
          <w:sz w:val="24"/>
          <w:szCs w:val="24"/>
        </w:rPr>
      </w:pPr>
      <w:r w:rsidRPr="004659FA">
        <w:rPr>
          <w:sz w:val="24"/>
          <w:szCs w:val="24"/>
        </w:rPr>
        <w:t>Zpracovat s</w:t>
      </w:r>
      <w:r w:rsidR="00863539" w:rsidRPr="004659FA">
        <w:rPr>
          <w:sz w:val="24"/>
          <w:szCs w:val="24"/>
        </w:rPr>
        <w:t>oupis všech zkoušek zařízení (VZT, tlakové nádoby, plynové zařízení, el. zařízení, atd.) podle platných předpisů, zejména dle ČSN 06 0310</w:t>
      </w:r>
      <w:r w:rsidR="00B12800">
        <w:rPr>
          <w:sz w:val="24"/>
          <w:szCs w:val="24"/>
        </w:rPr>
        <w:t xml:space="preserve"> zejména</w:t>
      </w:r>
      <w:r w:rsidR="00863539" w:rsidRPr="004659FA">
        <w:rPr>
          <w:sz w:val="24"/>
          <w:szCs w:val="24"/>
        </w:rPr>
        <w:t xml:space="preserve"> čl. 8 .</w:t>
      </w:r>
    </w:p>
    <w:p w14:paraId="0B1B19B6" w14:textId="149F99B6" w:rsidR="00863539" w:rsidRPr="00863539" w:rsidRDefault="00863539" w:rsidP="00863539">
      <w:pPr>
        <w:spacing w:before="120"/>
        <w:jc w:val="both"/>
        <w:rPr>
          <w:sz w:val="24"/>
          <w:szCs w:val="24"/>
        </w:rPr>
      </w:pPr>
      <w:r w:rsidRPr="004659FA">
        <w:rPr>
          <w:sz w:val="24"/>
          <w:szCs w:val="24"/>
        </w:rPr>
        <w:t xml:space="preserve">Bezpečnostní značení </w:t>
      </w:r>
      <w:r w:rsidR="00437A26" w:rsidRPr="004659FA">
        <w:rPr>
          <w:sz w:val="24"/>
          <w:szCs w:val="24"/>
        </w:rPr>
        <w:t xml:space="preserve"> zajistit </w:t>
      </w:r>
      <w:r w:rsidRPr="004659FA">
        <w:rPr>
          <w:sz w:val="24"/>
          <w:szCs w:val="24"/>
        </w:rPr>
        <w:t>dle příslušných</w:t>
      </w:r>
      <w:r w:rsidRPr="00863539">
        <w:rPr>
          <w:sz w:val="24"/>
          <w:szCs w:val="24"/>
        </w:rPr>
        <w:t xml:space="preserve"> norem.</w:t>
      </w:r>
    </w:p>
    <w:p w14:paraId="29B609B9" w14:textId="60D5EF49" w:rsidR="00863539" w:rsidRPr="00863539" w:rsidRDefault="00863539" w:rsidP="00863539">
      <w:pPr>
        <w:spacing w:before="120"/>
        <w:jc w:val="both"/>
        <w:rPr>
          <w:sz w:val="24"/>
          <w:szCs w:val="24"/>
        </w:rPr>
      </w:pPr>
      <w:r w:rsidRPr="00863539">
        <w:rPr>
          <w:sz w:val="24"/>
          <w:szCs w:val="24"/>
        </w:rPr>
        <w:t>Kotelnu v návrhu vybavit dle příslušných norem a zákonných povinností zejména dle ČSN 070703</w:t>
      </w:r>
      <w:r w:rsidR="00B12800">
        <w:rPr>
          <w:sz w:val="24"/>
          <w:szCs w:val="24"/>
        </w:rPr>
        <w:t xml:space="preserve"> zejména</w:t>
      </w:r>
      <w:r w:rsidRPr="00863539">
        <w:rPr>
          <w:sz w:val="24"/>
          <w:szCs w:val="24"/>
        </w:rPr>
        <w:t xml:space="preserve"> čl. 15 (např. lékárničkou, přenosnou svítilnou, přenosnými hasicími přístroji apod.) – pouze položkou do soupisu prací.</w:t>
      </w:r>
    </w:p>
    <w:p w14:paraId="479FD74C" w14:textId="77777777" w:rsidR="00863539" w:rsidRPr="00863539" w:rsidRDefault="00863539" w:rsidP="00863539">
      <w:pPr>
        <w:spacing w:before="120"/>
        <w:jc w:val="both"/>
        <w:rPr>
          <w:sz w:val="24"/>
          <w:szCs w:val="24"/>
        </w:rPr>
      </w:pPr>
      <w:r w:rsidRPr="0098365C">
        <w:rPr>
          <w:sz w:val="24"/>
          <w:szCs w:val="24"/>
        </w:rPr>
        <w:t>Zpracovat návrh provozního řádu</w:t>
      </w:r>
      <w:r w:rsidRPr="00863539">
        <w:rPr>
          <w:sz w:val="24"/>
          <w:szCs w:val="24"/>
        </w:rPr>
        <w:t>, který musí obsahovat:</w:t>
      </w:r>
    </w:p>
    <w:p w14:paraId="1F292B0D" w14:textId="28E7DC97" w:rsidR="00863539" w:rsidRPr="00863539" w:rsidRDefault="00863539" w:rsidP="00863539">
      <w:pPr>
        <w:spacing w:before="120"/>
        <w:jc w:val="both"/>
        <w:rPr>
          <w:sz w:val="24"/>
          <w:szCs w:val="24"/>
        </w:rPr>
      </w:pPr>
      <w:r w:rsidRPr="00863539">
        <w:rPr>
          <w:sz w:val="24"/>
          <w:szCs w:val="24"/>
        </w:rPr>
        <w:t>počet kotlů, které může obsluhovat jeden topič,způsob obsluhy,povinnosti pracovníků při provozu kotelny,</w:t>
      </w:r>
      <w:r w:rsidR="00437A26">
        <w:rPr>
          <w:sz w:val="24"/>
          <w:szCs w:val="24"/>
        </w:rPr>
        <w:t xml:space="preserve"> </w:t>
      </w:r>
      <w:r w:rsidRPr="00863539">
        <w:rPr>
          <w:sz w:val="24"/>
          <w:szCs w:val="24"/>
        </w:rPr>
        <w:t>lhůty a způsob kontrol</w:t>
      </w:r>
      <w:r w:rsidR="00437A26">
        <w:rPr>
          <w:sz w:val="24"/>
          <w:szCs w:val="24"/>
        </w:rPr>
        <w:t xml:space="preserve"> zabezpečovacího zařízení, </w:t>
      </w:r>
      <w:r w:rsidRPr="00863539">
        <w:rPr>
          <w:sz w:val="24"/>
          <w:szCs w:val="24"/>
        </w:rPr>
        <w:t>lhůty a způsob zjišťování přítomnosti oxidu uhelnatého v prostorách kotelny a v prostorách souvisejících s jejich provozem,</w:t>
      </w:r>
    </w:p>
    <w:p w14:paraId="09655FE0" w14:textId="77777777" w:rsidR="00863539" w:rsidRPr="004659FA" w:rsidRDefault="00863539" w:rsidP="00863539">
      <w:pPr>
        <w:spacing w:before="120"/>
        <w:jc w:val="both"/>
        <w:rPr>
          <w:sz w:val="24"/>
          <w:szCs w:val="24"/>
        </w:rPr>
      </w:pPr>
      <w:r w:rsidRPr="004659FA">
        <w:rPr>
          <w:sz w:val="24"/>
          <w:szCs w:val="24"/>
        </w:rPr>
        <w:lastRenderedPageBreak/>
        <w:t xml:space="preserve">Soupis prací rozdělit na kotelnu (technologie, rozvody, stavební úpravy), strojovnu (technologie, rozvody, stavební úpravy a ostatní objekt. Kotelna a strojovna zahrnuje prostor ohraničený obvodovou zdí, podlahou nebo stropem. </w:t>
      </w:r>
    </w:p>
    <w:p w14:paraId="304098A6" w14:textId="77777777" w:rsidR="009C5A7E" w:rsidRPr="004659FA" w:rsidRDefault="009C5A7E" w:rsidP="00B92585">
      <w:pPr>
        <w:spacing w:before="120"/>
        <w:jc w:val="both"/>
        <w:rPr>
          <w:sz w:val="24"/>
          <w:szCs w:val="24"/>
        </w:rPr>
      </w:pPr>
    </w:p>
    <w:p w14:paraId="392CE136" w14:textId="601FF4AD" w:rsidR="00FD3A78" w:rsidRPr="004659FA" w:rsidRDefault="00FD3A78" w:rsidP="00F42193">
      <w:pPr>
        <w:jc w:val="both"/>
        <w:rPr>
          <w:sz w:val="24"/>
          <w:szCs w:val="24"/>
        </w:rPr>
      </w:pPr>
      <w:r w:rsidRPr="004659FA">
        <w:rPr>
          <w:sz w:val="24"/>
          <w:szCs w:val="24"/>
        </w:rPr>
        <w:t xml:space="preserve">Prováděcí výkresy </w:t>
      </w:r>
      <w:r w:rsidR="00396AFB" w:rsidRPr="004659FA">
        <w:rPr>
          <w:sz w:val="24"/>
          <w:szCs w:val="24"/>
        </w:rPr>
        <w:t xml:space="preserve">zpracovat </w:t>
      </w:r>
      <w:r w:rsidRPr="004659FA">
        <w:rPr>
          <w:sz w:val="24"/>
          <w:szCs w:val="24"/>
        </w:rPr>
        <w:t xml:space="preserve">v příslušném měřítku tak, aby bylo technické a konstrukční řešení zřejmé </w:t>
      </w:r>
      <w:r w:rsidR="00A0703D" w:rsidRPr="004659FA">
        <w:rPr>
          <w:sz w:val="24"/>
          <w:szCs w:val="24"/>
        </w:rPr>
        <w:t>a </w:t>
      </w:r>
      <w:r w:rsidRPr="004659FA">
        <w:rPr>
          <w:sz w:val="24"/>
          <w:szCs w:val="24"/>
        </w:rPr>
        <w:t>přehledné</w:t>
      </w:r>
      <w:r w:rsidR="009C5A7E" w:rsidRPr="004659FA">
        <w:rPr>
          <w:sz w:val="24"/>
          <w:szCs w:val="24"/>
        </w:rPr>
        <w:t>. S</w:t>
      </w:r>
      <w:r w:rsidRPr="004659FA">
        <w:rPr>
          <w:sz w:val="24"/>
          <w:szCs w:val="24"/>
        </w:rPr>
        <w:t>oučástí prováděcích výkresů budou příslušné specifikace materiálů a výrobků.</w:t>
      </w:r>
    </w:p>
    <w:p w14:paraId="09C8A458" w14:textId="338DB713" w:rsidR="00FD3A78" w:rsidRPr="004659FA" w:rsidRDefault="009C5A7E" w:rsidP="00B92585">
      <w:pPr>
        <w:pStyle w:val="Normlnweb"/>
        <w:spacing w:before="120" w:after="0"/>
        <w:rPr>
          <w:szCs w:val="24"/>
          <w:lang w:eastAsia="ar-SA"/>
        </w:rPr>
      </w:pPr>
      <w:r w:rsidRPr="004659FA">
        <w:rPr>
          <w:szCs w:val="24"/>
          <w:lang w:eastAsia="ar-SA"/>
        </w:rPr>
        <w:t>PD</w:t>
      </w:r>
      <w:r w:rsidR="00FD3A78" w:rsidRPr="004659FA">
        <w:rPr>
          <w:szCs w:val="24"/>
          <w:lang w:eastAsia="ar-SA"/>
        </w:rPr>
        <w:t xml:space="preserve">, výkaz výměr a soupis nesmí obsahovat konkrétní obchodní názvy výrobků, popř. odkazy </w:t>
      </w:r>
      <w:r w:rsidR="00A0703D" w:rsidRPr="004659FA">
        <w:rPr>
          <w:szCs w:val="24"/>
          <w:lang w:eastAsia="ar-SA"/>
        </w:rPr>
        <w:t>na </w:t>
      </w:r>
      <w:r w:rsidR="00FD3A78" w:rsidRPr="004659FA">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44E16446" w:rsidR="00FD3A78" w:rsidRPr="00C43B98" w:rsidRDefault="00FD3A78" w:rsidP="00B92585">
      <w:pPr>
        <w:pStyle w:val="Zkladntext3"/>
        <w:jc w:val="both"/>
        <w:rPr>
          <w:szCs w:val="24"/>
        </w:rPr>
      </w:pPr>
      <w:r w:rsidRPr="004659FA">
        <w:rPr>
          <w:szCs w:val="24"/>
        </w:rPr>
        <w:t xml:space="preserve">Rozpočty </w:t>
      </w:r>
      <w:r w:rsidR="00396AFB" w:rsidRPr="004659FA">
        <w:rPr>
          <w:szCs w:val="24"/>
        </w:rPr>
        <w:t>zpracovat</w:t>
      </w:r>
      <w:r w:rsidRPr="004659FA">
        <w:rPr>
          <w:szCs w:val="24"/>
        </w:rPr>
        <w:t xml:space="preserve"> položkově po profesích s použitím ceníků stavebních prací a sborníků cen a materiálů </w:t>
      </w:r>
      <w:r w:rsidR="00041A73" w:rsidRPr="004659FA">
        <w:rPr>
          <w:szCs w:val="24"/>
        </w:rPr>
        <w:t>Ú</w:t>
      </w:r>
      <w:r w:rsidRPr="004659FA">
        <w:rPr>
          <w:szCs w:val="24"/>
        </w:rPr>
        <w:t>RS Praha a.s., vydaných v roce</w:t>
      </w:r>
      <w:r w:rsidRPr="00C43B98">
        <w:rPr>
          <w:szCs w:val="24"/>
        </w:rPr>
        <w:t xml:space="preserv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w:t>
      </w:r>
      <w:r w:rsidR="00396AFB">
        <w:rPr>
          <w:szCs w:val="24"/>
        </w:rPr>
        <w:t>zpracovat</w:t>
      </w:r>
      <w:r w:rsidRPr="00C43B98">
        <w:rPr>
          <w:szCs w:val="24"/>
        </w:rPr>
        <w:t xml:space="preserve"> v rozlišení </w:t>
      </w:r>
      <w:r w:rsidR="00A0703D" w:rsidRPr="00C43B98">
        <w:rPr>
          <w:szCs w:val="24"/>
        </w:rPr>
        <w:t>na</w:t>
      </w:r>
      <w:r w:rsidR="00A0703D">
        <w:rPr>
          <w:szCs w:val="24"/>
        </w:rPr>
        <w:t> </w:t>
      </w:r>
      <w:r w:rsidRPr="00C43B98">
        <w:rPr>
          <w:szCs w:val="24"/>
        </w:rPr>
        <w:t>stavební a montážní práce (číselný kód klasifikace produkce CZ-CPA) a ostatní práce.</w:t>
      </w:r>
    </w:p>
    <w:p w14:paraId="785B107F" w14:textId="4CDB3F97" w:rsidR="000A33FA" w:rsidRPr="00C43B98" w:rsidRDefault="00396AFB" w:rsidP="00B92585">
      <w:pPr>
        <w:pStyle w:val="Zkladntext3"/>
        <w:jc w:val="both"/>
        <w:rPr>
          <w:bCs/>
          <w:szCs w:val="24"/>
        </w:rPr>
      </w:pPr>
      <w:r>
        <w:rPr>
          <w:bCs/>
          <w:szCs w:val="24"/>
        </w:rPr>
        <w:t xml:space="preserve">Před vypracováním projektu je zhotovitel povinen podrobně se seznámit </w:t>
      </w:r>
      <w:r w:rsidR="00FD3A78" w:rsidRPr="00C43B98">
        <w:rPr>
          <w:bCs/>
          <w:szCs w:val="24"/>
        </w:rPr>
        <w:t>se skutečným stavem objektu. Zjištěné poznatky budou zapracovány do PD.</w:t>
      </w:r>
    </w:p>
    <w:p w14:paraId="5894C0A9" w14:textId="46F60A6C" w:rsidR="000A33FA" w:rsidRPr="00C43B98" w:rsidRDefault="000A33FA" w:rsidP="00B92585">
      <w:pPr>
        <w:pStyle w:val="Zkladntext3"/>
        <w:jc w:val="both"/>
        <w:rPr>
          <w:bCs/>
          <w:szCs w:val="24"/>
        </w:rPr>
      </w:pPr>
      <w:r w:rsidRPr="00C43B98">
        <w:rPr>
          <w:szCs w:val="24"/>
        </w:rPr>
        <w:t xml:space="preserve">Objednatel po odsouhlasení návrhu na </w:t>
      </w:r>
      <w:r w:rsidR="00FB44AD">
        <w:rPr>
          <w:szCs w:val="24"/>
        </w:rPr>
        <w:t xml:space="preserve">poslední </w:t>
      </w:r>
      <w:r w:rsidRPr="00C43B98">
        <w:rPr>
          <w:szCs w:val="24"/>
        </w:rPr>
        <w:t>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F42193">
      <w:pPr>
        <w:shd w:val="clear" w:color="00FFFF" w:fill="auto"/>
        <w:spacing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68E426CF" w:rsidR="000A05E6" w:rsidRPr="007D23E0" w:rsidRDefault="00B64F75" w:rsidP="00B42E78">
      <w:pPr>
        <w:tabs>
          <w:tab w:val="right" w:pos="567"/>
        </w:tabs>
        <w:spacing w:after="120"/>
        <w:jc w:val="both"/>
        <w:rPr>
          <w:bCs/>
          <w:sz w:val="24"/>
          <w:szCs w:val="24"/>
        </w:rPr>
      </w:pPr>
      <w:r>
        <w:rPr>
          <w:bCs/>
          <w:sz w:val="24"/>
          <w:szCs w:val="24"/>
        </w:rPr>
        <w:t>Termín zahájení:</w:t>
      </w:r>
      <w:r>
        <w:rPr>
          <w:bCs/>
          <w:sz w:val="24"/>
          <w:szCs w:val="24"/>
        </w:rPr>
        <w:tab/>
        <w:t xml:space="preserve">           </w:t>
      </w:r>
      <w:r>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000A05E6" w:rsidRPr="007D23E0">
        <w:rPr>
          <w:bCs/>
          <w:sz w:val="24"/>
          <w:szCs w:val="24"/>
        </w:rPr>
        <w:tab/>
      </w:r>
      <w:r w:rsidR="000A05E6" w:rsidRPr="007D23E0">
        <w:rPr>
          <w:bCs/>
          <w:sz w:val="24"/>
          <w:szCs w:val="24"/>
        </w:rPr>
        <w:tab/>
      </w:r>
    </w:p>
    <w:p w14:paraId="288E970D" w14:textId="560323EF" w:rsidR="00B64F75" w:rsidRDefault="004A484F" w:rsidP="009C00D3">
      <w:pPr>
        <w:tabs>
          <w:tab w:val="right" w:pos="567"/>
        </w:tabs>
        <w:spacing w:after="120"/>
        <w:jc w:val="both"/>
        <w:rPr>
          <w:bCs/>
          <w:sz w:val="24"/>
          <w:szCs w:val="24"/>
        </w:rPr>
      </w:pPr>
      <w:r w:rsidRPr="00C43B98">
        <w:rPr>
          <w:bCs/>
          <w:sz w:val="24"/>
          <w:szCs w:val="24"/>
        </w:rPr>
        <w:t>Předání PD</w:t>
      </w:r>
      <w:r w:rsidR="00B64F75">
        <w:rPr>
          <w:bCs/>
          <w:sz w:val="24"/>
          <w:szCs w:val="24"/>
        </w:rPr>
        <w:t xml:space="preserve"> a t</w:t>
      </w:r>
      <w:r w:rsidR="001C663B" w:rsidRPr="00C43B98">
        <w:rPr>
          <w:bCs/>
          <w:sz w:val="24"/>
          <w:szCs w:val="24"/>
        </w:rPr>
        <w:t xml:space="preserve">ermín ukončení plnění vč. </w:t>
      </w:r>
      <w:r w:rsidR="009C00D3" w:rsidRPr="00C43B98">
        <w:rPr>
          <w:bCs/>
          <w:sz w:val="24"/>
          <w:szCs w:val="24"/>
        </w:rPr>
        <w:t>p</w:t>
      </w:r>
      <w:r w:rsidR="000A05E6" w:rsidRPr="00C43B98">
        <w:rPr>
          <w:bCs/>
          <w:sz w:val="24"/>
          <w:szCs w:val="24"/>
        </w:rPr>
        <w:t xml:space="preserve">ředložení </w:t>
      </w:r>
      <w:r w:rsidR="00D8470D" w:rsidRPr="0079798B">
        <w:rPr>
          <w:bCs/>
          <w:sz w:val="24"/>
          <w:szCs w:val="24"/>
        </w:rPr>
        <w:t xml:space="preserve">pravomocného </w:t>
      </w:r>
      <w:r w:rsidR="000A05E6" w:rsidRPr="0079798B">
        <w:rPr>
          <w:bCs/>
          <w:sz w:val="24"/>
          <w:szCs w:val="24"/>
        </w:rPr>
        <w:t>stavebního povolení</w:t>
      </w:r>
      <w:r w:rsidR="00D8470D">
        <w:rPr>
          <w:bCs/>
          <w:sz w:val="24"/>
          <w:szCs w:val="24"/>
        </w:rPr>
        <w:t xml:space="preserve"> </w:t>
      </w:r>
      <w:r w:rsidR="009C00D3" w:rsidRPr="00C43B98">
        <w:rPr>
          <w:bCs/>
          <w:sz w:val="24"/>
          <w:szCs w:val="24"/>
        </w:rPr>
        <w:t xml:space="preserve">a dalších dokladů dle </w:t>
      </w:r>
      <w:r w:rsidR="006174BE" w:rsidRPr="00C43B98">
        <w:rPr>
          <w:bCs/>
          <w:sz w:val="24"/>
          <w:szCs w:val="24"/>
        </w:rPr>
        <w:t xml:space="preserve">čl. </w:t>
      </w:r>
      <w:r w:rsidR="009C00D3" w:rsidRPr="00C43B98">
        <w:rPr>
          <w:bCs/>
          <w:sz w:val="24"/>
          <w:szCs w:val="24"/>
        </w:rPr>
        <w:t>I.</w:t>
      </w:r>
      <w:r w:rsidR="006174BE" w:rsidRPr="00C43B98">
        <w:rPr>
          <w:bCs/>
          <w:sz w:val="24"/>
          <w:szCs w:val="24"/>
        </w:rPr>
        <w:t xml:space="preserve"> </w:t>
      </w:r>
      <w:r w:rsidR="009C00D3" w:rsidRPr="00C43B98">
        <w:rPr>
          <w:bCs/>
          <w:sz w:val="24"/>
          <w:szCs w:val="24"/>
        </w:rPr>
        <w:t>této smlouvy</w:t>
      </w:r>
      <w:r w:rsidR="00B64F75">
        <w:rPr>
          <w:bCs/>
          <w:sz w:val="24"/>
          <w:szCs w:val="24"/>
        </w:rPr>
        <w:t>:</w:t>
      </w:r>
    </w:p>
    <w:p w14:paraId="561EEAD7" w14:textId="4D264681" w:rsidR="000A05E6" w:rsidRPr="00C43B98" w:rsidRDefault="00B64F75"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t xml:space="preserve">do </w:t>
      </w:r>
      <w:r w:rsidR="00FB768C">
        <w:rPr>
          <w:color w:val="000000"/>
          <w:sz w:val="24"/>
        </w:rPr>
        <w:t>15</w:t>
      </w:r>
      <w:r w:rsidRPr="00B64F75">
        <w:rPr>
          <w:color w:val="000000"/>
          <w:sz w:val="24"/>
        </w:rPr>
        <w:t xml:space="preserve">. </w:t>
      </w:r>
      <w:r w:rsidR="00267E0E">
        <w:rPr>
          <w:color w:val="000000"/>
          <w:sz w:val="24"/>
        </w:rPr>
        <w:t>6</w:t>
      </w:r>
      <w:r w:rsidRPr="00B64F75">
        <w:rPr>
          <w:color w:val="000000"/>
          <w:sz w:val="24"/>
        </w:rPr>
        <w:t>. 2018</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5D1D0AC8" w:rsidR="00A54417" w:rsidRDefault="000632C5" w:rsidP="00B64F75">
      <w:pPr>
        <w:spacing w:after="120"/>
        <w:rPr>
          <w:color w:val="000000"/>
          <w:sz w:val="24"/>
        </w:rPr>
      </w:pPr>
      <w:r w:rsidRPr="00C43B98">
        <w:rPr>
          <w:sz w:val="24"/>
          <w:szCs w:val="24"/>
        </w:rPr>
        <w:t>Místo plnění</w:t>
      </w:r>
      <w:r w:rsidR="00A54417" w:rsidRPr="00C43B98">
        <w:rPr>
          <w:sz w:val="24"/>
          <w:szCs w:val="24"/>
        </w:rPr>
        <w:t>:</w:t>
      </w:r>
      <w:r w:rsidR="00A0703D">
        <w:rPr>
          <w:sz w:val="24"/>
          <w:szCs w:val="24"/>
        </w:rPr>
        <w:t xml:space="preserve"> </w:t>
      </w:r>
      <w:r w:rsidR="00B64F75">
        <w:rPr>
          <w:sz w:val="24"/>
          <w:szCs w:val="24"/>
        </w:rPr>
        <w:tab/>
      </w:r>
      <w:r w:rsidR="00B64F75">
        <w:rPr>
          <w:sz w:val="24"/>
          <w:szCs w:val="24"/>
        </w:rPr>
        <w:tab/>
      </w:r>
      <w:r w:rsidR="00B64F75">
        <w:rPr>
          <w:sz w:val="24"/>
          <w:szCs w:val="24"/>
        </w:rPr>
        <w:tab/>
      </w:r>
      <w:r w:rsidR="00FB768C" w:rsidRPr="00FB768C">
        <w:rPr>
          <w:color w:val="000000"/>
          <w:sz w:val="24"/>
        </w:rPr>
        <w:t xml:space="preserve">Armádní střelecký stadion, </w:t>
      </w:r>
      <w:r w:rsidR="00B12800">
        <w:rPr>
          <w:color w:val="000000"/>
          <w:sz w:val="24"/>
        </w:rPr>
        <w:t>Lobzy</w:t>
      </w:r>
      <w:r w:rsidR="00FB768C" w:rsidRPr="00FB768C">
        <w:rPr>
          <w:color w:val="000000"/>
          <w:sz w:val="24"/>
        </w:rPr>
        <w:t xml:space="preserve"> 1109, 312 00 Plzeň</w:t>
      </w:r>
      <w:r w:rsidR="00B12800">
        <w:rPr>
          <w:color w:val="000000"/>
          <w:sz w:val="24"/>
        </w:rPr>
        <w:t xml:space="preserve"> 4</w:t>
      </w:r>
    </w:p>
    <w:p w14:paraId="4F2C1141" w14:textId="61D5CEDB" w:rsidR="00B64F75" w:rsidRPr="00C43B98" w:rsidRDefault="00B64F75" w:rsidP="00B64F75">
      <w:pPr>
        <w:spacing w:after="120"/>
        <w:rPr>
          <w:sz w:val="24"/>
          <w:szCs w:val="24"/>
        </w:rPr>
      </w:pPr>
      <w:r>
        <w:rPr>
          <w:color w:val="000000"/>
          <w:sz w:val="24"/>
        </w:rPr>
        <w:tab/>
      </w:r>
      <w:r>
        <w:rPr>
          <w:color w:val="000000"/>
          <w:sz w:val="24"/>
        </w:rPr>
        <w:tab/>
      </w:r>
      <w:r>
        <w:rPr>
          <w:color w:val="000000"/>
          <w:sz w:val="24"/>
        </w:rPr>
        <w:tab/>
      </w:r>
      <w:r>
        <w:rPr>
          <w:color w:val="000000"/>
          <w:sz w:val="24"/>
        </w:rPr>
        <w:tab/>
      </w:r>
      <w:r w:rsidRPr="00506D42">
        <w:rPr>
          <w:color w:val="000000"/>
          <w:sz w:val="24"/>
        </w:rPr>
        <w:t>GPS</w:t>
      </w:r>
      <w:r>
        <w:rPr>
          <w:color w:val="000000"/>
          <w:sz w:val="24"/>
        </w:rPr>
        <w:t xml:space="preserve">: </w:t>
      </w:r>
      <w:r w:rsidR="00863539" w:rsidRPr="00863539">
        <w:rPr>
          <w:color w:val="000000"/>
          <w:sz w:val="24"/>
        </w:rPr>
        <w:t>49°44'13.790"N, 13°25'10.952"E</w:t>
      </w:r>
    </w:p>
    <w:p w14:paraId="24A79CB1" w14:textId="77777777" w:rsidR="00F42193" w:rsidRPr="00C43B98" w:rsidRDefault="00F42193" w:rsidP="00B92585">
      <w:pPr>
        <w:shd w:val="clear" w:color="00FFFF" w:fill="auto"/>
        <w:rPr>
          <w:sz w:val="24"/>
          <w:szCs w:val="24"/>
        </w:rPr>
      </w:pPr>
    </w:p>
    <w:p w14:paraId="66CAEA33" w14:textId="42876874" w:rsidR="00A35C8B" w:rsidRPr="00C43B98" w:rsidRDefault="00A35C8B" w:rsidP="00F42193">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58009B35" w:rsidR="006174BE" w:rsidRDefault="00FB44AD" w:rsidP="00BB5F29">
      <w:pPr>
        <w:spacing w:before="240" w:after="120"/>
        <w:ind w:left="284"/>
        <w:jc w:val="both"/>
        <w:rPr>
          <w:sz w:val="24"/>
        </w:rPr>
      </w:pPr>
      <w:r>
        <w:rPr>
          <w:sz w:val="24"/>
        </w:rPr>
        <w:t>Cena za zpracování PD (slepý a oceněný soupis stavebních prací, dodávek a služeb vč. zajištění inženýrské činnosti pro vydání stavebního povolení) bez DPH:</w:t>
      </w:r>
    </w:p>
    <w:p w14:paraId="3ECB8475" w14:textId="447DB432" w:rsidR="00BB5F29" w:rsidRDefault="00BB5F29" w:rsidP="002E18C5">
      <w:pPr>
        <w:spacing w:after="120"/>
        <w:jc w:val="both"/>
        <w:rPr>
          <w:sz w:val="24"/>
        </w:rPr>
      </w:pPr>
    </w:p>
    <w:p w14:paraId="172419B2" w14:textId="3666FDAB" w:rsidR="002E18C5" w:rsidRPr="00C43B98" w:rsidRDefault="00732653" w:rsidP="00BB5F29">
      <w:pPr>
        <w:spacing w:after="120"/>
        <w:ind w:left="284"/>
        <w:jc w:val="both"/>
        <w:rPr>
          <w:b/>
          <w:sz w:val="24"/>
          <w:u w:val="single"/>
        </w:rPr>
      </w:pPr>
      <w:r>
        <w:rPr>
          <w:sz w:val="24"/>
        </w:rPr>
        <w:t>Cena</w:t>
      </w:r>
      <w:r w:rsidR="007B5A35" w:rsidRPr="00C43B98">
        <w:rPr>
          <w:sz w:val="24"/>
        </w:rPr>
        <w:t xml:space="preserve"> bez </w:t>
      </w:r>
      <w:r w:rsidR="00C164FD">
        <w:rPr>
          <w:sz w:val="24"/>
        </w:rPr>
        <w:t>DPH:</w:t>
      </w:r>
      <w:r w:rsidR="00BB5F29">
        <w:rPr>
          <w:sz w:val="24"/>
        </w:rPr>
        <w:tab/>
      </w:r>
      <w:r w:rsidR="00BB5F29">
        <w:rPr>
          <w:sz w:val="24"/>
        </w:rPr>
        <w:tab/>
      </w:r>
      <w:r w:rsidR="00BB5F29">
        <w:rPr>
          <w:sz w:val="24"/>
        </w:rPr>
        <w:tab/>
      </w:r>
      <w:r w:rsidR="00117F30">
        <w:rPr>
          <w:sz w:val="24"/>
        </w:rPr>
        <w:tab/>
      </w:r>
      <w:r w:rsidR="00117F30">
        <w:rPr>
          <w:sz w:val="24"/>
        </w:rPr>
        <w:tab/>
      </w:r>
      <w:r w:rsidR="00117F30">
        <w:rPr>
          <w:sz w:val="24"/>
        </w:rPr>
        <w:tab/>
      </w:r>
      <w:r w:rsidR="00BB5F29">
        <w:rPr>
          <w:sz w:val="24"/>
        </w:rPr>
        <w:tab/>
      </w:r>
      <w:r w:rsidR="0057101C" w:rsidRPr="0057101C">
        <w:rPr>
          <w:b/>
          <w:sz w:val="24"/>
        </w:rPr>
        <w:t>148 890,-</w:t>
      </w:r>
      <w:r w:rsidR="00C164FD">
        <w:rPr>
          <w:b/>
          <w:sz w:val="24"/>
        </w:rPr>
        <w:t xml:space="preserve">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4EDCEA0E"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BB5F29">
        <w:rPr>
          <w:rFonts w:eastAsia="Times New Roman"/>
          <w:szCs w:val="20"/>
          <w:lang w:val="cs-CZ" w:eastAsia="cs-CZ"/>
        </w:rPr>
        <w:t xml:space="preserve"> celkem</w:t>
      </w:r>
      <w:r w:rsidRPr="00C43B98">
        <w:rPr>
          <w:rFonts w:eastAsia="Times New Roman"/>
          <w:szCs w:val="20"/>
          <w:lang w:val="cs-CZ" w:eastAsia="cs-CZ"/>
        </w:rPr>
        <w:t>:</w:t>
      </w:r>
      <w:r w:rsidR="00041A73">
        <w:rPr>
          <w:rFonts w:eastAsia="Times New Roman"/>
          <w:szCs w:val="20"/>
          <w:lang w:val="cs-CZ" w:eastAsia="cs-CZ"/>
        </w:rPr>
        <w:t xml:space="preserve"> </w:t>
      </w:r>
      <w:r w:rsidR="0057101C">
        <w:rPr>
          <w:rFonts w:eastAsia="Times New Roman"/>
          <w:szCs w:val="20"/>
          <w:lang w:val="cs-CZ" w:eastAsia="cs-CZ"/>
        </w:rPr>
        <w:t>jednostočtyřicetosmtisícosmsetdevadesát</w:t>
      </w:r>
      <w:r w:rsidR="006174BE" w:rsidRPr="007D23E0">
        <w:rPr>
          <w:lang w:val="cs-CZ"/>
        </w:rPr>
        <w:t>korunčeských</w:t>
      </w:r>
      <w:r w:rsidR="00C164FD">
        <w:rPr>
          <w:lang w:val="cs-CZ"/>
        </w:rPr>
        <w:t>.</w:t>
      </w:r>
      <w:r w:rsidRPr="00C43B98">
        <w:rPr>
          <w:rFonts w:eastAsia="Times New Roman"/>
          <w:szCs w:val="20"/>
          <w:lang w:val="cs-CZ" w:eastAsia="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25E73D05" w:rsidR="00A93845" w:rsidRPr="007D23E0" w:rsidRDefault="00BE1A76" w:rsidP="00901DC5">
      <w:pPr>
        <w:spacing w:after="24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lastRenderedPageBreak/>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523C5004" w:rsidR="009F0941" w:rsidRPr="00C43B98" w:rsidRDefault="000A05E6"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 xml:space="preserve">6 Sb., </w:t>
      </w:r>
      <w:r w:rsidR="00C164FD">
        <w:rPr>
          <w:rFonts w:eastAsia="Calibri"/>
          <w:sz w:val="24"/>
          <w:szCs w:val="24"/>
        </w:rPr>
        <w:t>v platném znění</w:t>
      </w:r>
      <w:r w:rsidR="009F0941" w:rsidRPr="00C43B98">
        <w:rPr>
          <w:rFonts w:eastAsia="Calibri"/>
          <w:sz w:val="24"/>
          <w:szCs w:val="24"/>
        </w:rPr>
        <w:t xml:space="preserve">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w:t>
      </w:r>
      <w:r w:rsidR="00C164FD">
        <w:rPr>
          <w:rFonts w:eastAsia="Calibri"/>
          <w:sz w:val="24"/>
          <w:szCs w:val="24"/>
        </w:rPr>
        <w:t> </w:t>
      </w:r>
      <w:r w:rsidR="009F0941" w:rsidRPr="00C43B98">
        <w:rPr>
          <w:rFonts w:eastAsia="Calibri"/>
          <w:sz w:val="24"/>
          <w:szCs w:val="24"/>
        </w:rPr>
        <w:t>základě písemné žádosti zhotovitele.</w:t>
      </w:r>
    </w:p>
    <w:p w14:paraId="18547DC6" w14:textId="77777777" w:rsidR="00FE4FC9" w:rsidRDefault="00FE4FC9" w:rsidP="00FE4FC9">
      <w:pPr>
        <w:ind w:left="284"/>
        <w:jc w:val="both"/>
        <w:rPr>
          <w:rFonts w:eastAsia="Calibri"/>
          <w:sz w:val="24"/>
          <w:szCs w:val="24"/>
        </w:rPr>
      </w:pP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271902FD" w:rsidR="009F0941" w:rsidRPr="00C43B98"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w:t>
      </w:r>
      <w:r w:rsidR="0058554A">
        <w:rPr>
          <w:rFonts w:eastAsia="Calibri"/>
          <w:sz w:val="24"/>
          <w:szCs w:val="24"/>
        </w:rPr>
        <w:t>zakázek č. 134/2016 Sb.</w:t>
      </w:r>
      <w:r w:rsidR="00C164FD" w:rsidRPr="00C43B98">
        <w:rPr>
          <w:rFonts w:eastAsia="Calibri"/>
          <w:sz w:val="24"/>
          <w:szCs w:val="24"/>
        </w:rPr>
        <w:t xml:space="preserve"> </w:t>
      </w:r>
      <w:r w:rsidR="00C164FD">
        <w:rPr>
          <w:rFonts w:eastAsia="Calibri"/>
          <w:sz w:val="24"/>
          <w:szCs w:val="24"/>
        </w:rPr>
        <w:t>v 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3FE97C22"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A86BAA" w:rsidRPr="00A86BAA">
        <w:rPr>
          <w:color w:val="000000"/>
          <w:sz w:val="24"/>
        </w:rPr>
        <w:t>200 000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057EF933" w14:textId="4D5FFFD4" w:rsidR="002B30B8" w:rsidRDefault="00104A64" w:rsidP="002B30B8">
      <w:pPr>
        <w:numPr>
          <w:ilvl w:val="1"/>
          <w:numId w:val="8"/>
        </w:numPr>
        <w:shd w:val="clear" w:color="00FFFF" w:fill="auto"/>
        <w:spacing w:before="240"/>
        <w:jc w:val="both"/>
        <w:rPr>
          <w:sz w:val="24"/>
          <w:szCs w:val="24"/>
        </w:rPr>
      </w:pPr>
      <w:r w:rsidRPr="00C43B98">
        <w:rPr>
          <w:color w:val="000000"/>
          <w:sz w:val="24"/>
          <w:szCs w:val="24"/>
          <w:lang w:bidi="cs-CZ"/>
        </w:rPr>
        <w:lastRenderedPageBreak/>
        <w:t xml:space="preserve">Zhotovitel se zavazuje zajistit výkon autorského dozoru (dále jen </w:t>
      </w:r>
      <w:r w:rsidRPr="00B42E78">
        <w:rPr>
          <w:color w:val="000000"/>
          <w:sz w:val="24"/>
          <w:szCs w:val="24"/>
          <w:lang w:eastAsia="de-DE" w:bidi="de-DE"/>
        </w:rPr>
        <w:t xml:space="preserve">„AD“)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příslušnou odbornou způsobilostí v rozsahu přílohy č. 5 Sazebníku UNIKA</w:t>
      </w:r>
      <w:r w:rsidRPr="00C43B98">
        <w:rPr>
          <w:sz w:val="24"/>
          <w:szCs w:val="24"/>
          <w:lang w:bidi="cs-CZ"/>
        </w:rPr>
        <w:t xml:space="preserve"> po celou dobu realizace stavby, na niž zpracuje PD dle čl. I. této smlouvy,</w:t>
      </w:r>
      <w:r w:rsidR="00BC1972" w:rsidRPr="00C43B98">
        <w:rPr>
          <w:sz w:val="24"/>
          <w:szCs w:val="24"/>
          <w:lang w:bidi="cs-CZ"/>
        </w:rPr>
        <w:t xml:space="preserve"> a to</w:t>
      </w:r>
      <w:r w:rsidRPr="00C43B98">
        <w:rPr>
          <w:sz w:val="24"/>
          <w:szCs w:val="24"/>
          <w:lang w:bidi="cs-CZ"/>
        </w:rPr>
        <w:t xml:space="preserve"> až do vydání dokladu </w:t>
      </w:r>
      <w:r w:rsidR="00A0703D" w:rsidRPr="00C43B98">
        <w:rPr>
          <w:sz w:val="24"/>
          <w:szCs w:val="24"/>
          <w:lang w:bidi="cs-CZ"/>
        </w:rPr>
        <w:t>o</w:t>
      </w:r>
      <w:r w:rsidR="00A0703D">
        <w:rPr>
          <w:sz w:val="24"/>
          <w:szCs w:val="24"/>
          <w:lang w:bidi="cs-CZ"/>
        </w:rPr>
        <w:t> </w:t>
      </w:r>
      <w:r w:rsidRPr="00C43B98">
        <w:rPr>
          <w:sz w:val="24"/>
          <w:szCs w:val="24"/>
          <w:lang w:bidi="cs-CZ"/>
        </w:rPr>
        <w:t xml:space="preserve">povoleném účelu užívání stavby ve 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 xml:space="preserve">stavebním řádu (stavební zákon), ve znění pozdějších předpisů. </w:t>
      </w:r>
    </w:p>
    <w:p w14:paraId="613044A4" w14:textId="449CEAAD" w:rsidR="00104A64" w:rsidRPr="006B3CFF" w:rsidRDefault="00104A64" w:rsidP="002B30B8">
      <w:pPr>
        <w:numPr>
          <w:ilvl w:val="1"/>
          <w:numId w:val="8"/>
        </w:numPr>
        <w:shd w:val="clear" w:color="00FFFF" w:fill="auto"/>
        <w:spacing w:before="240"/>
        <w:jc w:val="both"/>
        <w:rPr>
          <w:sz w:val="24"/>
          <w:szCs w:val="24"/>
        </w:rPr>
      </w:pPr>
      <w:r w:rsidRPr="006B3CFF">
        <w:rPr>
          <w:sz w:val="24"/>
          <w:szCs w:val="24"/>
          <w:lang w:bidi="cs-CZ"/>
        </w:rPr>
        <w:t xml:space="preserve">Cena za výkon </w:t>
      </w:r>
      <w:r w:rsidR="00BC1972" w:rsidRPr="006B3CFF">
        <w:rPr>
          <w:sz w:val="24"/>
          <w:szCs w:val="24"/>
          <w:lang w:bidi="cs-CZ"/>
        </w:rPr>
        <w:t>AD</w:t>
      </w:r>
      <w:r w:rsidRPr="006B3CFF">
        <w:rPr>
          <w:sz w:val="24"/>
          <w:szCs w:val="24"/>
          <w:lang w:bidi="cs-CZ"/>
        </w:rPr>
        <w:t xml:space="preserve"> </w:t>
      </w:r>
      <w:r w:rsidR="00AE77F7" w:rsidRPr="006B3CFF">
        <w:rPr>
          <w:sz w:val="24"/>
          <w:szCs w:val="24"/>
          <w:lang w:bidi="cs-CZ"/>
        </w:rPr>
        <w:t xml:space="preserve">je </w:t>
      </w:r>
      <w:r w:rsidR="00F97759">
        <w:rPr>
          <w:sz w:val="24"/>
          <w:szCs w:val="24"/>
          <w:lang w:bidi="cs-CZ"/>
        </w:rPr>
        <w:t>XXX</w:t>
      </w:r>
      <w:r w:rsidRPr="006B3CFF">
        <w:rPr>
          <w:sz w:val="24"/>
          <w:szCs w:val="24"/>
          <w:lang w:bidi="cs-CZ"/>
        </w:rPr>
        <w:t xml:space="preserve"> Kč/hod. (vč. všech souvisejících nákladů)</w:t>
      </w:r>
      <w:r w:rsidR="002B30B8" w:rsidRPr="006B3CFF">
        <w:rPr>
          <w:sz w:val="24"/>
          <w:szCs w:val="24"/>
          <w:lang w:bidi="cs-CZ"/>
        </w:rPr>
        <w:t xml:space="preserve">. Cena bude uvedena jako samostatná položka a </w:t>
      </w:r>
      <w:r w:rsidR="00656D45">
        <w:rPr>
          <w:sz w:val="24"/>
          <w:szCs w:val="24"/>
          <w:lang w:bidi="cs-CZ"/>
        </w:rPr>
        <w:t>ne</w:t>
      </w:r>
      <w:r w:rsidR="002B30B8" w:rsidRPr="006B3CFF">
        <w:rPr>
          <w:sz w:val="24"/>
          <w:szCs w:val="24"/>
          <w:lang w:bidi="cs-CZ"/>
        </w:rPr>
        <w:t>bude součástí celkové ceny díla za vypracování PD</w:t>
      </w:r>
      <w:r w:rsidR="00656D45">
        <w:rPr>
          <w:sz w:val="24"/>
          <w:szCs w:val="24"/>
          <w:lang w:bidi="cs-CZ"/>
        </w:rPr>
        <w:t xml:space="preserve"> (cena za AD se nehodnotí); v případě, že bude AD požadován, bude zhotovitel o termínu informován objednatelem.</w:t>
      </w:r>
      <w:r w:rsidR="0058554A" w:rsidRPr="006B3CFF">
        <w:rPr>
          <w:sz w:val="24"/>
          <w:szCs w:val="24"/>
          <w:lang w:bidi="cs-CZ"/>
        </w:rPr>
        <w:t xml:space="preserve"> </w:t>
      </w:r>
      <w:r w:rsidR="0058554A" w:rsidRPr="006B3CFF">
        <w:rPr>
          <w:sz w:val="24"/>
          <w:szCs w:val="24"/>
        </w:rPr>
        <w:t xml:space="preserve"> </w:t>
      </w:r>
      <w:r w:rsidR="00656D45">
        <w:rPr>
          <w:sz w:val="24"/>
          <w:szCs w:val="24"/>
          <w:lang w:bidi="cs-CZ"/>
        </w:rPr>
        <w:t>Předpokládaná</w:t>
      </w:r>
      <w:r w:rsidRPr="006B3CFF">
        <w:rPr>
          <w:sz w:val="24"/>
          <w:szCs w:val="24"/>
          <w:lang w:bidi="cs-CZ"/>
        </w:rPr>
        <w:t xml:space="preserve"> výše odpracovaných hodin</w:t>
      </w:r>
      <w:r w:rsidR="00AB072C" w:rsidRPr="006B3CFF">
        <w:rPr>
          <w:sz w:val="24"/>
          <w:szCs w:val="24"/>
          <w:lang w:bidi="cs-CZ"/>
        </w:rPr>
        <w:t xml:space="preserve"> </w:t>
      </w:r>
      <w:r w:rsidRPr="006B3CFF">
        <w:rPr>
          <w:sz w:val="24"/>
          <w:szCs w:val="24"/>
          <w:lang w:bidi="cs-CZ"/>
        </w:rPr>
        <w:t>AD</w:t>
      </w:r>
      <w:r w:rsidR="00AB072C" w:rsidRPr="006B3CFF">
        <w:rPr>
          <w:sz w:val="24"/>
          <w:szCs w:val="24"/>
          <w:lang w:bidi="cs-CZ"/>
        </w:rPr>
        <w:t xml:space="preserve"> </w:t>
      </w:r>
      <w:r w:rsidRPr="006B3CFF">
        <w:rPr>
          <w:sz w:val="24"/>
          <w:szCs w:val="24"/>
          <w:lang w:bidi="cs-CZ"/>
        </w:rPr>
        <w:t xml:space="preserve">však nesmí přesáhnout </w:t>
      </w:r>
      <w:r w:rsidR="00BB5F29" w:rsidRPr="00BB5F29">
        <w:rPr>
          <w:color w:val="000000"/>
          <w:sz w:val="24"/>
        </w:rPr>
        <w:t>50</w:t>
      </w:r>
      <w:r w:rsidR="00A01162" w:rsidRPr="006B3CFF">
        <w:rPr>
          <w:sz w:val="24"/>
          <w:szCs w:val="24"/>
          <w:lang w:bidi="cs-CZ"/>
        </w:rPr>
        <w:t xml:space="preserve"> </w:t>
      </w:r>
      <w:r w:rsidRPr="006B3CFF">
        <w:rPr>
          <w:sz w:val="24"/>
          <w:szCs w:val="24"/>
          <w:lang w:bidi="cs-CZ"/>
        </w:rPr>
        <w:t>hodin.</w:t>
      </w:r>
      <w:r w:rsidR="00656D45">
        <w:rPr>
          <w:sz w:val="24"/>
          <w:szCs w:val="24"/>
          <w:lang w:bidi="cs-CZ"/>
        </w:rPr>
        <w:t xml:space="preserve"> Na AD bude uzavřena samostatná příkazní smlouva</w:t>
      </w:r>
      <w:r w:rsidR="00656D45" w:rsidRPr="006B3CFF">
        <w:rPr>
          <w:sz w:val="24"/>
          <w:szCs w:val="24"/>
          <w:lang w:bidi="cs-CZ"/>
        </w:rPr>
        <w:t>.</w:t>
      </w:r>
    </w:p>
    <w:p w14:paraId="2096AA5F" w14:textId="54C02AA7" w:rsidR="00506D42" w:rsidRPr="006B3CFF" w:rsidRDefault="00506D42" w:rsidP="006B3CFF">
      <w:pPr>
        <w:numPr>
          <w:ilvl w:val="1"/>
          <w:numId w:val="8"/>
        </w:numPr>
        <w:shd w:val="clear" w:color="00FFFF" w:fill="auto"/>
        <w:spacing w:before="240"/>
        <w:jc w:val="both"/>
        <w:rPr>
          <w:sz w:val="24"/>
          <w:szCs w:val="24"/>
        </w:rPr>
      </w:pPr>
      <w:r w:rsidRPr="006B3CFF">
        <w:rPr>
          <w:sz w:val="24"/>
          <w:szCs w:val="24"/>
        </w:rPr>
        <w:t>Fakturace AD bude prováděna jedenkrát měsíčně</w:t>
      </w:r>
      <w:r w:rsidR="0067641F" w:rsidRPr="006B3CFF">
        <w:rPr>
          <w:sz w:val="24"/>
          <w:szCs w:val="24"/>
        </w:rPr>
        <w:t xml:space="preserve"> (vždy za předchozí kalendářní měsíc) na základě odsouhlasených výkonů odpracovaných hodin s popisem činnosti. Cena za plnění AD bude zhotovitelem fakturována do výše 100 %. Na každé faktuře bude vyznačena pozastávka ve výši 10 %, která bude zhotoviteli uhrazena na základě jeho žádosti s doložením příslušného dokladu (</w:t>
      </w:r>
      <w:r w:rsidR="00BB5F29">
        <w:rPr>
          <w:sz w:val="24"/>
          <w:szCs w:val="24"/>
        </w:rPr>
        <w:t>vydání dokladu o povoleném účelu užívání stavby</w:t>
      </w:r>
      <w:r w:rsidR="0067641F" w:rsidRPr="006B3CFF">
        <w:rPr>
          <w:sz w:val="24"/>
          <w:szCs w:val="24"/>
        </w:rPr>
        <w:t>).</w:t>
      </w:r>
      <w:r w:rsidR="006B3CFF">
        <w:rPr>
          <w:sz w:val="24"/>
          <w:szCs w:val="24"/>
        </w:rPr>
        <w:t xml:space="preserve"> </w:t>
      </w:r>
      <w:r w:rsidR="0067641F" w:rsidRPr="006B3CFF">
        <w:rPr>
          <w:sz w:val="24"/>
          <w:szCs w:val="24"/>
        </w:rPr>
        <w:t>Dále platí ujednání dle čl. IV.</w:t>
      </w:r>
      <w:r w:rsidR="006B3CFF">
        <w:rPr>
          <w:sz w:val="24"/>
          <w:szCs w:val="24"/>
        </w:rPr>
        <w:t xml:space="preserve"> odst. 1 až 5 této smlouvy.</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58554A">
      <w:pPr>
        <w:shd w:val="clear" w:color="00FFFF" w:fill="auto"/>
        <w:ind w:left="283"/>
        <w:jc w:val="both"/>
        <w:rPr>
          <w:sz w:val="24"/>
          <w:szCs w:val="24"/>
        </w:rPr>
      </w:pPr>
    </w:p>
    <w:p w14:paraId="4961ED7C" w14:textId="77777777" w:rsidR="00A0703D" w:rsidRDefault="00A0703D" w:rsidP="0058554A">
      <w:pPr>
        <w:shd w:val="clear" w:color="00FFFF" w:fill="auto"/>
        <w:ind w:left="283"/>
        <w:jc w:val="both"/>
        <w:rPr>
          <w:sz w:val="24"/>
          <w:szCs w:val="24"/>
        </w:rPr>
      </w:pPr>
    </w:p>
    <w:p w14:paraId="6C5626DC" w14:textId="77777777" w:rsidR="00F42193" w:rsidRPr="00C43B98" w:rsidRDefault="00F42193" w:rsidP="0058554A">
      <w:pPr>
        <w:shd w:val="clear" w:color="00FFFF" w:fill="auto"/>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B64F75" w:rsidRDefault="00F42ADA" w:rsidP="00B64F75">
      <w:pPr>
        <w:numPr>
          <w:ilvl w:val="1"/>
          <w:numId w:val="49"/>
        </w:numPr>
        <w:shd w:val="clear" w:color="00FFFF" w:fill="auto"/>
        <w:spacing w:before="240"/>
        <w:jc w:val="both"/>
        <w:rPr>
          <w:sz w:val="24"/>
          <w:szCs w:val="24"/>
        </w:rPr>
      </w:pPr>
      <w:r w:rsidRPr="00B64F75">
        <w:rPr>
          <w:sz w:val="24"/>
          <w:szCs w:val="24"/>
        </w:rPr>
        <w:t>Při předání dokumentace předloží zhotovitel veškeré požadované doklady dle čl. I. této smlouvy. O</w:t>
      </w:r>
      <w:r w:rsidR="00A0703D" w:rsidRPr="00B64F75">
        <w:rPr>
          <w:sz w:val="24"/>
          <w:szCs w:val="24"/>
        </w:rPr>
        <w:t> </w:t>
      </w:r>
      <w:r w:rsidRPr="00B64F75">
        <w:rPr>
          <w:sz w:val="24"/>
          <w:szCs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B64F75">
        <w:rPr>
          <w:sz w:val="24"/>
          <w:szCs w:val="24"/>
        </w:rPr>
        <w:t xml:space="preserve"> </w:t>
      </w:r>
    </w:p>
    <w:p w14:paraId="4CE08616" w14:textId="77777777" w:rsidR="00A0703D" w:rsidRDefault="00A0703D" w:rsidP="00C42B99">
      <w:pPr>
        <w:ind w:left="284" w:hanging="568"/>
        <w:jc w:val="both"/>
        <w:rPr>
          <w:b/>
          <w:sz w:val="24"/>
        </w:rPr>
      </w:pPr>
    </w:p>
    <w:p w14:paraId="1D811E39" w14:textId="77777777" w:rsidR="00FB768C" w:rsidRPr="00C43B98" w:rsidRDefault="00FB768C"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0883D507"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E33DD6">
        <w:rPr>
          <w:rFonts w:ascii="Times New Roman" w:hAnsi="Times New Roman"/>
          <w:color w:val="000000"/>
          <w:sz w:val="24"/>
          <w:szCs w:val="20"/>
          <w:lang w:eastAsia="cs-CZ"/>
        </w:rPr>
        <w:t>xxx</w:t>
      </w:r>
      <w:bookmarkStart w:id="0" w:name="_GoBack"/>
      <w:bookmarkEnd w:id="0"/>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7AC26867"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D8470D" w:rsidRPr="0079798B">
        <w:rPr>
          <w:rFonts w:ascii="Times New Roman" w:hAnsi="Times New Roman"/>
          <w:sz w:val="24"/>
          <w:szCs w:val="24"/>
        </w:rPr>
        <w:t xml:space="preserve">pravomocného </w:t>
      </w:r>
      <w:r w:rsidR="00077B98" w:rsidRPr="0079798B">
        <w:rPr>
          <w:rFonts w:ascii="Times New Roman" w:hAnsi="Times New Roman"/>
          <w:sz w:val="24"/>
          <w:szCs w:val="24"/>
        </w:rPr>
        <w:t>stavebního povolení</w:t>
      </w:r>
      <w:r w:rsidR="00D8470D">
        <w:rPr>
          <w:rFonts w:ascii="Times New Roman" w:hAnsi="Times New Roman"/>
          <w:sz w:val="24"/>
          <w:szCs w:val="24"/>
        </w:rPr>
        <w:t xml:space="preserve"> </w:t>
      </w:r>
      <w:r w:rsidR="00077B98" w:rsidRPr="00C43B98">
        <w:rPr>
          <w:rFonts w:ascii="Times New Roman" w:hAnsi="Times New Roman"/>
          <w:sz w:val="24"/>
          <w:szCs w:val="24"/>
        </w:rPr>
        <w:t xml:space="preserve">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7A0F4DF5"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2239CE">
        <w:rPr>
          <w:rFonts w:ascii="Times New Roman" w:hAnsi="Times New Roman"/>
          <w:color w:val="000000"/>
          <w:sz w:val="24"/>
          <w:szCs w:val="20"/>
          <w:lang w:eastAsia="cs-CZ"/>
        </w:rPr>
        <w:t>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322A3CC6" w:rsidR="00112DC2" w:rsidRPr="00C43B98"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2239CE">
        <w:rPr>
          <w:rFonts w:ascii="Times New Roman" w:hAnsi="Times New Roman"/>
          <w:color w:val="000000"/>
          <w:sz w:val="24"/>
          <w:szCs w:val="20"/>
          <w:lang w:eastAsia="cs-CZ"/>
        </w:rPr>
        <w:t>xxx</w:t>
      </w:r>
      <w:r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prodlení .</w:t>
      </w:r>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lastRenderedPageBreak/>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F42193">
      <w:pPr>
        <w:shd w:val="clear" w:color="00FFFF" w:fill="auto"/>
        <w:spacing w:after="24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6D95E153" w:rsidR="00CB0256" w:rsidRPr="00F42193" w:rsidRDefault="00CB0256" w:rsidP="00F42193">
      <w:pPr>
        <w:pStyle w:val="Zkladntextodsazen31"/>
        <w:numPr>
          <w:ilvl w:val="0"/>
          <w:numId w:val="50"/>
        </w:numPr>
        <w:ind w:left="284" w:hanging="284"/>
        <w:rPr>
          <w:rFonts w:ascii="Times New Roman" w:hAnsi="Times New Roman"/>
          <w:sz w:val="24"/>
          <w:szCs w:val="24"/>
        </w:rPr>
      </w:pPr>
      <w:r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Pr="00B42E78">
        <w:rPr>
          <w:rFonts w:ascii="Times New Roman" w:hAnsi="Times New Roman"/>
          <w:sz w:val="24"/>
          <w:szCs w:val="24"/>
        </w:rPr>
        <w:t>:</w:t>
      </w:r>
    </w:p>
    <w:p w14:paraId="27CEC3B1" w14:textId="556B62EE" w:rsidR="002500F9" w:rsidRPr="00526CE1" w:rsidRDefault="002500F9" w:rsidP="00F42193">
      <w:pPr>
        <w:pStyle w:val="Odstavecseseznamem"/>
        <w:numPr>
          <w:ilvl w:val="0"/>
          <w:numId w:val="6"/>
        </w:numPr>
        <w:spacing w:before="120"/>
        <w:ind w:left="851" w:hanging="284"/>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F42193">
      <w:pPr>
        <w:pStyle w:val="Odstavecseseznamem"/>
        <w:numPr>
          <w:ilvl w:val="0"/>
          <w:numId w:val="6"/>
        </w:numPr>
        <w:spacing w:before="120"/>
        <w:ind w:left="851" w:hanging="284"/>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F42193">
      <w:pPr>
        <w:pStyle w:val="Odstavecseseznamem"/>
        <w:numPr>
          <w:ilvl w:val="0"/>
          <w:numId w:val="6"/>
        </w:numPr>
        <w:spacing w:before="120"/>
        <w:ind w:left="851" w:hanging="284"/>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F42193">
      <w:pPr>
        <w:pStyle w:val="Zkladntextodsazen31"/>
        <w:numPr>
          <w:ilvl w:val="0"/>
          <w:numId w:val="50"/>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F42193">
      <w:pPr>
        <w:shd w:val="clear" w:color="00FFFF" w:fill="auto"/>
        <w:spacing w:after="120"/>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7D711FAF" w14:textId="77777777" w:rsidR="00FB768C" w:rsidRPr="00C43B98" w:rsidRDefault="00FB768C" w:rsidP="006D04F5">
      <w:pPr>
        <w:pStyle w:val="Zkladntext3"/>
        <w:spacing w:before="0" w:after="12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lastRenderedPageBreak/>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3189E5F5" w14:textId="00071272" w:rsidR="0057101C" w:rsidRPr="00B42E78" w:rsidRDefault="0057101C" w:rsidP="0057101C">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Pr>
          <w:rFonts w:ascii="Times New Roman" w:hAnsi="Times New Roman"/>
          <w:b w:val="0"/>
          <w:szCs w:val="24"/>
          <w:lang w:eastAsia="zh-CN"/>
        </w:rPr>
        <w:t>Brně</w:t>
      </w:r>
      <w:r w:rsidRPr="00B42E78">
        <w:rPr>
          <w:rFonts w:ascii="Times New Roman" w:hAnsi="Times New Roman"/>
          <w:b w:val="0"/>
          <w:szCs w:val="24"/>
          <w:lang w:eastAsia="zh-CN"/>
        </w:rPr>
        <w:t xml:space="preserve"> dne</w:t>
      </w:r>
      <w:r>
        <w:rPr>
          <w:rFonts w:ascii="Times New Roman" w:hAnsi="Times New Roman"/>
          <w:b w:val="0"/>
          <w:szCs w:val="24"/>
          <w:lang w:eastAsia="zh-CN"/>
        </w:rPr>
        <w:t xml:space="preserve"> </w:t>
      </w:r>
    </w:p>
    <w:p w14:paraId="1247BAA7" w14:textId="77777777" w:rsidR="0057101C" w:rsidRDefault="0057101C" w:rsidP="0057101C">
      <w:pPr>
        <w:tabs>
          <w:tab w:val="left" w:pos="5670"/>
        </w:tabs>
        <w:ind w:right="-1"/>
        <w:rPr>
          <w:bCs/>
          <w:sz w:val="24"/>
          <w:szCs w:val="24"/>
        </w:rPr>
      </w:pPr>
    </w:p>
    <w:p w14:paraId="64D0598E" w14:textId="77777777" w:rsidR="0057101C" w:rsidRPr="001F6AFA" w:rsidRDefault="0057101C" w:rsidP="0057101C">
      <w:pPr>
        <w:tabs>
          <w:tab w:val="left" w:pos="5670"/>
        </w:tabs>
        <w:ind w:right="-1"/>
        <w:rPr>
          <w:bCs/>
          <w:sz w:val="24"/>
          <w:szCs w:val="24"/>
        </w:rPr>
      </w:pPr>
    </w:p>
    <w:p w14:paraId="280881F7" w14:textId="77777777" w:rsidR="0057101C" w:rsidRPr="001F6AFA" w:rsidRDefault="0057101C" w:rsidP="0057101C">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696EB15A" w14:textId="77777777" w:rsidR="0057101C" w:rsidRPr="001F6AFA" w:rsidRDefault="0057101C" w:rsidP="0057101C">
      <w:pPr>
        <w:ind w:right="-1"/>
        <w:rPr>
          <w:bCs/>
          <w:sz w:val="24"/>
          <w:szCs w:val="24"/>
        </w:rPr>
      </w:pPr>
    </w:p>
    <w:p w14:paraId="5696B49E" w14:textId="77777777" w:rsidR="0057101C" w:rsidRPr="001F6AFA" w:rsidRDefault="0057101C" w:rsidP="0057101C">
      <w:pPr>
        <w:tabs>
          <w:tab w:val="left" w:pos="5670"/>
        </w:tabs>
        <w:ind w:right="-1"/>
        <w:rPr>
          <w:bCs/>
          <w:sz w:val="24"/>
          <w:szCs w:val="24"/>
        </w:rPr>
      </w:pPr>
    </w:p>
    <w:p w14:paraId="6E9BF2F4" w14:textId="77777777" w:rsidR="0057101C" w:rsidRDefault="0057101C" w:rsidP="0057101C">
      <w:pPr>
        <w:ind w:right="-1"/>
        <w:rPr>
          <w:bCs/>
          <w:sz w:val="24"/>
          <w:szCs w:val="24"/>
        </w:rPr>
      </w:pPr>
    </w:p>
    <w:p w14:paraId="6FC46782" w14:textId="77777777" w:rsidR="0057101C" w:rsidRPr="001F6AFA" w:rsidRDefault="0057101C" w:rsidP="0057101C">
      <w:pPr>
        <w:ind w:right="-1"/>
        <w:rPr>
          <w:bCs/>
          <w:sz w:val="24"/>
          <w:szCs w:val="24"/>
        </w:rPr>
      </w:pPr>
    </w:p>
    <w:p w14:paraId="5CC3E395" w14:textId="77777777" w:rsidR="0057101C" w:rsidRPr="001F6AFA" w:rsidRDefault="0057101C" w:rsidP="0057101C">
      <w:pPr>
        <w:ind w:right="-1"/>
        <w:rPr>
          <w:bCs/>
          <w:sz w:val="24"/>
          <w:szCs w:val="24"/>
        </w:rPr>
      </w:pPr>
    </w:p>
    <w:p w14:paraId="61FEA09F" w14:textId="77777777" w:rsidR="0057101C" w:rsidRPr="001F6AFA" w:rsidRDefault="0057101C" w:rsidP="0057101C">
      <w:pPr>
        <w:ind w:right="-1"/>
        <w:rPr>
          <w:bCs/>
          <w:sz w:val="24"/>
          <w:szCs w:val="24"/>
        </w:rPr>
      </w:pPr>
    </w:p>
    <w:p w14:paraId="0064D745" w14:textId="77777777" w:rsidR="0057101C" w:rsidRPr="001F6AFA" w:rsidRDefault="0057101C" w:rsidP="0057101C">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37A32DEF" w14:textId="77777777" w:rsidR="0057101C" w:rsidRPr="001F6AFA" w:rsidRDefault="0057101C" w:rsidP="0057101C">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Pr>
          <w:sz w:val="24"/>
          <w:szCs w:val="24"/>
        </w:rPr>
        <w:t>UCHYTIL s. r. o.</w:t>
      </w:r>
    </w:p>
    <w:p w14:paraId="0A2608B0" w14:textId="7EBFADA9" w:rsidR="0057101C" w:rsidRPr="001F6AFA" w:rsidRDefault="0057101C" w:rsidP="0057101C">
      <w:pPr>
        <w:pStyle w:val="Odstavecseseznamem"/>
        <w:shd w:val="clear" w:color="auto" w:fill="FFFFFF"/>
        <w:tabs>
          <w:tab w:val="center" w:pos="1985"/>
          <w:tab w:val="center" w:pos="7655"/>
        </w:tabs>
        <w:ind w:right="-1"/>
        <w:rPr>
          <w:sz w:val="24"/>
          <w:szCs w:val="24"/>
        </w:rPr>
      </w:pPr>
      <w:r w:rsidRPr="001F6AFA">
        <w:rPr>
          <w:sz w:val="24"/>
          <w:szCs w:val="24"/>
        </w:rPr>
        <w:tab/>
      </w:r>
      <w:r w:rsidR="00F97759">
        <w:rPr>
          <w:sz w:val="24"/>
          <w:szCs w:val="24"/>
        </w:rPr>
        <w:t>XXXXXXXXX</w:t>
      </w:r>
      <w:r w:rsidRPr="001F6AFA">
        <w:rPr>
          <w:sz w:val="24"/>
          <w:szCs w:val="24"/>
        </w:rPr>
        <w:tab/>
      </w:r>
      <w:r w:rsidR="00F97759">
        <w:rPr>
          <w:sz w:val="24"/>
          <w:szCs w:val="24"/>
        </w:rPr>
        <w:t>XXXXXXXXX</w:t>
      </w:r>
    </w:p>
    <w:p w14:paraId="70280826" w14:textId="77777777" w:rsidR="0057101C" w:rsidRPr="001F6AFA" w:rsidRDefault="0057101C" w:rsidP="0057101C">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Pr>
          <w:sz w:val="24"/>
          <w:szCs w:val="24"/>
        </w:rPr>
        <w:t>jednatel společnosti</w:t>
      </w:r>
    </w:p>
    <w:p w14:paraId="0410734A" w14:textId="77777777" w:rsidR="001F6AFA" w:rsidRDefault="001F6AFA" w:rsidP="001F6AFA">
      <w:pPr>
        <w:tabs>
          <w:tab w:val="left" w:pos="5670"/>
        </w:tabs>
        <w:ind w:right="-1"/>
        <w:rPr>
          <w:bCs/>
          <w:sz w:val="24"/>
          <w:szCs w:val="24"/>
        </w:rPr>
      </w:pPr>
    </w:p>
    <w:p w14:paraId="4334F873" w14:textId="77777777" w:rsidR="00F42193" w:rsidRPr="001F6AFA" w:rsidRDefault="00F42193" w:rsidP="001F6AFA">
      <w:pPr>
        <w:tabs>
          <w:tab w:val="left" w:pos="5670"/>
        </w:tabs>
        <w:ind w:right="-1"/>
        <w:rPr>
          <w:bCs/>
          <w:sz w:val="24"/>
          <w:szCs w:val="24"/>
        </w:rPr>
      </w:pPr>
    </w:p>
    <w:sectPr w:rsidR="00F42193" w:rsidRPr="001F6AFA"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12722" w14:textId="77777777" w:rsidR="00C75435" w:rsidRDefault="00C75435">
      <w:r>
        <w:separator/>
      </w:r>
    </w:p>
  </w:endnote>
  <w:endnote w:type="continuationSeparator" w:id="0">
    <w:p w14:paraId="7A5DE870" w14:textId="77777777" w:rsidR="00C75435" w:rsidRDefault="00C7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E33DD6">
          <w:rPr>
            <w:noProof/>
            <w:sz w:val="24"/>
            <w:szCs w:val="24"/>
          </w:rPr>
          <w:t>6</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45CF0" w14:textId="77777777" w:rsidR="00C75435" w:rsidRDefault="00C75435">
      <w:r>
        <w:separator/>
      </w:r>
    </w:p>
  </w:footnote>
  <w:footnote w:type="continuationSeparator" w:id="0">
    <w:p w14:paraId="01C45A1A" w14:textId="77777777" w:rsidR="00C75435" w:rsidRDefault="00C75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354F6604"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FB768C">
      <w:rPr>
        <w:b/>
        <w:sz w:val="24"/>
        <w:szCs w:val="24"/>
      </w:rPr>
      <w:t>T</w:t>
    </w:r>
    <w:r w:rsidRPr="00F5523C">
      <w:rPr>
        <w:b/>
        <w:sz w:val="24"/>
        <w:szCs w:val="24"/>
      </w:rPr>
      <w:t>-</w:t>
    </w:r>
    <w:r w:rsidR="00FB768C">
      <w:rPr>
        <w:b/>
        <w:sz w:val="24"/>
        <w:szCs w:val="24"/>
      </w:rPr>
      <w:t>075</w:t>
    </w:r>
    <w:r w:rsidRPr="00F5523C">
      <w:rPr>
        <w:b/>
        <w:sz w:val="24"/>
        <w:szCs w:val="24"/>
      </w:rPr>
      <w:t>-00/</w:t>
    </w:r>
    <w:r w:rsidR="008E11D6" w:rsidRPr="00F5523C">
      <w:rPr>
        <w:b/>
        <w:sz w:val="24"/>
        <w:szCs w:val="24"/>
      </w:rPr>
      <w:t>1</w:t>
    </w:r>
    <w:r w:rsidR="00970EBF">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1C6E8C"/>
    <w:multiLevelType w:val="hybridMultilevel"/>
    <w:tmpl w:val="78E68AE0"/>
    <w:lvl w:ilvl="0" w:tplc="DAD824D8">
      <w:start w:val="1"/>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3"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C22793B"/>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4"/>
  </w:num>
  <w:num w:numId="3">
    <w:abstractNumId w:val="14"/>
  </w:num>
  <w:num w:numId="4">
    <w:abstractNumId w:val="3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2"/>
  </w:num>
  <w:num w:numId="9">
    <w:abstractNumId w:val="18"/>
  </w:num>
  <w:num w:numId="10">
    <w:abstractNumId w:val="44"/>
  </w:num>
  <w:num w:numId="11">
    <w:abstractNumId w:val="16"/>
  </w:num>
  <w:num w:numId="12">
    <w:abstractNumId w:val="7"/>
  </w:num>
  <w:num w:numId="13">
    <w:abstractNumId w:val="19"/>
  </w:num>
  <w:num w:numId="14">
    <w:abstractNumId w:val="43"/>
  </w:num>
  <w:num w:numId="15">
    <w:abstractNumId w:val="20"/>
  </w:num>
  <w:num w:numId="16">
    <w:abstractNumId w:val="2"/>
  </w:num>
  <w:num w:numId="17">
    <w:abstractNumId w:val="3"/>
  </w:num>
  <w:num w:numId="18">
    <w:abstractNumId w:val="27"/>
  </w:num>
  <w:num w:numId="19">
    <w:abstractNumId w:val="23"/>
  </w:num>
  <w:num w:numId="20">
    <w:abstractNumId w:val="4"/>
  </w:num>
  <w:num w:numId="21">
    <w:abstractNumId w:val="40"/>
  </w:num>
  <w:num w:numId="22">
    <w:abstractNumId w:val="45"/>
  </w:num>
  <w:num w:numId="23">
    <w:abstractNumId w:val="29"/>
  </w:num>
  <w:num w:numId="24">
    <w:abstractNumId w:val="41"/>
  </w:num>
  <w:num w:numId="25">
    <w:abstractNumId w:val="11"/>
  </w:num>
  <w:num w:numId="26">
    <w:abstractNumId w:val="5"/>
  </w:num>
  <w:num w:numId="27">
    <w:abstractNumId w:val="10"/>
  </w:num>
  <w:num w:numId="28">
    <w:abstractNumId w:val="8"/>
  </w:num>
  <w:num w:numId="29">
    <w:abstractNumId w:val="25"/>
  </w:num>
  <w:num w:numId="30">
    <w:abstractNumId w:val="31"/>
  </w:num>
  <w:num w:numId="31">
    <w:abstractNumId w:val="47"/>
  </w:num>
  <w:num w:numId="32">
    <w:abstractNumId w:val="13"/>
  </w:num>
  <w:num w:numId="33">
    <w:abstractNumId w:val="12"/>
  </w:num>
  <w:num w:numId="34">
    <w:abstractNumId w:val="37"/>
  </w:num>
  <w:num w:numId="35">
    <w:abstractNumId w:val="46"/>
  </w:num>
  <w:num w:numId="36">
    <w:abstractNumId w:val="9"/>
  </w:num>
  <w:num w:numId="37">
    <w:abstractNumId w:val="33"/>
  </w:num>
  <w:num w:numId="38">
    <w:abstractNumId w:val="42"/>
  </w:num>
  <w:num w:numId="39">
    <w:abstractNumId w:val="28"/>
  </w:num>
  <w:num w:numId="40">
    <w:abstractNumId w:val="21"/>
  </w:num>
  <w:num w:numId="41">
    <w:abstractNumId w:val="15"/>
  </w:num>
  <w:num w:numId="42">
    <w:abstractNumId w:val="0"/>
  </w:num>
  <w:num w:numId="43">
    <w:abstractNumId w:val="6"/>
  </w:num>
  <w:num w:numId="44">
    <w:abstractNumId w:val="39"/>
  </w:num>
  <w:num w:numId="45">
    <w:abstractNumId w:val="49"/>
  </w:num>
  <w:num w:numId="46">
    <w:abstractNumId w:val="35"/>
  </w:num>
  <w:num w:numId="47">
    <w:abstractNumId w:val="1"/>
  </w:num>
  <w:num w:numId="48">
    <w:abstractNumId w:val="32"/>
  </w:num>
  <w:num w:numId="49">
    <w:abstractNumId w:val="48"/>
  </w:num>
  <w:num w:numId="50">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433"/>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2480"/>
    <w:rsid w:val="000C3835"/>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17F3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3B4A"/>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9CE"/>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67E0E"/>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30B8"/>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211A"/>
    <w:rsid w:val="00393366"/>
    <w:rsid w:val="00395718"/>
    <w:rsid w:val="00396AFB"/>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2731"/>
    <w:rsid w:val="003C422C"/>
    <w:rsid w:val="003C4390"/>
    <w:rsid w:val="003C44AC"/>
    <w:rsid w:val="003C4C18"/>
    <w:rsid w:val="003C6BCB"/>
    <w:rsid w:val="003D31F9"/>
    <w:rsid w:val="003D5359"/>
    <w:rsid w:val="003D63B6"/>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37A26"/>
    <w:rsid w:val="004459AA"/>
    <w:rsid w:val="00450312"/>
    <w:rsid w:val="00451535"/>
    <w:rsid w:val="00451D94"/>
    <w:rsid w:val="0045704B"/>
    <w:rsid w:val="00461F4C"/>
    <w:rsid w:val="00462356"/>
    <w:rsid w:val="0046334D"/>
    <w:rsid w:val="00464331"/>
    <w:rsid w:val="00464A87"/>
    <w:rsid w:val="004652EE"/>
    <w:rsid w:val="00465605"/>
    <w:rsid w:val="004659FA"/>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D6602"/>
    <w:rsid w:val="004E338A"/>
    <w:rsid w:val="004E509B"/>
    <w:rsid w:val="004E5A79"/>
    <w:rsid w:val="004E61ED"/>
    <w:rsid w:val="004E6F1D"/>
    <w:rsid w:val="004F04F6"/>
    <w:rsid w:val="004F2EAF"/>
    <w:rsid w:val="005030F9"/>
    <w:rsid w:val="0050534D"/>
    <w:rsid w:val="00505A47"/>
    <w:rsid w:val="00506D42"/>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01C"/>
    <w:rsid w:val="00571E93"/>
    <w:rsid w:val="005756A9"/>
    <w:rsid w:val="00576768"/>
    <w:rsid w:val="0057754C"/>
    <w:rsid w:val="0058175B"/>
    <w:rsid w:val="00582AE5"/>
    <w:rsid w:val="0058529B"/>
    <w:rsid w:val="00585345"/>
    <w:rsid w:val="0058554A"/>
    <w:rsid w:val="00592D99"/>
    <w:rsid w:val="00594CBB"/>
    <w:rsid w:val="00596615"/>
    <w:rsid w:val="005A08A9"/>
    <w:rsid w:val="005A171C"/>
    <w:rsid w:val="005A1DD7"/>
    <w:rsid w:val="005A343E"/>
    <w:rsid w:val="005A58A2"/>
    <w:rsid w:val="005B2A27"/>
    <w:rsid w:val="005B3E3C"/>
    <w:rsid w:val="005B4294"/>
    <w:rsid w:val="005B75F2"/>
    <w:rsid w:val="005C11C0"/>
    <w:rsid w:val="005C2195"/>
    <w:rsid w:val="005C31B0"/>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40CAB"/>
    <w:rsid w:val="00645226"/>
    <w:rsid w:val="006472F3"/>
    <w:rsid w:val="006475A4"/>
    <w:rsid w:val="00652D36"/>
    <w:rsid w:val="00655465"/>
    <w:rsid w:val="00656D45"/>
    <w:rsid w:val="006614BF"/>
    <w:rsid w:val="00661607"/>
    <w:rsid w:val="00664AAA"/>
    <w:rsid w:val="00665279"/>
    <w:rsid w:val="0066529B"/>
    <w:rsid w:val="0067395E"/>
    <w:rsid w:val="006758DC"/>
    <w:rsid w:val="0067641F"/>
    <w:rsid w:val="0067735A"/>
    <w:rsid w:val="006843AC"/>
    <w:rsid w:val="006854EE"/>
    <w:rsid w:val="00695C95"/>
    <w:rsid w:val="00696632"/>
    <w:rsid w:val="00697A5E"/>
    <w:rsid w:val="006A035B"/>
    <w:rsid w:val="006A1BEC"/>
    <w:rsid w:val="006A1D24"/>
    <w:rsid w:val="006A3392"/>
    <w:rsid w:val="006A66E9"/>
    <w:rsid w:val="006B2980"/>
    <w:rsid w:val="006B3CFF"/>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06A7D"/>
    <w:rsid w:val="007177C7"/>
    <w:rsid w:val="007214ED"/>
    <w:rsid w:val="00721C7F"/>
    <w:rsid w:val="00722A7C"/>
    <w:rsid w:val="00727486"/>
    <w:rsid w:val="00732653"/>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6731"/>
    <w:rsid w:val="00797339"/>
    <w:rsid w:val="0079798B"/>
    <w:rsid w:val="007A16CB"/>
    <w:rsid w:val="007A76DB"/>
    <w:rsid w:val="007A7941"/>
    <w:rsid w:val="007B3866"/>
    <w:rsid w:val="007B4CF9"/>
    <w:rsid w:val="007B5A35"/>
    <w:rsid w:val="007B7232"/>
    <w:rsid w:val="007B7384"/>
    <w:rsid w:val="007C1293"/>
    <w:rsid w:val="007C2476"/>
    <w:rsid w:val="007C2983"/>
    <w:rsid w:val="007C3E42"/>
    <w:rsid w:val="007C3F20"/>
    <w:rsid w:val="007C6B81"/>
    <w:rsid w:val="007C77BC"/>
    <w:rsid w:val="007C7B3F"/>
    <w:rsid w:val="007D08E1"/>
    <w:rsid w:val="007D128E"/>
    <w:rsid w:val="007D2018"/>
    <w:rsid w:val="007D23E0"/>
    <w:rsid w:val="007D2709"/>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3539"/>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1DC5"/>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0EBF"/>
    <w:rsid w:val="00973F64"/>
    <w:rsid w:val="0097418F"/>
    <w:rsid w:val="00974659"/>
    <w:rsid w:val="00976C54"/>
    <w:rsid w:val="0098023E"/>
    <w:rsid w:val="00982D33"/>
    <w:rsid w:val="0098365C"/>
    <w:rsid w:val="00984A6D"/>
    <w:rsid w:val="00990CAE"/>
    <w:rsid w:val="009940B0"/>
    <w:rsid w:val="00994FDB"/>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86BAA"/>
    <w:rsid w:val="00A906BE"/>
    <w:rsid w:val="00A9347A"/>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0E7A"/>
    <w:rsid w:val="00B12800"/>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4F75"/>
    <w:rsid w:val="00B66A7C"/>
    <w:rsid w:val="00B67484"/>
    <w:rsid w:val="00B70021"/>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B5F2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1BA"/>
    <w:rsid w:val="00C72F72"/>
    <w:rsid w:val="00C7385D"/>
    <w:rsid w:val="00C73B64"/>
    <w:rsid w:val="00C75435"/>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18C"/>
    <w:rsid w:val="00CA4B9F"/>
    <w:rsid w:val="00CA727E"/>
    <w:rsid w:val="00CA76B3"/>
    <w:rsid w:val="00CA7833"/>
    <w:rsid w:val="00CB0256"/>
    <w:rsid w:val="00CB23EA"/>
    <w:rsid w:val="00CB3CDD"/>
    <w:rsid w:val="00CB41CB"/>
    <w:rsid w:val="00CB5A75"/>
    <w:rsid w:val="00CB60AE"/>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470D"/>
    <w:rsid w:val="00D8620D"/>
    <w:rsid w:val="00D87773"/>
    <w:rsid w:val="00D90E6F"/>
    <w:rsid w:val="00D91775"/>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3DD6"/>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8796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10D"/>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193"/>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759"/>
    <w:rsid w:val="00F97DD8"/>
    <w:rsid w:val="00FA09E1"/>
    <w:rsid w:val="00FA663C"/>
    <w:rsid w:val="00FA68B7"/>
    <w:rsid w:val="00FA7697"/>
    <w:rsid w:val="00FB0870"/>
    <w:rsid w:val="00FB306F"/>
    <w:rsid w:val="00FB389F"/>
    <w:rsid w:val="00FB44AD"/>
    <w:rsid w:val="00FB4DBD"/>
    <w:rsid w:val="00FB5304"/>
    <w:rsid w:val="00FB6DE5"/>
    <w:rsid w:val="00FB768C"/>
    <w:rsid w:val="00FC0B1B"/>
    <w:rsid w:val="00FC125C"/>
    <w:rsid w:val="00FC1AED"/>
    <w:rsid w:val="00FC2851"/>
    <w:rsid w:val="00FC2B3D"/>
    <w:rsid w:val="00FD0383"/>
    <w:rsid w:val="00FD1991"/>
    <w:rsid w:val="00FD20E1"/>
    <w:rsid w:val="00FD3294"/>
    <w:rsid w:val="00FD3612"/>
    <w:rsid w:val="00FD3A78"/>
    <w:rsid w:val="00FD687E"/>
    <w:rsid w:val="00FD6AF5"/>
    <w:rsid w:val="00FE10BD"/>
    <w:rsid w:val="00FE149B"/>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38F63DD"/>
  <w15:docId w15:val="{E154544E-9887-4B8A-892F-A2FEA581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209E-58C2-41B6-A57C-298F4E9E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2930</Words>
  <Characters>17298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20188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2</cp:revision>
  <cp:lastPrinted>2018-04-09T08:56:00Z</cp:lastPrinted>
  <dcterms:created xsi:type="dcterms:W3CDTF">2018-04-10T12:43:00Z</dcterms:created>
  <dcterms:modified xsi:type="dcterms:W3CDTF">2018-04-10T12:43:00Z</dcterms:modified>
</cp:coreProperties>
</file>