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</w:t>
      </w:r>
      <w:r w:rsidR="001B428C">
        <w:rPr>
          <w:rFonts w:asciiTheme="minorHAnsi" w:hAnsiTheme="minorHAnsi"/>
          <w:b/>
        </w:rPr>
        <w:t>n</w:t>
      </w:r>
      <w:r w:rsidRPr="00CB59CD">
        <w:rPr>
          <w:rFonts w:asciiTheme="minorHAnsi" w:hAnsiTheme="minorHAnsi"/>
          <w:b/>
        </w:rPr>
        <w:t>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9C25D9">
              <w:rPr>
                <w:rFonts w:asciiTheme="minorHAnsi" w:hAnsiTheme="minorHAnsi"/>
                <w:b/>
              </w:rPr>
            </w:r>
            <w:r w:rsidR="009C25D9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B0737B" w:rsidP="00B0737B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9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9C25D9">
              <w:rPr>
                <w:rFonts w:asciiTheme="minorHAnsi" w:hAnsiTheme="minorHAnsi"/>
                <w:b/>
              </w:rPr>
            </w:r>
            <w:r w:rsidR="009C25D9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93232D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F01D57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9C25D9">
              <w:rPr>
                <w:rFonts w:asciiTheme="minorHAnsi" w:hAnsiTheme="minorHAnsi"/>
                <w:b/>
              </w:rPr>
            </w:r>
            <w:r w:rsidR="009C25D9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035F7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</w:t>
            </w:r>
            <w:r w:rsidR="00F01D57">
              <w:rPr>
                <w:rFonts w:asciiTheme="minorHAnsi" w:hAnsiTheme="minorHAnsi"/>
                <w:b/>
                <w:u w:val="single"/>
              </w:rPr>
              <w:t>a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F01D57">
              <w:rPr>
                <w:rFonts w:asciiTheme="minorHAnsi" w:hAnsiTheme="minorHAnsi"/>
                <w:b/>
                <w:u w:val="single"/>
              </w:rPr>
              <w:t>Platb</w:t>
            </w:r>
            <w:r w:rsidR="00035F7A">
              <w:rPr>
                <w:rFonts w:asciiTheme="minorHAnsi" w:hAnsiTheme="minorHAnsi"/>
                <w:b/>
                <w:u w:val="single"/>
              </w:rPr>
              <w:t>y</w:t>
            </w:r>
            <w:r w:rsidR="00F01D57">
              <w:rPr>
                <w:rFonts w:asciiTheme="minorHAnsi" w:hAnsiTheme="minorHAnsi"/>
                <w:b/>
                <w:u w:val="single"/>
              </w:rPr>
              <w:t xml:space="preserve"> Western Union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427E9C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šťování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 xml:space="preserve">elektronických převodů </w:t>
            </w:r>
            <w:r w:rsidR="00427E9C">
              <w:rPr>
                <w:rFonts w:asciiTheme="minorHAnsi" w:hAnsiTheme="minorHAnsi"/>
                <w:sz w:val="20"/>
                <w:szCs w:val="20"/>
              </w:rPr>
              <w:t xml:space="preserve">a výplaty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>peněžních částek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005FFE" w:rsidRDefault="00005FFE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005FFE" w:rsidRDefault="00005FFE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Pr="00005FFE" w:rsidRDefault="00406282" w:rsidP="00005FFE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005FFE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9C25D9">
              <w:rPr>
                <w:rFonts w:asciiTheme="minorHAnsi" w:hAnsiTheme="minorHAnsi"/>
                <w:b/>
              </w:rPr>
            </w:r>
            <w:r w:rsidR="009C25D9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9C25D9">
              <w:rPr>
                <w:rFonts w:asciiTheme="minorHAnsi" w:hAnsiTheme="minorHAnsi"/>
                <w:b/>
              </w:rPr>
            </w:r>
            <w:r w:rsidR="009C25D9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9C25D9">
              <w:rPr>
                <w:rFonts w:asciiTheme="minorHAnsi" w:hAnsiTheme="minorHAnsi"/>
                <w:b/>
              </w:rPr>
            </w:r>
            <w:r w:rsidR="009C25D9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005FFE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005FFE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005FFE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Max. 2 490,00</w:t>
            </w:r>
            <w:r w:rsidR="00105134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005FFE" w:rsidRDefault="00005FFE">
      <w:pPr>
        <w:spacing w:line="240" w:lineRule="auto"/>
        <w:rPr>
          <w:b/>
          <w:szCs w:val="20"/>
        </w:rPr>
      </w:pPr>
      <w:r>
        <w:rPr>
          <w:b/>
          <w:szCs w:val="20"/>
        </w:rPr>
        <w:br w:type="page"/>
      </w:r>
      <w:bookmarkStart w:id="2" w:name="_GoBack"/>
      <w:bookmarkEnd w:id="2"/>
    </w:p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100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101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254 MZ - dop. slep.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zásilka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256 MZ - dop. tisk.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pytel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104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108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110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114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289 Výdej B/CPS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mezinár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118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292 Hromadné pod.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pro ÚP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119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293 Hr.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podání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501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502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slepecká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510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514 Vrácená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209 Výdej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zásilky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517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225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Odpověd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519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232 Cenný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1C47BA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1C47B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Důch.služba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249 Hromad.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325337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532</w:t>
            </w:r>
            <w:r w:rsidR="00AD68FD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výplaty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příkaz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</w:t>
            </w: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převodu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default" r:id="rId9"/>
      <w:footerReference w:type="default" r:id="rId10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5D9" w:rsidRDefault="009C25D9" w:rsidP="00E26E3A">
      <w:pPr>
        <w:spacing w:line="240" w:lineRule="auto"/>
      </w:pPr>
      <w:r>
        <w:separator/>
      </w:r>
    </w:p>
  </w:endnote>
  <w:endnote w:type="continuationSeparator" w:id="0">
    <w:p w:rsidR="009C25D9" w:rsidRDefault="009C25D9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1D2327">
      <w:rPr>
        <w:noProof/>
      </w:rPr>
      <w:t>2</w:t>
    </w:r>
    <w:r w:rsidR="00343E03">
      <w:rPr>
        <w:noProof/>
      </w:rPr>
      <w:fldChar w:fldCharType="end"/>
    </w:r>
    <w:r w:rsidR="004A6877">
      <w:t>/</w:t>
    </w:r>
    <w:r w:rsidR="009C25D9">
      <w:fldChar w:fldCharType="begin"/>
    </w:r>
    <w:r w:rsidR="009C25D9">
      <w:instrText xml:space="preserve"> NUMPAGES  \* Arabic  \* MERGEFORMAT </w:instrText>
    </w:r>
    <w:r w:rsidR="009C25D9">
      <w:fldChar w:fldCharType="separate"/>
    </w:r>
    <w:r w:rsidR="001D2327">
      <w:rPr>
        <w:noProof/>
      </w:rPr>
      <w:t>3</w:t>
    </w:r>
    <w:r w:rsidR="009C25D9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5D9" w:rsidRDefault="009C25D9" w:rsidP="00E26E3A">
      <w:pPr>
        <w:spacing w:line="240" w:lineRule="auto"/>
      </w:pPr>
      <w:r>
        <w:separator/>
      </w:r>
    </w:p>
  </w:footnote>
  <w:footnote w:type="continuationSeparator" w:id="0">
    <w:p w:rsidR="009C25D9" w:rsidRDefault="009C25D9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4B46E38" wp14:editId="38F51E4E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E986683" wp14:editId="27A170B4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76D7D4F" wp14:editId="3E6D2A5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EB120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5FFE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428C"/>
    <w:rsid w:val="001B66CF"/>
    <w:rsid w:val="001C16A5"/>
    <w:rsid w:val="001C2005"/>
    <w:rsid w:val="001C47BA"/>
    <w:rsid w:val="001D05EE"/>
    <w:rsid w:val="001D08B4"/>
    <w:rsid w:val="001D2259"/>
    <w:rsid w:val="001D2327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972DC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25D9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064A4"/>
    <w:rsid w:val="00B0737B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3AAA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B6990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80013-867A-47C8-A693-1F0FC9A4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3</TotalTime>
  <Pages>1</Pages>
  <Words>664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Jankovská Jana Bc.</cp:lastModifiedBy>
  <cp:revision>8</cp:revision>
  <cp:lastPrinted>2018-03-15T12:34:00Z</cp:lastPrinted>
  <dcterms:created xsi:type="dcterms:W3CDTF">2018-02-19T14:32:00Z</dcterms:created>
  <dcterms:modified xsi:type="dcterms:W3CDTF">2018-03-15T12:34:00Z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