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C21" w:rsidRDefault="00EA4A30" w:rsidP="00D62C21">
      <w:pPr>
        <w:spacing w:after="49" w:line="259" w:lineRule="auto"/>
        <w:ind w:left="-37" w:right="-1" w:hanging="10"/>
        <w:rPr>
          <w:sz w:val="34"/>
        </w:rPr>
      </w:pPr>
      <w:r>
        <w:rPr>
          <w:noProof/>
        </w:rPr>
        <w:drawing>
          <wp:inline distT="0" distB="0" distL="0" distR="0">
            <wp:extent cx="489368" cy="484816"/>
            <wp:effectExtent l="0" t="0" r="0" b="0"/>
            <wp:docPr id="4554" name="Picture 4554"/>
            <wp:cNvGraphicFramePr/>
            <a:graphic xmlns:a="http://schemas.openxmlformats.org/drawingml/2006/main">
              <a:graphicData uri="http://schemas.openxmlformats.org/drawingml/2006/picture">
                <pic:pic xmlns:pic="http://schemas.openxmlformats.org/drawingml/2006/picture">
                  <pic:nvPicPr>
                    <pic:cNvPr id="4554" name="Picture 4554"/>
                    <pic:cNvPicPr/>
                  </pic:nvPicPr>
                  <pic:blipFill>
                    <a:blip r:embed="rId5"/>
                    <a:stretch>
                      <a:fillRect/>
                    </a:stretch>
                  </pic:blipFill>
                  <pic:spPr>
                    <a:xfrm>
                      <a:off x="0" y="0"/>
                      <a:ext cx="489368" cy="484816"/>
                    </a:xfrm>
                    <a:prstGeom prst="rect">
                      <a:avLst/>
                    </a:prstGeom>
                  </pic:spPr>
                </pic:pic>
              </a:graphicData>
            </a:graphic>
          </wp:inline>
        </w:drawing>
      </w:r>
      <w:r>
        <w:rPr>
          <w:sz w:val="34"/>
        </w:rPr>
        <w:t>KB     Smlo</w:t>
      </w:r>
      <w:r w:rsidRPr="00EA4A30">
        <w:rPr>
          <w:sz w:val="34"/>
        </w:rPr>
        <w:t>uva</w:t>
      </w:r>
      <w:r>
        <w:rPr>
          <w:sz w:val="34"/>
        </w:rPr>
        <w:t xml:space="preserve"> o poskytování fakult</w:t>
      </w:r>
      <w:r w:rsidR="00D62C21">
        <w:rPr>
          <w:sz w:val="34"/>
        </w:rPr>
        <w:t>ativní doplňkové služby</w:t>
      </w:r>
    </w:p>
    <w:p w:rsidR="00512562" w:rsidRDefault="00D62C21">
      <w:pPr>
        <w:spacing w:after="49" w:line="259" w:lineRule="auto"/>
        <w:ind w:left="-37" w:right="-1" w:hanging="10"/>
        <w:jc w:val="right"/>
        <w:rPr>
          <w:sz w:val="34"/>
        </w:rPr>
      </w:pPr>
      <w:r>
        <w:rPr>
          <w:sz w:val="34"/>
        </w:rPr>
        <w:t>-</w:t>
      </w:r>
      <w:proofErr w:type="spellStart"/>
      <w:r>
        <w:rPr>
          <w:sz w:val="34"/>
        </w:rPr>
        <w:t>Profi</w:t>
      </w:r>
      <w:proofErr w:type="spellEnd"/>
      <w:r>
        <w:rPr>
          <w:sz w:val="34"/>
        </w:rPr>
        <w:t xml:space="preserve"> Merlin-PO</w:t>
      </w:r>
    </w:p>
    <w:p w:rsidR="00D62C21" w:rsidRDefault="00D62C21">
      <w:pPr>
        <w:spacing w:after="49" w:line="259" w:lineRule="auto"/>
        <w:ind w:left="-37" w:right="-1" w:hanging="10"/>
        <w:jc w:val="right"/>
      </w:pPr>
    </w:p>
    <w:p w:rsidR="00512562" w:rsidRDefault="00EA4A30">
      <w:pPr>
        <w:spacing w:after="155" w:line="216" w:lineRule="auto"/>
        <w:ind w:left="10"/>
        <w:jc w:val="left"/>
      </w:pPr>
      <w:r w:rsidRPr="00B16DD8">
        <w:rPr>
          <w:b/>
          <w:sz w:val="20"/>
        </w:rPr>
        <w:t>Komerční banka, a.s</w:t>
      </w:r>
      <w:r>
        <w:rPr>
          <w:sz w:val="20"/>
        </w:rPr>
        <w:t>., se sídlem Praha 1, Na Příkopě 33 čp. 969, PSČ 114 07, IČO: 45317054, zapsaná v obchodním rejstříku vedeném Městským soudem v Praze, oddíl B, vložka 1360 (dále jen „Banka” nebo „Pojistník”)</w:t>
      </w:r>
    </w:p>
    <w:p w:rsidR="00512562" w:rsidRPr="00B16DD8" w:rsidRDefault="00EA4A30" w:rsidP="00B16DD8">
      <w:pPr>
        <w:spacing w:line="240" w:lineRule="auto"/>
        <w:ind w:left="14" w:firstLine="0"/>
        <w:jc w:val="left"/>
        <w:rPr>
          <w:sz w:val="22"/>
        </w:rPr>
      </w:pPr>
      <w:r w:rsidRPr="00B16DD8">
        <w:rPr>
          <w:sz w:val="22"/>
        </w:rPr>
        <w:t>a</w:t>
      </w:r>
    </w:p>
    <w:p w:rsidR="00512562" w:rsidRDefault="00512562" w:rsidP="00B16DD8">
      <w:pPr>
        <w:spacing w:line="240" w:lineRule="auto"/>
        <w:jc w:val="left"/>
      </w:pPr>
    </w:p>
    <w:p w:rsidR="00512562" w:rsidRPr="00B16DD8" w:rsidRDefault="00EA4A30" w:rsidP="00B16DD8">
      <w:pPr>
        <w:spacing w:line="240" w:lineRule="auto"/>
        <w:ind w:left="14" w:firstLine="0"/>
        <w:jc w:val="left"/>
        <w:rPr>
          <w:b/>
        </w:rPr>
      </w:pPr>
      <w:r w:rsidRPr="00B16DD8">
        <w:rPr>
          <w:b/>
          <w:sz w:val="24"/>
        </w:rPr>
        <w:t>MAJITEL ÚČTU</w:t>
      </w:r>
      <w:bookmarkStart w:id="0" w:name="_GoBack"/>
      <w:bookmarkEnd w:id="0"/>
    </w:p>
    <w:tbl>
      <w:tblPr>
        <w:tblStyle w:val="TableGrid"/>
        <w:tblW w:w="9896" w:type="dxa"/>
        <w:tblInd w:w="-69" w:type="dxa"/>
        <w:tblCellMar>
          <w:top w:w="36" w:type="dxa"/>
        </w:tblCellMar>
        <w:tblLook w:val="04A0" w:firstRow="1" w:lastRow="0" w:firstColumn="1" w:lastColumn="0" w:noHBand="0" w:noVBand="1"/>
      </w:tblPr>
      <w:tblGrid>
        <w:gridCol w:w="4243"/>
        <w:gridCol w:w="4642"/>
        <w:gridCol w:w="1011"/>
      </w:tblGrid>
      <w:tr w:rsidR="00512562" w:rsidTr="00EA4A30">
        <w:trPr>
          <w:trHeight w:val="494"/>
        </w:trPr>
        <w:tc>
          <w:tcPr>
            <w:tcW w:w="8885" w:type="dxa"/>
            <w:gridSpan w:val="2"/>
            <w:tcBorders>
              <w:top w:val="single" w:sz="2" w:space="0" w:color="000000"/>
              <w:left w:val="single" w:sz="2" w:space="0" w:color="000000"/>
              <w:bottom w:val="single" w:sz="2" w:space="0" w:color="000000"/>
              <w:right w:val="nil"/>
            </w:tcBorders>
          </w:tcPr>
          <w:p w:rsidR="00512562" w:rsidRDefault="00EA4A30" w:rsidP="00EA4A30">
            <w:pPr>
              <w:spacing w:line="259" w:lineRule="auto"/>
              <w:ind w:left="4319" w:right="315" w:hanging="4235"/>
              <w:jc w:val="left"/>
            </w:pPr>
            <w:r>
              <w:rPr>
                <w:sz w:val="20"/>
              </w:rPr>
              <w:t xml:space="preserve">Obchodní firma* / </w:t>
            </w:r>
            <w:proofErr w:type="gramStart"/>
            <w:r>
              <w:rPr>
                <w:sz w:val="20"/>
              </w:rPr>
              <w:t>název:*</w:t>
            </w:r>
            <w:proofErr w:type="gramEnd"/>
            <w:r>
              <w:rPr>
                <w:sz w:val="20"/>
              </w:rPr>
              <w:t>*</w:t>
            </w:r>
            <w:r>
              <w:rPr>
                <w:sz w:val="20"/>
              </w:rPr>
              <w:tab/>
              <w:t>Sociální služby pro osoby se zdravotním postižením, organizace</w:t>
            </w:r>
          </w:p>
        </w:tc>
        <w:tc>
          <w:tcPr>
            <w:tcW w:w="1011" w:type="dxa"/>
            <w:tcBorders>
              <w:top w:val="single" w:sz="2" w:space="0" w:color="000000"/>
              <w:left w:val="nil"/>
              <w:bottom w:val="single" w:sz="2" w:space="0" w:color="000000"/>
              <w:right w:val="single" w:sz="2" w:space="0" w:color="000000"/>
            </w:tcBorders>
          </w:tcPr>
          <w:p w:rsidR="00512562" w:rsidRDefault="00EA4A30">
            <w:pPr>
              <w:spacing w:line="259" w:lineRule="auto"/>
              <w:ind w:left="0" w:firstLine="0"/>
            </w:pPr>
            <w:r>
              <w:rPr>
                <w:sz w:val="20"/>
              </w:rPr>
              <w:t>příspěvková</w:t>
            </w:r>
          </w:p>
        </w:tc>
      </w:tr>
      <w:tr w:rsidR="00512562" w:rsidTr="00EA4A30">
        <w:trPr>
          <w:trHeight w:val="291"/>
        </w:trPr>
        <w:tc>
          <w:tcPr>
            <w:tcW w:w="4243" w:type="dxa"/>
            <w:tcBorders>
              <w:top w:val="single" w:sz="2" w:space="0" w:color="000000"/>
              <w:left w:val="single" w:sz="2" w:space="0" w:color="000000"/>
              <w:bottom w:val="single" w:sz="2" w:space="0" w:color="000000"/>
              <w:right w:val="single" w:sz="2" w:space="0" w:color="000000"/>
            </w:tcBorders>
          </w:tcPr>
          <w:p w:rsidR="00512562" w:rsidRDefault="00EA4A30">
            <w:pPr>
              <w:spacing w:line="259" w:lineRule="auto"/>
              <w:ind w:left="77" w:firstLine="0"/>
              <w:jc w:val="left"/>
            </w:pPr>
            <w:r>
              <w:rPr>
                <w:sz w:val="20"/>
              </w:rPr>
              <w:t>Sídlo:</w:t>
            </w:r>
          </w:p>
        </w:tc>
        <w:tc>
          <w:tcPr>
            <w:tcW w:w="4642" w:type="dxa"/>
            <w:tcBorders>
              <w:top w:val="single" w:sz="2" w:space="0" w:color="000000"/>
              <w:left w:val="single" w:sz="2" w:space="0" w:color="000000"/>
              <w:bottom w:val="single" w:sz="2" w:space="0" w:color="000000"/>
              <w:right w:val="nil"/>
            </w:tcBorders>
          </w:tcPr>
          <w:p w:rsidR="00512562" w:rsidRDefault="00EA4A30">
            <w:pPr>
              <w:spacing w:line="259" w:lineRule="auto"/>
              <w:ind w:left="83" w:firstLine="0"/>
              <w:jc w:val="left"/>
            </w:pPr>
            <w:r>
              <w:t>NA HRÁDKU 100, 763 16 FRYŠTÁK, CZ</w:t>
            </w:r>
          </w:p>
        </w:tc>
        <w:tc>
          <w:tcPr>
            <w:tcW w:w="1011" w:type="dxa"/>
            <w:tcBorders>
              <w:top w:val="single" w:sz="2" w:space="0" w:color="000000"/>
              <w:left w:val="nil"/>
              <w:bottom w:val="single" w:sz="2" w:space="0" w:color="000000"/>
              <w:right w:val="single" w:sz="2" w:space="0" w:color="000000"/>
            </w:tcBorders>
          </w:tcPr>
          <w:p w:rsidR="00512562" w:rsidRDefault="00512562">
            <w:pPr>
              <w:spacing w:after="160" w:line="259" w:lineRule="auto"/>
              <w:ind w:left="0" w:firstLine="0"/>
              <w:jc w:val="left"/>
            </w:pPr>
          </w:p>
        </w:tc>
      </w:tr>
      <w:tr w:rsidR="00512562" w:rsidTr="00EA4A30">
        <w:trPr>
          <w:trHeight w:val="293"/>
        </w:trPr>
        <w:tc>
          <w:tcPr>
            <w:tcW w:w="4243" w:type="dxa"/>
            <w:tcBorders>
              <w:top w:val="single" w:sz="2" w:space="0" w:color="000000"/>
              <w:left w:val="single" w:sz="2" w:space="0" w:color="000000"/>
              <w:bottom w:val="single" w:sz="2" w:space="0" w:color="000000"/>
              <w:right w:val="single" w:sz="2" w:space="0" w:color="000000"/>
            </w:tcBorders>
          </w:tcPr>
          <w:p w:rsidR="00512562" w:rsidRDefault="00EA4A30">
            <w:pPr>
              <w:spacing w:line="259" w:lineRule="auto"/>
              <w:ind w:left="84" w:firstLine="0"/>
              <w:jc w:val="left"/>
            </w:pPr>
            <w:r>
              <w:rPr>
                <w:sz w:val="20"/>
              </w:rPr>
              <w:t>IČO:</w:t>
            </w:r>
          </w:p>
        </w:tc>
        <w:tc>
          <w:tcPr>
            <w:tcW w:w="4642" w:type="dxa"/>
            <w:tcBorders>
              <w:top w:val="single" w:sz="2" w:space="0" w:color="000000"/>
              <w:left w:val="single" w:sz="2" w:space="0" w:color="000000"/>
              <w:bottom w:val="single" w:sz="2" w:space="0" w:color="000000"/>
              <w:right w:val="nil"/>
            </w:tcBorders>
          </w:tcPr>
          <w:p w:rsidR="00512562" w:rsidRDefault="00EA4A30">
            <w:pPr>
              <w:spacing w:line="259" w:lineRule="auto"/>
              <w:ind w:left="76" w:firstLine="0"/>
              <w:jc w:val="left"/>
            </w:pPr>
            <w:r>
              <w:t>70850917</w:t>
            </w:r>
          </w:p>
        </w:tc>
        <w:tc>
          <w:tcPr>
            <w:tcW w:w="1011" w:type="dxa"/>
            <w:tcBorders>
              <w:top w:val="single" w:sz="2" w:space="0" w:color="000000"/>
              <w:left w:val="nil"/>
              <w:bottom w:val="single" w:sz="2" w:space="0" w:color="000000"/>
              <w:right w:val="single" w:sz="2" w:space="0" w:color="000000"/>
            </w:tcBorders>
          </w:tcPr>
          <w:p w:rsidR="00512562" w:rsidRDefault="00512562">
            <w:pPr>
              <w:spacing w:after="160" w:line="259" w:lineRule="auto"/>
              <w:ind w:left="0" w:firstLine="0"/>
              <w:jc w:val="left"/>
            </w:pPr>
          </w:p>
        </w:tc>
      </w:tr>
      <w:tr w:rsidR="00512562" w:rsidTr="00EA4A30">
        <w:trPr>
          <w:trHeight w:val="471"/>
        </w:trPr>
        <w:tc>
          <w:tcPr>
            <w:tcW w:w="4243" w:type="dxa"/>
            <w:tcBorders>
              <w:top w:val="single" w:sz="2" w:space="0" w:color="000000"/>
              <w:left w:val="single" w:sz="2" w:space="0" w:color="000000"/>
              <w:bottom w:val="single" w:sz="2" w:space="0" w:color="000000"/>
              <w:right w:val="single" w:sz="2" w:space="0" w:color="000000"/>
            </w:tcBorders>
          </w:tcPr>
          <w:p w:rsidR="00512562" w:rsidRDefault="00EA4A30">
            <w:pPr>
              <w:spacing w:line="259" w:lineRule="auto"/>
              <w:ind w:left="76" w:hanging="7"/>
            </w:pPr>
            <w:r>
              <w:t>Zápis v obchodním rejstříku či jiné evidenci, včetně spisové značky:</w:t>
            </w:r>
          </w:p>
        </w:tc>
        <w:tc>
          <w:tcPr>
            <w:tcW w:w="4642" w:type="dxa"/>
            <w:tcBorders>
              <w:top w:val="single" w:sz="2" w:space="0" w:color="000000"/>
              <w:left w:val="single" w:sz="2" w:space="0" w:color="000000"/>
              <w:bottom w:val="single" w:sz="2" w:space="0" w:color="000000"/>
              <w:right w:val="nil"/>
            </w:tcBorders>
          </w:tcPr>
          <w:p w:rsidR="00512562" w:rsidRDefault="00EA4A30">
            <w:pPr>
              <w:spacing w:line="259" w:lineRule="auto"/>
              <w:ind w:left="68" w:firstLine="0"/>
              <w:jc w:val="left"/>
            </w:pPr>
            <w:r>
              <w:rPr>
                <w:sz w:val="22"/>
              </w:rPr>
              <w:t>ZLÍNSKÝ KRAJ</w:t>
            </w:r>
          </w:p>
        </w:tc>
        <w:tc>
          <w:tcPr>
            <w:tcW w:w="1011" w:type="dxa"/>
            <w:tcBorders>
              <w:top w:val="single" w:sz="2" w:space="0" w:color="000000"/>
              <w:left w:val="nil"/>
              <w:bottom w:val="single" w:sz="2" w:space="0" w:color="000000"/>
              <w:right w:val="single" w:sz="2" w:space="0" w:color="000000"/>
            </w:tcBorders>
          </w:tcPr>
          <w:p w:rsidR="00512562" w:rsidRDefault="00512562">
            <w:pPr>
              <w:spacing w:after="160" w:line="259" w:lineRule="auto"/>
              <w:ind w:left="0" w:firstLine="0"/>
              <w:jc w:val="left"/>
            </w:pPr>
          </w:p>
        </w:tc>
      </w:tr>
    </w:tbl>
    <w:p w:rsidR="00512562" w:rsidRDefault="00EA4A30">
      <w:pPr>
        <w:spacing w:after="89"/>
        <w:ind w:left="10"/>
      </w:pPr>
      <w:r>
        <w:t>*je-li Klient zapsán v obchodním rejstříku; **není-li Klient zapsán v obchodním rejstříku</w:t>
      </w:r>
    </w:p>
    <w:p w:rsidR="00512562" w:rsidRDefault="00EA4A30">
      <w:pPr>
        <w:spacing w:after="165"/>
        <w:ind w:left="10"/>
      </w:pPr>
      <w:r>
        <w:t>(dále jen „</w:t>
      </w:r>
      <w:r w:rsidRPr="00B16DD8">
        <w:rPr>
          <w:b/>
        </w:rPr>
        <w:t>Majitel účtu</w:t>
      </w:r>
      <w:r>
        <w:t>")</w:t>
      </w:r>
    </w:p>
    <w:p w:rsidR="00512562" w:rsidRDefault="00EA4A30">
      <w:pPr>
        <w:spacing w:line="216" w:lineRule="auto"/>
        <w:ind w:left="10"/>
        <w:jc w:val="left"/>
      </w:pPr>
      <w:r>
        <w:rPr>
          <w:sz w:val="20"/>
        </w:rPr>
        <w:t xml:space="preserve">uzavírají podle S 1746 odst. 2 </w:t>
      </w:r>
      <w:proofErr w:type="spellStart"/>
      <w:r>
        <w:rPr>
          <w:sz w:val="20"/>
        </w:rPr>
        <w:t>z.č</w:t>
      </w:r>
      <w:proofErr w:type="spellEnd"/>
      <w:r>
        <w:rPr>
          <w:sz w:val="20"/>
        </w:rPr>
        <w:t>. 89/2012 Sb., občanský zákoník, ve znění pozdějších předpisů, tuto smlouvu o poskytování fakultativní doplňkové služby ve smyslu příslušných produktových podmínek (dále jen „Smlouva”) č.</w:t>
      </w:r>
      <w:r>
        <w:rPr>
          <w:noProof/>
        </w:rPr>
        <w:drawing>
          <wp:inline distT="0" distB="0" distL="0" distR="0">
            <wp:extent cx="4573" cy="18295"/>
            <wp:effectExtent l="0" t="0" r="0" b="0"/>
            <wp:docPr id="16351" name="Picture 16351"/>
            <wp:cNvGraphicFramePr/>
            <a:graphic xmlns:a="http://schemas.openxmlformats.org/drawingml/2006/main">
              <a:graphicData uri="http://schemas.openxmlformats.org/drawingml/2006/picture">
                <pic:pic xmlns:pic="http://schemas.openxmlformats.org/drawingml/2006/picture">
                  <pic:nvPicPr>
                    <pic:cNvPr id="16351" name="Picture 16351"/>
                    <pic:cNvPicPr/>
                  </pic:nvPicPr>
                  <pic:blipFill>
                    <a:blip r:embed="rId6"/>
                    <a:stretch>
                      <a:fillRect/>
                    </a:stretch>
                  </pic:blipFill>
                  <pic:spPr>
                    <a:xfrm>
                      <a:off x="0" y="0"/>
                      <a:ext cx="4573" cy="18295"/>
                    </a:xfrm>
                    <a:prstGeom prst="rect">
                      <a:avLst/>
                    </a:prstGeom>
                  </pic:spPr>
                </pic:pic>
              </a:graphicData>
            </a:graphic>
          </wp:inline>
        </w:drawing>
      </w:r>
    </w:p>
    <w:p w:rsidR="00512562" w:rsidRDefault="00EA4A30">
      <w:pPr>
        <w:spacing w:after="160" w:line="259" w:lineRule="auto"/>
        <w:ind w:left="7" w:firstLine="0"/>
        <w:jc w:val="left"/>
      </w:pPr>
      <w:r>
        <w:rPr>
          <w:sz w:val="20"/>
        </w:rPr>
        <w:t>5600306340.</w:t>
      </w:r>
    </w:p>
    <w:p w:rsidR="00512562" w:rsidRDefault="00EA4A30">
      <w:pPr>
        <w:spacing w:after="328" w:line="216" w:lineRule="auto"/>
        <w:ind w:left="10"/>
        <w:jc w:val="left"/>
      </w:pPr>
      <w:r>
        <w:rPr>
          <w:sz w:val="20"/>
        </w:rPr>
        <w:t>Smluvními stranami se rozumí Banka a Majitel účtu.</w:t>
      </w:r>
    </w:p>
    <w:p w:rsidR="00512562" w:rsidRPr="00B16DD8" w:rsidRDefault="00EA4A30">
      <w:pPr>
        <w:ind w:left="17" w:right="4357"/>
        <w:jc w:val="left"/>
        <w:rPr>
          <w:b/>
        </w:rPr>
      </w:pPr>
      <w:r w:rsidRPr="00B16DD8">
        <w:rPr>
          <w:b/>
          <w:sz w:val="22"/>
        </w:rPr>
        <w:t>PŘEDMĚT SMLOUVY</w:t>
      </w:r>
    </w:p>
    <w:tbl>
      <w:tblPr>
        <w:tblStyle w:val="TableGrid"/>
        <w:tblW w:w="9986" w:type="dxa"/>
        <w:tblInd w:w="-68" w:type="dxa"/>
        <w:tblCellMar>
          <w:top w:w="11" w:type="dxa"/>
          <w:left w:w="61" w:type="dxa"/>
          <w:right w:w="1" w:type="dxa"/>
        </w:tblCellMar>
        <w:tblLook w:val="04A0" w:firstRow="1" w:lastRow="0" w:firstColumn="1" w:lastColumn="0" w:noHBand="0" w:noVBand="1"/>
      </w:tblPr>
      <w:tblGrid>
        <w:gridCol w:w="3008"/>
        <w:gridCol w:w="6978"/>
      </w:tblGrid>
      <w:tr w:rsidR="00512562" w:rsidTr="00EA4A30">
        <w:trPr>
          <w:trHeight w:val="264"/>
        </w:trPr>
        <w:tc>
          <w:tcPr>
            <w:tcW w:w="9986" w:type="dxa"/>
            <w:gridSpan w:val="2"/>
            <w:tcBorders>
              <w:top w:val="single" w:sz="2" w:space="0" w:color="000000"/>
              <w:left w:val="single" w:sz="2" w:space="0" w:color="000000"/>
              <w:bottom w:val="single" w:sz="2" w:space="0" w:color="000000"/>
              <w:right w:val="single" w:sz="2" w:space="0" w:color="000000"/>
            </w:tcBorders>
          </w:tcPr>
          <w:p w:rsidR="00512562" w:rsidRDefault="00EA4A30">
            <w:pPr>
              <w:spacing w:line="259" w:lineRule="auto"/>
              <w:ind w:left="14" w:firstLine="7"/>
              <w:jc w:val="left"/>
            </w:pPr>
            <w:r>
              <w:rPr>
                <w:sz w:val="20"/>
              </w:rPr>
              <w:t>Majitel účtu a Banka se dohodli na poskytování níže uvedené fakultativní doplňkové služby specifikované v této Smlouvě.</w:t>
            </w:r>
          </w:p>
        </w:tc>
      </w:tr>
      <w:tr w:rsidR="00512562" w:rsidTr="00EA4A30">
        <w:trPr>
          <w:trHeight w:val="165"/>
        </w:trPr>
        <w:tc>
          <w:tcPr>
            <w:tcW w:w="3008" w:type="dxa"/>
            <w:tcBorders>
              <w:top w:val="single" w:sz="2" w:space="0" w:color="000000"/>
              <w:left w:val="single" w:sz="2" w:space="0" w:color="000000"/>
              <w:bottom w:val="single" w:sz="2" w:space="0" w:color="000000"/>
              <w:right w:val="single" w:sz="2" w:space="0" w:color="000000"/>
            </w:tcBorders>
          </w:tcPr>
          <w:p w:rsidR="00512562" w:rsidRDefault="00EA4A30">
            <w:pPr>
              <w:spacing w:line="259" w:lineRule="auto"/>
              <w:ind w:left="6" w:firstLine="0"/>
            </w:pPr>
            <w:r>
              <w:rPr>
                <w:sz w:val="20"/>
              </w:rPr>
              <w:t xml:space="preserve">Typ fakultativní doplňkové služby: </w:t>
            </w:r>
          </w:p>
        </w:tc>
        <w:tc>
          <w:tcPr>
            <w:tcW w:w="6978" w:type="dxa"/>
            <w:tcBorders>
              <w:top w:val="single" w:sz="2" w:space="0" w:color="000000"/>
              <w:left w:val="single" w:sz="2" w:space="0" w:color="000000"/>
              <w:bottom w:val="single" w:sz="2" w:space="0" w:color="000000"/>
              <w:right w:val="single" w:sz="2" w:space="0" w:color="000000"/>
            </w:tcBorders>
          </w:tcPr>
          <w:p w:rsidR="00512562" w:rsidRPr="00B16DD8" w:rsidRDefault="00EA4A30">
            <w:pPr>
              <w:spacing w:line="259" w:lineRule="auto"/>
              <w:ind w:left="663" w:firstLine="0"/>
              <w:jc w:val="left"/>
              <w:rPr>
                <w:b/>
              </w:rPr>
            </w:pPr>
            <w:r w:rsidRPr="00B16DD8">
              <w:rPr>
                <w:b/>
                <w:sz w:val="22"/>
              </w:rPr>
              <w:t xml:space="preserve">Pojištění </w:t>
            </w:r>
            <w:proofErr w:type="spellStart"/>
            <w:r w:rsidRPr="00B16DD8">
              <w:rPr>
                <w:b/>
                <w:sz w:val="22"/>
              </w:rPr>
              <w:t>Profi</w:t>
            </w:r>
            <w:proofErr w:type="spellEnd"/>
            <w:r w:rsidRPr="00B16DD8">
              <w:rPr>
                <w:b/>
                <w:sz w:val="22"/>
              </w:rPr>
              <w:t xml:space="preserve"> MERLIN</w:t>
            </w:r>
          </w:p>
        </w:tc>
      </w:tr>
      <w:tr w:rsidR="00512562" w:rsidTr="00EA4A30">
        <w:trPr>
          <w:trHeight w:val="162"/>
        </w:trPr>
        <w:tc>
          <w:tcPr>
            <w:tcW w:w="3008" w:type="dxa"/>
            <w:tcBorders>
              <w:top w:val="single" w:sz="2" w:space="0" w:color="000000"/>
              <w:left w:val="single" w:sz="2" w:space="0" w:color="000000"/>
              <w:bottom w:val="single" w:sz="2" w:space="0" w:color="000000"/>
              <w:right w:val="single" w:sz="2" w:space="0" w:color="000000"/>
            </w:tcBorders>
          </w:tcPr>
          <w:p w:rsidR="00512562" w:rsidRDefault="00EA4A30">
            <w:pPr>
              <w:spacing w:line="259" w:lineRule="auto"/>
              <w:ind w:left="21" w:firstLine="0"/>
              <w:jc w:val="left"/>
            </w:pPr>
            <w:r>
              <w:rPr>
                <w:sz w:val="22"/>
              </w:rPr>
              <w:t>(dále jen „</w:t>
            </w:r>
            <w:r w:rsidRPr="00B16DD8">
              <w:rPr>
                <w:b/>
                <w:sz w:val="22"/>
              </w:rPr>
              <w:t>Doplňková služba</w:t>
            </w:r>
            <w:r>
              <w:rPr>
                <w:sz w:val="22"/>
              </w:rPr>
              <w:t>")</w:t>
            </w:r>
          </w:p>
        </w:tc>
        <w:tc>
          <w:tcPr>
            <w:tcW w:w="6978" w:type="dxa"/>
            <w:tcBorders>
              <w:top w:val="single" w:sz="2" w:space="0" w:color="000000"/>
              <w:left w:val="single" w:sz="2" w:space="0" w:color="000000"/>
              <w:bottom w:val="single" w:sz="2" w:space="0" w:color="000000"/>
              <w:right w:val="single" w:sz="2" w:space="0" w:color="000000"/>
            </w:tcBorders>
          </w:tcPr>
          <w:p w:rsidR="00512562" w:rsidRDefault="00512562">
            <w:pPr>
              <w:spacing w:after="160" w:line="259" w:lineRule="auto"/>
              <w:ind w:left="0" w:firstLine="0"/>
              <w:jc w:val="left"/>
            </w:pPr>
          </w:p>
        </w:tc>
      </w:tr>
      <w:tr w:rsidR="00512562" w:rsidTr="00EA4A30">
        <w:trPr>
          <w:trHeight w:val="157"/>
        </w:trPr>
        <w:tc>
          <w:tcPr>
            <w:tcW w:w="3008" w:type="dxa"/>
            <w:tcBorders>
              <w:top w:val="single" w:sz="2" w:space="0" w:color="000000"/>
              <w:left w:val="single" w:sz="2" w:space="0" w:color="000000"/>
              <w:bottom w:val="single" w:sz="2" w:space="0" w:color="000000"/>
              <w:right w:val="single" w:sz="2" w:space="0" w:color="000000"/>
            </w:tcBorders>
          </w:tcPr>
          <w:p w:rsidR="00512562" w:rsidRDefault="00512562">
            <w:pPr>
              <w:spacing w:after="160" w:line="259" w:lineRule="auto"/>
              <w:ind w:left="0" w:firstLine="0"/>
              <w:jc w:val="left"/>
            </w:pPr>
          </w:p>
        </w:tc>
        <w:tc>
          <w:tcPr>
            <w:tcW w:w="6978" w:type="dxa"/>
            <w:tcBorders>
              <w:top w:val="single" w:sz="2" w:space="0" w:color="000000"/>
              <w:left w:val="single" w:sz="2" w:space="0" w:color="000000"/>
              <w:bottom w:val="single" w:sz="2" w:space="0" w:color="000000"/>
              <w:right w:val="single" w:sz="2" w:space="0" w:color="000000"/>
            </w:tcBorders>
          </w:tcPr>
          <w:p w:rsidR="00512562" w:rsidRDefault="00512562">
            <w:pPr>
              <w:spacing w:after="160" w:line="259" w:lineRule="auto"/>
              <w:ind w:left="0" w:firstLine="0"/>
              <w:jc w:val="left"/>
            </w:pPr>
          </w:p>
        </w:tc>
      </w:tr>
      <w:tr w:rsidR="00512562" w:rsidTr="00EA4A30">
        <w:trPr>
          <w:trHeight w:val="377"/>
        </w:trPr>
        <w:tc>
          <w:tcPr>
            <w:tcW w:w="3008" w:type="dxa"/>
            <w:tcBorders>
              <w:top w:val="single" w:sz="2" w:space="0" w:color="000000"/>
              <w:left w:val="single" w:sz="2" w:space="0" w:color="000000"/>
              <w:bottom w:val="single" w:sz="2" w:space="0" w:color="000000"/>
              <w:right w:val="nil"/>
            </w:tcBorders>
          </w:tcPr>
          <w:p w:rsidR="00512562" w:rsidRDefault="00EA4A30">
            <w:pPr>
              <w:spacing w:line="259" w:lineRule="auto"/>
              <w:ind w:left="14" w:firstLine="7"/>
            </w:pPr>
            <w:r>
              <w:rPr>
                <w:sz w:val="20"/>
              </w:rPr>
              <w:t>Identifikace obchodní společnosti poskytující Doplňkovou službu:</w:t>
            </w:r>
          </w:p>
        </w:tc>
        <w:tc>
          <w:tcPr>
            <w:tcW w:w="6978" w:type="dxa"/>
            <w:tcBorders>
              <w:top w:val="single" w:sz="2" w:space="0" w:color="000000"/>
              <w:left w:val="nil"/>
              <w:bottom w:val="single" w:sz="2" w:space="0" w:color="000000"/>
              <w:right w:val="single" w:sz="2" w:space="0" w:color="000000"/>
            </w:tcBorders>
          </w:tcPr>
          <w:p w:rsidR="00512562" w:rsidRDefault="00EA4A30">
            <w:pPr>
              <w:spacing w:line="259" w:lineRule="auto"/>
              <w:ind w:left="0" w:right="81" w:firstLine="14"/>
            </w:pPr>
            <w:r>
              <w:rPr>
                <w:sz w:val="20"/>
              </w:rPr>
              <w:t>Komerční pojišťovna, a.s., se sídlem Praha 8, Karolinská 1 čp. 650, PSČ: 186 OO, IČO: 63998017, zapsána v obchodním rejstříku vedeném u Městského soudu v Praze, oddíl B., vložka 3362 (dále jen „</w:t>
            </w:r>
            <w:r w:rsidRPr="00B16DD8">
              <w:rPr>
                <w:b/>
                <w:sz w:val="20"/>
              </w:rPr>
              <w:t>Pojistitel</w:t>
            </w:r>
            <w:r>
              <w:rPr>
                <w:sz w:val="20"/>
              </w:rPr>
              <w:t>”)</w:t>
            </w:r>
          </w:p>
        </w:tc>
      </w:tr>
      <w:tr w:rsidR="00512562" w:rsidTr="00EA4A30">
        <w:trPr>
          <w:trHeight w:val="559"/>
        </w:trPr>
        <w:tc>
          <w:tcPr>
            <w:tcW w:w="9986" w:type="dxa"/>
            <w:gridSpan w:val="2"/>
            <w:tcBorders>
              <w:top w:val="single" w:sz="2" w:space="0" w:color="000000"/>
              <w:left w:val="single" w:sz="2" w:space="0" w:color="000000"/>
              <w:bottom w:val="single" w:sz="2" w:space="0" w:color="000000"/>
              <w:right w:val="single" w:sz="2" w:space="0" w:color="000000"/>
            </w:tcBorders>
          </w:tcPr>
          <w:p w:rsidR="00512562" w:rsidRDefault="00EA4A30">
            <w:pPr>
              <w:spacing w:line="259" w:lineRule="auto"/>
              <w:ind w:left="21" w:firstLine="0"/>
              <w:jc w:val="left"/>
            </w:pPr>
            <w:r>
              <w:rPr>
                <w:noProof/>
              </w:rPr>
              <w:drawing>
                <wp:anchor distT="0" distB="0" distL="114300" distR="114300" simplePos="0" relativeHeight="251658240" behindDoc="0" locked="0" layoutInCell="1" allowOverlap="0">
                  <wp:simplePos x="0" y="0"/>
                  <wp:positionH relativeFrom="column">
                    <wp:posOffset>770069</wp:posOffset>
                  </wp:positionH>
                  <wp:positionV relativeFrom="paragraph">
                    <wp:posOffset>-72645</wp:posOffset>
                  </wp:positionV>
                  <wp:extent cx="18294" cy="654045"/>
                  <wp:effectExtent l="0" t="0" r="0" b="0"/>
                  <wp:wrapSquare wrapText="bothSides"/>
                  <wp:docPr id="4419" name="Picture 4419"/>
                  <wp:cNvGraphicFramePr/>
                  <a:graphic xmlns:a="http://schemas.openxmlformats.org/drawingml/2006/main">
                    <a:graphicData uri="http://schemas.openxmlformats.org/drawingml/2006/picture">
                      <pic:pic xmlns:pic="http://schemas.openxmlformats.org/drawingml/2006/picture">
                        <pic:nvPicPr>
                          <pic:cNvPr id="4419" name="Picture 4419"/>
                          <pic:cNvPicPr/>
                        </pic:nvPicPr>
                        <pic:blipFill>
                          <a:blip r:embed="rId7"/>
                          <a:stretch>
                            <a:fillRect/>
                          </a:stretch>
                        </pic:blipFill>
                        <pic:spPr>
                          <a:xfrm>
                            <a:off x="0" y="0"/>
                            <a:ext cx="18294" cy="654045"/>
                          </a:xfrm>
                          <a:prstGeom prst="rect">
                            <a:avLst/>
                          </a:prstGeom>
                        </pic:spPr>
                      </pic:pic>
                    </a:graphicData>
                  </a:graphic>
                </wp:anchor>
              </w:drawing>
            </w:r>
            <w:r>
              <w:rPr>
                <w:sz w:val="20"/>
              </w:rPr>
              <w:t>Pojištěný: Příjmení, jméno, titul: MACHALOVÁ ADÉLA</w:t>
            </w:r>
          </w:p>
          <w:p w:rsidR="00512562" w:rsidRDefault="00EA4A30">
            <w:pPr>
              <w:spacing w:line="259" w:lineRule="auto"/>
              <w:ind w:left="1151" w:firstLine="0"/>
              <w:jc w:val="left"/>
            </w:pPr>
            <w:r>
              <w:rPr>
                <w:sz w:val="20"/>
              </w:rPr>
              <w:t>Adresa (trvalý pobyt):</w:t>
            </w:r>
            <w:r w:rsidR="00D62C21">
              <w:rPr>
                <w:sz w:val="20"/>
              </w:rPr>
              <w:t xml:space="preserve"> ………</w:t>
            </w:r>
            <w:proofErr w:type="gramStart"/>
            <w:r w:rsidR="00D62C21">
              <w:rPr>
                <w:sz w:val="20"/>
              </w:rPr>
              <w:t>…….</w:t>
            </w:r>
            <w:proofErr w:type="gramEnd"/>
            <w:r>
              <w:rPr>
                <w:sz w:val="20"/>
              </w:rPr>
              <w:t xml:space="preserve"> , </w:t>
            </w:r>
            <w:r w:rsidR="00D62C21">
              <w:rPr>
                <w:sz w:val="20"/>
              </w:rPr>
              <w:t>… ..</w:t>
            </w:r>
            <w:r>
              <w:rPr>
                <w:sz w:val="20"/>
              </w:rPr>
              <w:t xml:space="preserve"> </w:t>
            </w:r>
            <w:r w:rsidR="00D62C21">
              <w:rPr>
                <w:sz w:val="20"/>
              </w:rPr>
              <w:t>………..</w:t>
            </w:r>
          </w:p>
          <w:p w:rsidR="00512562" w:rsidRDefault="00EA4A30">
            <w:pPr>
              <w:spacing w:line="259" w:lineRule="auto"/>
              <w:ind w:left="1151" w:firstLine="0"/>
              <w:jc w:val="left"/>
            </w:pPr>
            <w:r>
              <w:rPr>
                <w:sz w:val="20"/>
              </w:rPr>
              <w:t xml:space="preserve">Rodné číslo (datum narození, není-li rodné číslo): </w:t>
            </w:r>
            <w:r w:rsidR="00D62C21">
              <w:rPr>
                <w:sz w:val="20"/>
              </w:rPr>
              <w:t>………</w:t>
            </w:r>
          </w:p>
          <w:p w:rsidR="00512562" w:rsidRDefault="00EA4A30">
            <w:pPr>
              <w:spacing w:line="259" w:lineRule="auto"/>
              <w:ind w:left="1151" w:firstLine="0"/>
              <w:jc w:val="left"/>
            </w:pPr>
            <w:r>
              <w:t>(dále jen „Pojištěný”)</w:t>
            </w:r>
          </w:p>
        </w:tc>
      </w:tr>
      <w:tr w:rsidR="00512562" w:rsidTr="00EA4A30">
        <w:trPr>
          <w:trHeight w:val="152"/>
        </w:trPr>
        <w:tc>
          <w:tcPr>
            <w:tcW w:w="3008" w:type="dxa"/>
            <w:tcBorders>
              <w:top w:val="single" w:sz="2" w:space="0" w:color="000000"/>
              <w:left w:val="single" w:sz="2" w:space="0" w:color="000000"/>
              <w:bottom w:val="single" w:sz="2" w:space="0" w:color="000000"/>
              <w:right w:val="nil"/>
            </w:tcBorders>
          </w:tcPr>
          <w:p w:rsidR="00512562" w:rsidRDefault="00EA4A30">
            <w:pPr>
              <w:spacing w:line="259" w:lineRule="auto"/>
              <w:ind w:left="14" w:firstLine="0"/>
              <w:jc w:val="left"/>
            </w:pPr>
            <w:r>
              <w:rPr>
                <w:sz w:val="22"/>
              </w:rPr>
              <w:t>ČÍSLO ÚČTU / KÓD BANKY:</w:t>
            </w:r>
          </w:p>
        </w:tc>
        <w:tc>
          <w:tcPr>
            <w:tcW w:w="6978" w:type="dxa"/>
            <w:tcBorders>
              <w:top w:val="single" w:sz="2" w:space="0" w:color="000000"/>
              <w:left w:val="nil"/>
              <w:bottom w:val="single" w:sz="2" w:space="0" w:color="000000"/>
              <w:right w:val="single" w:sz="2" w:space="0" w:color="000000"/>
            </w:tcBorders>
          </w:tcPr>
          <w:p w:rsidR="00512562" w:rsidRDefault="00EA4A30">
            <w:pPr>
              <w:spacing w:line="259" w:lineRule="auto"/>
              <w:ind w:left="7" w:firstLine="0"/>
              <w:jc w:val="left"/>
            </w:pPr>
            <w:r w:rsidRPr="00B16DD8">
              <w:rPr>
                <w:b/>
                <w:sz w:val="20"/>
              </w:rPr>
              <w:t>27-1924690237</w:t>
            </w:r>
            <w:r w:rsidR="009E09F5" w:rsidRPr="00B16DD8">
              <w:rPr>
                <w:b/>
                <w:sz w:val="20"/>
              </w:rPr>
              <w:t>/</w:t>
            </w:r>
            <w:r w:rsidRPr="00B16DD8">
              <w:rPr>
                <w:b/>
                <w:sz w:val="20"/>
              </w:rPr>
              <w:t>0100</w:t>
            </w:r>
            <w:r>
              <w:rPr>
                <w:sz w:val="20"/>
              </w:rPr>
              <w:t xml:space="preserve"> (dále jen „</w:t>
            </w:r>
            <w:r w:rsidRPr="00B16DD8">
              <w:rPr>
                <w:b/>
                <w:sz w:val="20"/>
              </w:rPr>
              <w:t>Účet</w:t>
            </w:r>
            <w:r>
              <w:rPr>
                <w:sz w:val="20"/>
              </w:rPr>
              <w:t>”)</w:t>
            </w:r>
          </w:p>
        </w:tc>
      </w:tr>
    </w:tbl>
    <w:p w:rsidR="00512562" w:rsidRDefault="00EA4A30">
      <w:pPr>
        <w:spacing w:after="366"/>
        <w:ind w:left="10"/>
      </w:pPr>
      <w:r>
        <w:t xml:space="preserve">Uzavřením této Smlouvy se Pojistník zavazuje zařadit Pojištěného do kolektivního </w:t>
      </w:r>
      <w:proofErr w:type="gramStart"/>
      <w:r>
        <w:t xml:space="preserve">pojištění - </w:t>
      </w:r>
      <w:proofErr w:type="spellStart"/>
      <w:r>
        <w:t>Profi</w:t>
      </w:r>
      <w:proofErr w:type="spellEnd"/>
      <w:proofErr w:type="gramEnd"/>
      <w:r>
        <w:t xml:space="preserve"> MERLIN (dále jen „Pojištění”), jehož podmínky se řídí Pojistnými podmínkami pojištění </w:t>
      </w:r>
      <w:proofErr w:type="spellStart"/>
      <w:r>
        <w:t>Profi</w:t>
      </w:r>
      <w:proofErr w:type="spellEnd"/>
      <w:r>
        <w:t xml:space="preserve"> MERLIN (dále jen ”PPPMER"), které jsou nedílnou součástí této Smlouvy.</w:t>
      </w:r>
    </w:p>
    <w:p w:rsidR="00512562" w:rsidRPr="00B16DD8" w:rsidRDefault="00EA4A30">
      <w:pPr>
        <w:ind w:left="17" w:right="4357"/>
        <w:jc w:val="left"/>
        <w:rPr>
          <w:b/>
        </w:rPr>
      </w:pPr>
      <w:r w:rsidRPr="00B16DD8">
        <w:rPr>
          <w:b/>
          <w:sz w:val="22"/>
        </w:rPr>
        <w:t>Prohlášení:</w:t>
      </w:r>
    </w:p>
    <w:p w:rsidR="00512562" w:rsidRDefault="00EA4A30">
      <w:pPr>
        <w:spacing w:after="90"/>
        <w:ind w:left="446" w:hanging="439"/>
      </w:pPr>
      <w:r>
        <w:t>&gt; Majitel účtu souhlasí s tím, aby poplatek za Doplňkovou službu byl hrazen z Účtu a ve výši uvedené v aktuálním Sazebníku Komerční banky, a.s. (dále jen „Sazebník"), a to formou bankovního poplatku.</w:t>
      </w:r>
    </w:p>
    <w:p w:rsidR="00512562" w:rsidRDefault="00EA4A30">
      <w:pPr>
        <w:ind w:left="442"/>
      </w:pPr>
      <w:r>
        <w:t>Způsob a doba úhrady poplatku je upravena v platném Sazebníku.</w:t>
      </w:r>
    </w:p>
    <w:p w:rsidR="00512562" w:rsidRDefault="00EA4A30">
      <w:pPr>
        <w:ind w:left="432" w:hanging="425"/>
      </w:pPr>
      <w:r>
        <w:t xml:space="preserve">&gt; V souladu se zněním </w:t>
      </w:r>
      <w:proofErr w:type="spellStart"/>
      <w:r>
        <w:t>z.č</w:t>
      </w:r>
      <w:proofErr w:type="spellEnd"/>
      <w:r>
        <w:t>. 101/2000 Sb., o ochraně osobních údajů, ve znění pozdějších předpisů, uděluje Pojištěný Pojistníkovi a Pojistiteli souhlas se zpracováním osobních údajů o jeho osobě, které jsou uvedeny v této Smlouvě za účelem evidence Pojištěného pro uplatnění práv na pojistné plnění z Pojištění a dalšího zpracování těchto údajů v souladu s touto Smlouvou a PPPMER. Tento souhlas Pojištěný uděluje na celou dobu existence vzájemných povinností vyplývajících nebo souvisejících s touto Smlouvou.</w:t>
      </w:r>
    </w:p>
    <w:p w:rsidR="00512562" w:rsidRDefault="00EA4A30">
      <w:pPr>
        <w:tabs>
          <w:tab w:val="right" w:pos="9795"/>
        </w:tabs>
        <w:ind w:left="0" w:firstLine="0"/>
        <w:jc w:val="left"/>
      </w:pPr>
      <w:r>
        <w:t>&gt;</w:t>
      </w:r>
      <w:r>
        <w:tab/>
        <w:t>Podpisem této Smlouvy Pojištěný i Majitel účtu potvrzují, že se seznámili s obsahem a významem Všeobecných obchodních</w:t>
      </w:r>
    </w:p>
    <w:p w:rsidR="00512562" w:rsidRDefault="00EA4A30">
      <w:pPr>
        <w:spacing w:after="8" w:line="259" w:lineRule="auto"/>
        <w:ind w:left="14" w:firstLine="0"/>
        <w:jc w:val="left"/>
      </w:pPr>
      <w:r>
        <w:rPr>
          <w:noProof/>
        </w:rPr>
        <w:drawing>
          <wp:inline distT="0" distB="0" distL="0" distR="0">
            <wp:extent cx="4574" cy="4573"/>
            <wp:effectExtent l="0" t="0" r="0" b="0"/>
            <wp:docPr id="4422" name="Picture 4422"/>
            <wp:cNvGraphicFramePr/>
            <a:graphic xmlns:a="http://schemas.openxmlformats.org/drawingml/2006/main">
              <a:graphicData uri="http://schemas.openxmlformats.org/drawingml/2006/picture">
                <pic:pic xmlns:pic="http://schemas.openxmlformats.org/drawingml/2006/picture">
                  <pic:nvPicPr>
                    <pic:cNvPr id="4422" name="Picture 4422"/>
                    <pic:cNvPicPr/>
                  </pic:nvPicPr>
                  <pic:blipFill>
                    <a:blip r:embed="rId8"/>
                    <a:stretch>
                      <a:fillRect/>
                    </a:stretch>
                  </pic:blipFill>
                  <pic:spPr>
                    <a:xfrm>
                      <a:off x="0" y="0"/>
                      <a:ext cx="4574" cy="4573"/>
                    </a:xfrm>
                    <a:prstGeom prst="rect">
                      <a:avLst/>
                    </a:prstGeom>
                  </pic:spPr>
                </pic:pic>
              </a:graphicData>
            </a:graphic>
          </wp:inline>
        </w:drawing>
      </w:r>
    </w:p>
    <w:p w:rsidR="00512562" w:rsidRDefault="00EA4A30">
      <w:pPr>
        <w:ind w:left="442"/>
      </w:pPr>
      <w:r>
        <w:t>podmínek Banky (dále jen „Všeobecné podmínky"), PPPMER a Sazebníku (v rozsahu relevantním k této Smlouvě), jakož i dalších dokumentů, na které se ve Všeobecných podmínkách a PPPMER odkazuje, a výslovně s jejich zněním souhlasí.</w:t>
      </w:r>
    </w:p>
    <w:p w:rsidR="00EA4A30" w:rsidRDefault="00EA4A30">
      <w:pPr>
        <w:ind w:left="442"/>
      </w:pPr>
    </w:p>
    <w:p w:rsidR="00512562" w:rsidRDefault="00EA4A30">
      <w:pPr>
        <w:tabs>
          <w:tab w:val="right" w:pos="9795"/>
        </w:tabs>
        <w:spacing w:after="380"/>
        <w:ind w:left="0" w:firstLine="0"/>
        <w:jc w:val="left"/>
      </w:pPr>
      <w:r>
        <w:t>&gt;</w:t>
      </w:r>
      <w:r>
        <w:tab/>
        <w:t>Pojištěný a Majitel účtu tímto prohlašují, že je Banka upozornila na ustanoveni, která odkazují na shora uvedené dokumenty</w:t>
      </w:r>
    </w:p>
    <w:p w:rsidR="00512562" w:rsidRDefault="00EA4A30" w:rsidP="00D62C21">
      <w:pPr>
        <w:spacing w:after="430" w:line="259" w:lineRule="auto"/>
        <w:ind w:left="-37" w:right="-1" w:hanging="10"/>
        <w:jc w:val="right"/>
      </w:pPr>
      <w:r>
        <w:rPr>
          <w:noProof/>
        </w:rPr>
        <w:lastRenderedPageBreak/>
        <w:drawing>
          <wp:anchor distT="0" distB="0" distL="114300" distR="114300" simplePos="0" relativeHeight="251659264" behindDoc="0" locked="0" layoutInCell="1" allowOverlap="0">
            <wp:simplePos x="0" y="0"/>
            <wp:positionH relativeFrom="column">
              <wp:posOffset>-27440</wp:posOffset>
            </wp:positionH>
            <wp:positionV relativeFrom="paragraph">
              <wp:posOffset>-36803</wp:posOffset>
            </wp:positionV>
            <wp:extent cx="484795" cy="498538"/>
            <wp:effectExtent l="0" t="0" r="0" b="0"/>
            <wp:wrapSquare wrapText="bothSides"/>
            <wp:docPr id="8990" name="Picture 8990"/>
            <wp:cNvGraphicFramePr/>
            <a:graphic xmlns:a="http://schemas.openxmlformats.org/drawingml/2006/main">
              <a:graphicData uri="http://schemas.openxmlformats.org/drawingml/2006/picture">
                <pic:pic xmlns:pic="http://schemas.openxmlformats.org/drawingml/2006/picture">
                  <pic:nvPicPr>
                    <pic:cNvPr id="8990" name="Picture 8990"/>
                    <pic:cNvPicPr/>
                  </pic:nvPicPr>
                  <pic:blipFill>
                    <a:blip r:embed="rId9"/>
                    <a:stretch>
                      <a:fillRect/>
                    </a:stretch>
                  </pic:blipFill>
                  <pic:spPr>
                    <a:xfrm>
                      <a:off x="0" y="0"/>
                      <a:ext cx="484795" cy="498538"/>
                    </a:xfrm>
                    <a:prstGeom prst="rect">
                      <a:avLst/>
                    </a:prstGeom>
                  </pic:spPr>
                </pic:pic>
              </a:graphicData>
            </a:graphic>
          </wp:anchor>
        </w:drawing>
      </w:r>
      <w:r>
        <w:rPr>
          <w:sz w:val="34"/>
        </w:rPr>
        <w:t>Smlouva o poskytování fakultativní /</w:t>
      </w:r>
      <w:r w:rsidR="00D62C21">
        <w:rPr>
          <w:sz w:val="34"/>
        </w:rPr>
        <w:t>d</w:t>
      </w:r>
      <w:r>
        <w:rPr>
          <w:sz w:val="34"/>
        </w:rPr>
        <w:t>oplňkové služby</w:t>
      </w:r>
      <w:r>
        <w:rPr>
          <w:u w:color="000000"/>
        </w:rPr>
        <w:tab/>
      </w:r>
    </w:p>
    <w:p w:rsidR="00512562" w:rsidRDefault="00EA4A30">
      <w:pPr>
        <w:spacing w:after="289"/>
        <w:ind w:left="428"/>
      </w:pPr>
      <w:r>
        <w:t>stojící mimo vlastní text Smlouvy a jejich význam jim byl dostatečně vysvětlen. Majitel účtu bere na vědomí, že je vázán nejen Smlouvou, ale i těmito dokumenty a bere na vědomí, že nesplnění povinností či podmínek uvedených v těchto dokumentech může mít stejné právní následky jako nesplnění povinností a podmínek vyplývajících ze Smlouvy. Pojištěný prohlašuje, že je PPPMER a Všeobecnými podmínkami vázán.</w:t>
      </w:r>
    </w:p>
    <w:p w:rsidR="00512562" w:rsidRDefault="00EA4A30">
      <w:pPr>
        <w:ind w:left="17" w:right="4357"/>
        <w:jc w:val="left"/>
      </w:pPr>
      <w:r>
        <w:rPr>
          <w:sz w:val="22"/>
        </w:rPr>
        <w:t>ZÁVĚREČNÁ USTANOVENÍ</w:t>
      </w:r>
    </w:p>
    <w:tbl>
      <w:tblPr>
        <w:tblStyle w:val="TableGrid"/>
        <w:tblW w:w="9992" w:type="dxa"/>
        <w:tblInd w:w="-68" w:type="dxa"/>
        <w:tblCellMar>
          <w:top w:w="82" w:type="dxa"/>
          <w:right w:w="65" w:type="dxa"/>
        </w:tblCellMar>
        <w:tblLook w:val="04A0" w:firstRow="1" w:lastRow="0" w:firstColumn="1" w:lastColumn="0" w:noHBand="0" w:noVBand="1"/>
      </w:tblPr>
      <w:tblGrid>
        <w:gridCol w:w="11"/>
        <w:gridCol w:w="777"/>
        <w:gridCol w:w="4149"/>
        <w:gridCol w:w="1932"/>
        <w:gridCol w:w="3123"/>
      </w:tblGrid>
      <w:tr w:rsidR="00512562" w:rsidTr="00F368F9">
        <w:trPr>
          <w:trHeight w:val="6003"/>
        </w:trPr>
        <w:tc>
          <w:tcPr>
            <w:tcW w:w="788" w:type="dxa"/>
            <w:gridSpan w:val="2"/>
            <w:tcBorders>
              <w:top w:val="single" w:sz="2" w:space="0" w:color="000000"/>
              <w:left w:val="single" w:sz="2" w:space="0" w:color="000000"/>
              <w:bottom w:val="single" w:sz="2" w:space="0" w:color="000000"/>
              <w:right w:val="nil"/>
            </w:tcBorders>
          </w:tcPr>
          <w:p w:rsidR="00512562" w:rsidRDefault="00EA4A30">
            <w:pPr>
              <w:spacing w:after="612" w:line="248" w:lineRule="auto"/>
              <w:ind w:left="435" w:right="14" w:firstLine="14"/>
              <w:jc w:val="left"/>
            </w:pPr>
            <w:proofErr w:type="gramStart"/>
            <w:r>
              <w:rPr>
                <w:sz w:val="22"/>
              </w:rPr>
              <w:t>1 .</w:t>
            </w:r>
            <w:proofErr w:type="gramEnd"/>
            <w:r>
              <w:rPr>
                <w:sz w:val="22"/>
              </w:rPr>
              <w:t xml:space="preserve"> 2.</w:t>
            </w:r>
          </w:p>
          <w:p w:rsidR="00512562" w:rsidRDefault="00EA4A30">
            <w:pPr>
              <w:spacing w:after="190" w:line="259" w:lineRule="auto"/>
              <w:ind w:left="291" w:firstLine="0"/>
              <w:jc w:val="center"/>
            </w:pPr>
            <w:r>
              <w:rPr>
                <w:sz w:val="20"/>
              </w:rPr>
              <w:t>3.</w:t>
            </w:r>
          </w:p>
          <w:p w:rsidR="00512562" w:rsidRDefault="00EA4A30">
            <w:pPr>
              <w:spacing w:after="392" w:line="259" w:lineRule="auto"/>
              <w:ind w:left="284" w:firstLine="0"/>
              <w:jc w:val="center"/>
            </w:pPr>
            <w:r>
              <w:rPr>
                <w:sz w:val="20"/>
              </w:rPr>
              <w:t>4.</w:t>
            </w:r>
          </w:p>
          <w:p w:rsidR="00512562" w:rsidRDefault="00EA4A30">
            <w:pPr>
              <w:spacing w:after="1220" w:line="259" w:lineRule="auto"/>
              <w:ind w:left="291" w:firstLine="0"/>
              <w:jc w:val="center"/>
            </w:pPr>
            <w:r>
              <w:rPr>
                <w:sz w:val="20"/>
              </w:rPr>
              <w:t>5.</w:t>
            </w:r>
          </w:p>
          <w:p w:rsidR="00512562" w:rsidRDefault="00EA4A30">
            <w:pPr>
              <w:spacing w:line="259" w:lineRule="auto"/>
              <w:ind w:left="298" w:firstLine="0"/>
              <w:jc w:val="center"/>
            </w:pPr>
            <w:r>
              <w:rPr>
                <w:sz w:val="22"/>
              </w:rPr>
              <w:t>6.</w:t>
            </w:r>
          </w:p>
          <w:p w:rsidR="00512562" w:rsidRDefault="00EA4A30">
            <w:pPr>
              <w:spacing w:after="200" w:line="259" w:lineRule="auto"/>
              <w:ind w:left="298" w:firstLine="0"/>
              <w:jc w:val="center"/>
            </w:pPr>
            <w:r>
              <w:rPr>
                <w:sz w:val="22"/>
              </w:rPr>
              <w:t>7.</w:t>
            </w:r>
          </w:p>
          <w:p w:rsidR="00512562" w:rsidRDefault="00EA4A30">
            <w:pPr>
              <w:spacing w:line="259" w:lineRule="auto"/>
              <w:ind w:left="312" w:firstLine="0"/>
              <w:jc w:val="center"/>
            </w:pPr>
            <w:r>
              <w:rPr>
                <w:sz w:val="22"/>
              </w:rPr>
              <w:t>8.</w:t>
            </w:r>
          </w:p>
        </w:tc>
        <w:tc>
          <w:tcPr>
            <w:tcW w:w="9204" w:type="dxa"/>
            <w:gridSpan w:val="3"/>
            <w:tcBorders>
              <w:top w:val="single" w:sz="2" w:space="0" w:color="000000"/>
              <w:left w:val="nil"/>
              <w:bottom w:val="single" w:sz="2" w:space="0" w:color="000000"/>
              <w:right w:val="single" w:sz="2" w:space="0" w:color="000000"/>
            </w:tcBorders>
          </w:tcPr>
          <w:p w:rsidR="00512562" w:rsidRDefault="00EA4A30">
            <w:pPr>
              <w:spacing w:line="259" w:lineRule="auto"/>
              <w:ind w:left="7" w:firstLine="0"/>
              <w:jc w:val="left"/>
            </w:pPr>
            <w:r>
              <w:rPr>
                <w:sz w:val="20"/>
              </w:rPr>
              <w:t>Doplňková služba podle této Smlouvy bude poskytována výhradně Pojištěnému, a to na dobu neurčitou.</w:t>
            </w:r>
          </w:p>
          <w:p w:rsidR="00512562" w:rsidRDefault="00EA4A30">
            <w:pPr>
              <w:spacing w:after="29" w:line="216" w:lineRule="auto"/>
              <w:ind w:left="0" w:right="14" w:firstLine="0"/>
            </w:pPr>
            <w:r>
              <w:rPr>
                <w:sz w:val="20"/>
              </w:rPr>
              <w:t>V případě, kdy Majitel účtu v souladu s Všeobecnými podmínkami nevloží na Účet minimální vklad alespoň ve výši stanovené Bankou pro jednotlivé typy účtů do 30 dnů od uzavření této Smlouvy, Banka a Majitel účtu ujednávají, že po uplynutí této doby tato Smlouva zaniká. Doplňková služba je poskytována od okamžiku vložení minimálního vkladu na Účet ve výši stanovené Bankou pro jednotlivé typy účtů.</w:t>
            </w:r>
          </w:p>
          <w:p w:rsidR="00512562" w:rsidRDefault="00EA4A30">
            <w:pPr>
              <w:spacing w:line="216" w:lineRule="auto"/>
              <w:ind w:left="7" w:hanging="7"/>
            </w:pPr>
            <w:r>
              <w:rPr>
                <w:sz w:val="20"/>
              </w:rPr>
              <w:t xml:space="preserve">V souladu s </w:t>
            </w:r>
            <w:proofErr w:type="spellStart"/>
            <w:r>
              <w:rPr>
                <w:sz w:val="20"/>
              </w:rPr>
              <w:t>S</w:t>
            </w:r>
            <w:proofErr w:type="spellEnd"/>
            <w:r>
              <w:rPr>
                <w:sz w:val="20"/>
              </w:rPr>
              <w:t xml:space="preserve"> 1751 občanského zákoníku jsou nedílnou součástí této Smlouvy Všeobecné podmínky, PPMPP a Sazebník (v rozsahu relevantním k této Smlouvě).</w:t>
            </w:r>
          </w:p>
          <w:p w:rsidR="00512562" w:rsidRDefault="00EA4A30">
            <w:pPr>
              <w:spacing w:after="26" w:line="216" w:lineRule="auto"/>
              <w:ind w:left="0" w:right="14" w:firstLine="14"/>
            </w:pPr>
            <w:r>
              <w:rPr>
                <w:sz w:val="20"/>
              </w:rPr>
              <w:t>Doplňková služba je poskytována automaticky, dokud nedojde k výpovědi této Smlouvy nebo zániku Doplňkové služby dle PPPMER. Majitel účtu tímto zmocňuje Pojištěného k uzavírání dodatků k této Smlouvě, jež se budou týkat změn údajů o Pojištěném uvedených výše v této Smlouvě.</w:t>
            </w:r>
          </w:p>
          <w:p w:rsidR="00512562" w:rsidRDefault="00EA4A30">
            <w:pPr>
              <w:spacing w:after="28" w:line="216" w:lineRule="auto"/>
              <w:ind w:left="0" w:right="7" w:firstLine="0"/>
            </w:pPr>
            <w:r>
              <w:rPr>
                <w:sz w:val="20"/>
              </w:rPr>
              <w:t>Tuto Smlouvu jsou Banka a Majitel účtu oprávněni vypovědět i bez uvedení důvodu, Doplňková služba zaniká posledním dnem daného kalendářního roku, přičemž výpověď musí být doručena druhé straně aspoň jeden měsíc před koncem kalendářního roku. V případě výpovědi doručené Bance do 2 měsíců ode dne účinnosti této Smlouvy počíná běžet osmidenní výpovědní doba ode dne následujícího po doručení výpovědi (poplatek za Doplňkovou službu bude vrácen na výše uvedený účet). Výpověď musí být písemná a musí být doručena druhé smluvní straně. Je-li Majitel účtu odlišný od Pojištěného, informuje Majitel účtu Pojištěného o zániku/výpovědi Smlouvy.</w:t>
            </w:r>
          </w:p>
          <w:p w:rsidR="00512562" w:rsidRDefault="00EA4A30">
            <w:pPr>
              <w:spacing w:line="259" w:lineRule="auto"/>
              <w:ind w:left="14" w:firstLine="0"/>
              <w:jc w:val="left"/>
            </w:pPr>
            <w:r>
              <w:rPr>
                <w:sz w:val="20"/>
              </w:rPr>
              <w:t>Smlouva nabývá platnosti dnem uzavření a účinnosti dnem následujícím po uzavření této Smlouvy.</w:t>
            </w:r>
          </w:p>
          <w:p w:rsidR="00512562" w:rsidRDefault="00EA4A30">
            <w:pPr>
              <w:spacing w:line="216" w:lineRule="auto"/>
              <w:ind w:left="14" w:hanging="7"/>
            </w:pPr>
            <w:r>
              <w:rPr>
                <w:sz w:val="20"/>
              </w:rPr>
              <w:t>Tato Smlouva je vyhotovena ve 3 stejnopisech s platností originálu, přičemž po jednom stejnopisu obdrží Majitel účtu, Pojištěný a Banka.</w:t>
            </w:r>
          </w:p>
          <w:p w:rsidR="00512562" w:rsidRDefault="00EA4A30">
            <w:pPr>
              <w:spacing w:after="40" w:line="216" w:lineRule="auto"/>
              <w:ind w:left="22" w:firstLine="0"/>
            </w:pPr>
            <w:r>
              <w:rPr>
                <w:sz w:val="20"/>
              </w:rPr>
              <w:t>Banka a Majitel účtu se dohodli, že písemnosti týkající se této Smlouvy (dále jen „Zásilky”) budou doručovány na adresu uvedenou níže v této Smlouvě nebo na adresu, kterou si po uzavření této Smlouvy písemně sdělí.</w:t>
            </w:r>
          </w:p>
          <w:p w:rsidR="00512562" w:rsidRPr="00B16DD8" w:rsidRDefault="00EA4A30">
            <w:pPr>
              <w:spacing w:after="32" w:line="259" w:lineRule="auto"/>
              <w:ind w:left="7" w:firstLine="0"/>
              <w:jc w:val="left"/>
              <w:rPr>
                <w:sz w:val="20"/>
                <w:szCs w:val="20"/>
              </w:rPr>
            </w:pPr>
            <w:r w:rsidRPr="00B16DD8">
              <w:rPr>
                <w:sz w:val="20"/>
                <w:szCs w:val="20"/>
              </w:rPr>
              <w:t>Adresa pro zasílání Zásilek:</w:t>
            </w:r>
          </w:p>
          <w:p w:rsidR="00512562" w:rsidRDefault="00EA4A30">
            <w:pPr>
              <w:numPr>
                <w:ilvl w:val="0"/>
                <w:numId w:val="1"/>
              </w:numPr>
              <w:spacing w:after="69" w:line="259" w:lineRule="auto"/>
              <w:ind w:hanging="727"/>
              <w:jc w:val="left"/>
            </w:pPr>
            <w:r>
              <w:rPr>
                <w:sz w:val="20"/>
              </w:rPr>
              <w:t xml:space="preserve">Kontaktní adresa Majitele účtu: </w:t>
            </w:r>
            <w:r w:rsidRPr="00B16DD8">
              <w:rPr>
                <w:b/>
                <w:sz w:val="20"/>
              </w:rPr>
              <w:t>NA HRÁDKU 100, 763 16 FRYŠTÁK</w:t>
            </w:r>
          </w:p>
          <w:p w:rsidR="00512562" w:rsidRDefault="00EA4A30">
            <w:pPr>
              <w:numPr>
                <w:ilvl w:val="0"/>
                <w:numId w:val="1"/>
              </w:numPr>
              <w:spacing w:line="259" w:lineRule="auto"/>
              <w:ind w:hanging="727"/>
              <w:jc w:val="left"/>
            </w:pPr>
            <w:r w:rsidRPr="00B16DD8">
              <w:rPr>
                <w:sz w:val="20"/>
                <w:szCs w:val="20"/>
              </w:rPr>
              <w:t>Adresa Banky:</w:t>
            </w:r>
            <w:r>
              <w:rPr>
                <w:sz w:val="22"/>
              </w:rPr>
              <w:t xml:space="preserve"> </w:t>
            </w:r>
            <w:r w:rsidRPr="00B16DD8">
              <w:rPr>
                <w:b/>
                <w:sz w:val="22"/>
              </w:rPr>
              <w:t>Tř. T. Bati 152, 76120 Zlín</w:t>
            </w:r>
          </w:p>
        </w:tc>
      </w:tr>
      <w:tr w:rsidR="00512562" w:rsidTr="00F368F9">
        <w:tblPrEx>
          <w:tblCellMar>
            <w:top w:w="0" w:type="dxa"/>
            <w:right w:w="0" w:type="dxa"/>
          </w:tblCellMar>
        </w:tblPrEx>
        <w:trPr>
          <w:gridBefore w:val="1"/>
          <w:gridAfter w:val="1"/>
          <w:wBefore w:w="11" w:type="dxa"/>
          <w:wAfter w:w="3123" w:type="dxa"/>
          <w:trHeight w:val="290"/>
        </w:trPr>
        <w:tc>
          <w:tcPr>
            <w:tcW w:w="4926" w:type="dxa"/>
            <w:gridSpan w:val="2"/>
            <w:tcBorders>
              <w:top w:val="nil"/>
              <w:left w:val="nil"/>
              <w:bottom w:val="nil"/>
              <w:right w:val="nil"/>
            </w:tcBorders>
          </w:tcPr>
          <w:p w:rsidR="00EA4A30" w:rsidRDefault="00EA4A30">
            <w:pPr>
              <w:spacing w:line="259" w:lineRule="auto"/>
              <w:ind w:left="0" w:firstLine="0"/>
              <w:jc w:val="left"/>
              <w:rPr>
                <w:sz w:val="20"/>
              </w:rPr>
            </w:pPr>
          </w:p>
          <w:p w:rsidR="00EA4A30" w:rsidRDefault="00EA4A30">
            <w:pPr>
              <w:spacing w:line="259" w:lineRule="auto"/>
              <w:ind w:left="0" w:firstLine="0"/>
              <w:jc w:val="left"/>
              <w:rPr>
                <w:sz w:val="20"/>
              </w:rPr>
            </w:pPr>
          </w:p>
          <w:p w:rsidR="00EA4A30" w:rsidRDefault="00EA4A30">
            <w:pPr>
              <w:spacing w:line="259" w:lineRule="auto"/>
              <w:ind w:left="0" w:firstLine="0"/>
              <w:jc w:val="left"/>
              <w:rPr>
                <w:sz w:val="20"/>
              </w:rPr>
            </w:pPr>
          </w:p>
          <w:p w:rsidR="00EA4A30" w:rsidRDefault="00EA4A30">
            <w:pPr>
              <w:spacing w:line="259" w:lineRule="auto"/>
              <w:ind w:left="0" w:firstLine="0"/>
              <w:jc w:val="left"/>
              <w:rPr>
                <w:sz w:val="20"/>
              </w:rPr>
            </w:pPr>
          </w:p>
          <w:p w:rsidR="00512562" w:rsidRDefault="00EA4A30">
            <w:pPr>
              <w:spacing w:line="259" w:lineRule="auto"/>
              <w:ind w:left="0" w:firstLine="0"/>
              <w:jc w:val="left"/>
              <w:rPr>
                <w:sz w:val="20"/>
              </w:rPr>
            </w:pPr>
            <w:r>
              <w:rPr>
                <w:sz w:val="20"/>
              </w:rPr>
              <w:t>Zlín, dne 30.04.2014</w:t>
            </w:r>
          </w:p>
          <w:p w:rsidR="00EA4A30" w:rsidRPr="00F368F9" w:rsidRDefault="00EA4A30">
            <w:pPr>
              <w:spacing w:line="259" w:lineRule="auto"/>
              <w:ind w:left="0" w:firstLine="0"/>
              <w:jc w:val="left"/>
              <w:rPr>
                <w:b/>
                <w:sz w:val="22"/>
              </w:rPr>
            </w:pPr>
            <w:r w:rsidRPr="00F368F9">
              <w:rPr>
                <w:b/>
                <w:sz w:val="22"/>
              </w:rPr>
              <w:t>Pojištěný</w:t>
            </w:r>
          </w:p>
        </w:tc>
        <w:tc>
          <w:tcPr>
            <w:tcW w:w="1932" w:type="dxa"/>
            <w:tcBorders>
              <w:top w:val="nil"/>
              <w:left w:val="nil"/>
              <w:bottom w:val="nil"/>
              <w:right w:val="nil"/>
            </w:tcBorders>
          </w:tcPr>
          <w:p w:rsidR="00EA4A30" w:rsidRDefault="00EA4A30">
            <w:pPr>
              <w:spacing w:line="259" w:lineRule="auto"/>
              <w:ind w:left="0" w:firstLine="0"/>
              <w:jc w:val="left"/>
              <w:rPr>
                <w:sz w:val="20"/>
              </w:rPr>
            </w:pPr>
          </w:p>
          <w:p w:rsidR="00EA4A30" w:rsidRDefault="00EA4A30">
            <w:pPr>
              <w:spacing w:line="259" w:lineRule="auto"/>
              <w:ind w:left="0" w:firstLine="0"/>
              <w:jc w:val="left"/>
              <w:rPr>
                <w:sz w:val="20"/>
              </w:rPr>
            </w:pPr>
          </w:p>
          <w:p w:rsidR="00EA4A30" w:rsidRDefault="00EA4A30">
            <w:pPr>
              <w:spacing w:line="259" w:lineRule="auto"/>
              <w:ind w:left="0" w:firstLine="0"/>
              <w:jc w:val="left"/>
              <w:rPr>
                <w:sz w:val="20"/>
              </w:rPr>
            </w:pPr>
          </w:p>
          <w:p w:rsidR="00EA4A30" w:rsidRDefault="00EA4A30">
            <w:pPr>
              <w:spacing w:line="259" w:lineRule="auto"/>
              <w:ind w:left="0" w:firstLine="0"/>
              <w:jc w:val="left"/>
              <w:rPr>
                <w:sz w:val="20"/>
              </w:rPr>
            </w:pPr>
          </w:p>
          <w:p w:rsidR="00512562" w:rsidRDefault="00EA4A30">
            <w:pPr>
              <w:spacing w:line="259" w:lineRule="auto"/>
              <w:ind w:left="0" w:firstLine="0"/>
              <w:jc w:val="left"/>
              <w:rPr>
                <w:sz w:val="20"/>
              </w:rPr>
            </w:pPr>
            <w:r>
              <w:rPr>
                <w:sz w:val="20"/>
              </w:rPr>
              <w:t>Zlín, dne 30.04.2014</w:t>
            </w:r>
          </w:p>
          <w:p w:rsidR="00EA4A30" w:rsidRPr="00F368F9" w:rsidRDefault="00EA4A30" w:rsidP="00F368F9">
            <w:pPr>
              <w:spacing w:line="259" w:lineRule="auto"/>
              <w:ind w:left="0" w:right="-555" w:firstLine="0"/>
              <w:jc w:val="left"/>
              <w:rPr>
                <w:b/>
                <w:sz w:val="22"/>
              </w:rPr>
            </w:pPr>
            <w:r w:rsidRPr="00F368F9">
              <w:rPr>
                <w:b/>
                <w:sz w:val="22"/>
              </w:rPr>
              <w:t>Komerční banka, a.s.</w:t>
            </w:r>
          </w:p>
          <w:p w:rsidR="00EA4A30" w:rsidRDefault="00EA4A30">
            <w:pPr>
              <w:spacing w:line="259" w:lineRule="auto"/>
              <w:ind w:left="0" w:firstLine="0"/>
              <w:jc w:val="left"/>
            </w:pPr>
          </w:p>
          <w:p w:rsidR="00EA4A30" w:rsidRDefault="00EA4A30">
            <w:pPr>
              <w:spacing w:line="259" w:lineRule="auto"/>
              <w:ind w:left="0" w:firstLine="0"/>
              <w:jc w:val="left"/>
            </w:pPr>
          </w:p>
          <w:p w:rsidR="00EA4A30" w:rsidRDefault="00EA4A30">
            <w:pPr>
              <w:spacing w:line="259" w:lineRule="auto"/>
              <w:ind w:left="0" w:firstLine="0"/>
              <w:jc w:val="left"/>
            </w:pPr>
          </w:p>
          <w:p w:rsidR="00EA4A30" w:rsidRDefault="00EA4A30">
            <w:pPr>
              <w:spacing w:line="259" w:lineRule="auto"/>
              <w:ind w:left="0" w:firstLine="0"/>
              <w:jc w:val="left"/>
            </w:pPr>
          </w:p>
          <w:p w:rsidR="00EA4A30" w:rsidRDefault="00EA4A30">
            <w:pPr>
              <w:spacing w:line="259" w:lineRule="auto"/>
              <w:ind w:left="0" w:firstLine="0"/>
              <w:jc w:val="left"/>
            </w:pPr>
          </w:p>
          <w:p w:rsidR="00EA4A30" w:rsidRDefault="00EA4A30">
            <w:pPr>
              <w:spacing w:line="259" w:lineRule="auto"/>
              <w:ind w:left="0" w:firstLine="0"/>
              <w:jc w:val="left"/>
            </w:pPr>
          </w:p>
          <w:p w:rsidR="00EA4A30" w:rsidRDefault="00EA4A30">
            <w:pPr>
              <w:spacing w:line="259" w:lineRule="auto"/>
              <w:ind w:left="0" w:firstLine="0"/>
              <w:jc w:val="left"/>
            </w:pPr>
          </w:p>
        </w:tc>
      </w:tr>
    </w:tbl>
    <w:p w:rsidR="00512562" w:rsidRDefault="00EA4A30" w:rsidP="00EA4A30">
      <w:pPr>
        <w:ind w:left="17" w:right="15"/>
        <w:jc w:val="left"/>
      </w:pPr>
      <w:r>
        <w:rPr>
          <w:sz w:val="22"/>
        </w:rPr>
        <w:t xml:space="preserve">Jméno: ADÉLA MACHALOVÁ </w:t>
      </w:r>
      <w:r>
        <w:rPr>
          <w:sz w:val="22"/>
        </w:rPr>
        <w:tab/>
      </w:r>
      <w:r>
        <w:rPr>
          <w:sz w:val="22"/>
        </w:rPr>
        <w:tab/>
      </w:r>
      <w:r>
        <w:rPr>
          <w:sz w:val="22"/>
        </w:rPr>
        <w:tab/>
      </w:r>
      <w:r>
        <w:rPr>
          <w:sz w:val="22"/>
        </w:rPr>
        <w:tab/>
        <w:t>Jméno: Renata Hrabalová</w:t>
      </w:r>
    </w:p>
    <w:p w:rsidR="00512562" w:rsidRDefault="00EA4A30" w:rsidP="00EA4A30">
      <w:pPr>
        <w:spacing w:after="359"/>
        <w:ind w:left="17" w:right="724" w:firstLine="0"/>
        <w:jc w:val="left"/>
      </w:pPr>
      <w:r>
        <w:rPr>
          <w:sz w:val="22"/>
        </w:rPr>
        <w:t xml:space="preserve">Funkce: ředitel </w:t>
      </w:r>
      <w:r>
        <w:rPr>
          <w:sz w:val="22"/>
        </w:rPr>
        <w:tab/>
      </w:r>
      <w:r>
        <w:rPr>
          <w:sz w:val="22"/>
        </w:rPr>
        <w:tab/>
      </w:r>
      <w:r>
        <w:rPr>
          <w:sz w:val="22"/>
        </w:rPr>
        <w:tab/>
      </w:r>
      <w:r>
        <w:rPr>
          <w:sz w:val="22"/>
        </w:rPr>
        <w:tab/>
      </w:r>
      <w:r>
        <w:rPr>
          <w:sz w:val="22"/>
        </w:rPr>
        <w:tab/>
      </w:r>
      <w:r>
        <w:rPr>
          <w:sz w:val="22"/>
        </w:rPr>
        <w:tab/>
        <w:t>Funkce: bankovní poradce</w:t>
      </w:r>
    </w:p>
    <w:p w:rsidR="00512562" w:rsidRDefault="00512562">
      <w:pPr>
        <w:spacing w:after="177" w:line="259" w:lineRule="auto"/>
        <w:ind w:left="10" w:right="14" w:hanging="10"/>
        <w:jc w:val="right"/>
      </w:pPr>
    </w:p>
    <w:sectPr w:rsidR="00512562">
      <w:pgSz w:w="11920" w:h="16840"/>
      <w:pgMar w:top="670" w:right="1080" w:bottom="354" w:left="104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72960"/>
    <w:multiLevelType w:val="hybridMultilevel"/>
    <w:tmpl w:val="FD8EC16E"/>
    <w:lvl w:ilvl="0" w:tplc="369ED5BA">
      <w:start w:val="1"/>
      <w:numFmt w:val="lowerLetter"/>
      <w:lvlText w:val="%1)"/>
      <w:lvlJc w:val="left"/>
      <w:pPr>
        <w:ind w:left="7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214CB58">
      <w:start w:val="1"/>
      <w:numFmt w:val="lowerLetter"/>
      <w:lvlText w:val="%2"/>
      <w:lvlJc w:val="left"/>
      <w:pPr>
        <w:ind w:left="1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BE8EAEC">
      <w:start w:val="1"/>
      <w:numFmt w:val="lowerRoman"/>
      <w:lvlText w:val="%3"/>
      <w:lvlJc w:val="left"/>
      <w:pPr>
        <w:ind w:left="1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834966C">
      <w:start w:val="1"/>
      <w:numFmt w:val="decimal"/>
      <w:lvlText w:val="%4"/>
      <w:lvlJc w:val="left"/>
      <w:pPr>
        <w:ind w:left="2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2B2443C">
      <w:start w:val="1"/>
      <w:numFmt w:val="lowerLetter"/>
      <w:lvlText w:val="%5"/>
      <w:lvlJc w:val="left"/>
      <w:pPr>
        <w:ind w:left="3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223072">
      <w:start w:val="1"/>
      <w:numFmt w:val="lowerRoman"/>
      <w:lvlText w:val="%6"/>
      <w:lvlJc w:val="left"/>
      <w:pPr>
        <w:ind w:left="3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E2EF844">
      <w:start w:val="1"/>
      <w:numFmt w:val="decimal"/>
      <w:lvlText w:val="%7"/>
      <w:lvlJc w:val="left"/>
      <w:pPr>
        <w:ind w:left="4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4DA70AA">
      <w:start w:val="1"/>
      <w:numFmt w:val="lowerLetter"/>
      <w:lvlText w:val="%8"/>
      <w:lvlJc w:val="left"/>
      <w:pPr>
        <w:ind w:left="5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8DC9946">
      <w:start w:val="1"/>
      <w:numFmt w:val="lowerRoman"/>
      <w:lvlText w:val="%9"/>
      <w:lvlJc w:val="left"/>
      <w:pPr>
        <w:ind w:left="6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562"/>
    <w:rsid w:val="001275F7"/>
    <w:rsid w:val="00512562"/>
    <w:rsid w:val="009E09F5"/>
    <w:rsid w:val="00B16DD8"/>
    <w:rsid w:val="00D62C21"/>
    <w:rsid w:val="00EA4A30"/>
    <w:rsid w:val="00F368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1889E"/>
  <w15:docId w15:val="{3641E159-7B7D-4389-939F-D91435B9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0" w:line="265" w:lineRule="auto"/>
      <w:ind w:left="25" w:hanging="3"/>
      <w:jc w:val="both"/>
    </w:pPr>
    <w:rPr>
      <w:rFonts w:ascii="Calibri" w:eastAsia="Calibri" w:hAnsi="Calibri" w:cs="Calibri"/>
      <w:color w:val="000000"/>
      <w:sz w:val="18"/>
    </w:rPr>
  </w:style>
  <w:style w:type="paragraph" w:styleId="Nadpis1">
    <w:name w:val="heading 1"/>
    <w:next w:val="Normln"/>
    <w:link w:val="Nadpis1Char"/>
    <w:uiPriority w:val="9"/>
    <w:unhideWhenUsed/>
    <w:qFormat/>
    <w:pPr>
      <w:keepNext/>
      <w:keepLines/>
      <w:spacing w:after="0"/>
      <w:ind w:right="65"/>
      <w:jc w:val="right"/>
      <w:outlineLvl w:val="0"/>
    </w:pPr>
    <w:rPr>
      <w:rFonts w:ascii="Calibri" w:eastAsia="Calibri" w:hAnsi="Calibri" w:cs="Calibri"/>
      <w:color w:val="000000"/>
      <w:sz w:val="3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3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877</Words>
  <Characters>5177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Reimerová</dc:creator>
  <cp:keywords/>
  <cp:lastModifiedBy>Iveta Reimerová</cp:lastModifiedBy>
  <cp:revision>6</cp:revision>
  <dcterms:created xsi:type="dcterms:W3CDTF">2018-04-05T11:13:00Z</dcterms:created>
  <dcterms:modified xsi:type="dcterms:W3CDTF">2018-04-09T06:52:00Z</dcterms:modified>
</cp:coreProperties>
</file>