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47" w:rsidRDefault="002B07D6" w:rsidP="00756547">
      <w:pPr>
        <w:tabs>
          <w:tab w:val="right" w:pos="8837"/>
        </w:tabs>
        <w:spacing w:after="138" w:line="216" w:lineRule="auto"/>
        <w:ind w:left="-1045" w:right="-15" w:firstLine="0"/>
        <w:jc w:val="left"/>
        <w:sectPr w:rsidR="00360A47">
          <w:pgSz w:w="11920" w:h="16840"/>
          <w:pgMar w:top="735" w:right="1030" w:bottom="326" w:left="2053" w:header="708" w:footer="708" w:gutter="0"/>
          <w:cols w:space="708"/>
        </w:sectPr>
      </w:pPr>
      <w:r>
        <w:rPr>
          <w:noProof/>
        </w:rPr>
        <w:drawing>
          <wp:inline distT="0" distB="0" distL="0" distR="0">
            <wp:extent cx="489368" cy="484816"/>
            <wp:effectExtent l="0" t="0" r="0" b="0"/>
            <wp:docPr id="3757" name="Picture 3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" name="Picture 37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368" cy="48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KB</w:t>
      </w:r>
      <w:r w:rsidR="00756547">
        <w:rPr>
          <w:sz w:val="32"/>
        </w:rPr>
        <w:t xml:space="preserve">     </w:t>
      </w:r>
      <w:r>
        <w:rPr>
          <w:sz w:val="32"/>
        </w:rPr>
        <w:t xml:space="preserve">Dodatek ke smlouvě </w:t>
      </w:r>
      <w:r w:rsidR="00756547" w:rsidRPr="00756547">
        <w:rPr>
          <w:sz w:val="32"/>
        </w:rPr>
        <w:t>o poskytování přímého bankovnictví</w:t>
      </w:r>
    </w:p>
    <w:p w:rsidR="00360A47" w:rsidRDefault="002B07D6">
      <w:pPr>
        <w:spacing w:after="129"/>
        <w:ind w:left="17" w:right="14"/>
      </w:pPr>
      <w:r w:rsidRPr="008F3B5F">
        <w:rPr>
          <w:b/>
        </w:rPr>
        <w:t>Komerční banka, a.s</w:t>
      </w:r>
      <w:r>
        <w:t>., se sídlem Praha 1, Na Příkopě 33 čp. 969, PSČ 114 07, IČO: 45317054, zapsaná v obchodním rejstříku vedeném Městským soudem v Praze, oddíl B, vložka 1360 (dále jen „Banka”)</w:t>
      </w:r>
    </w:p>
    <w:p w:rsidR="008F3B5F" w:rsidRPr="008F3B5F" w:rsidRDefault="002B07D6">
      <w:pPr>
        <w:spacing w:after="0" w:line="259" w:lineRule="auto"/>
        <w:ind w:left="17" w:right="6864" w:hanging="10"/>
        <w:jc w:val="left"/>
        <w:rPr>
          <w:szCs w:val="20"/>
        </w:rPr>
      </w:pPr>
      <w:r w:rsidRPr="008F3B5F">
        <w:rPr>
          <w:szCs w:val="20"/>
        </w:rPr>
        <w:t xml:space="preserve">a </w:t>
      </w:r>
    </w:p>
    <w:p w:rsidR="00360A47" w:rsidRPr="008F3B5F" w:rsidRDefault="002B07D6" w:rsidP="008F3B5F">
      <w:pPr>
        <w:spacing w:after="0" w:line="259" w:lineRule="auto"/>
        <w:ind w:left="17" w:right="6556" w:hanging="10"/>
        <w:jc w:val="left"/>
        <w:rPr>
          <w:szCs w:val="20"/>
        </w:rPr>
      </w:pPr>
      <w:r w:rsidRPr="008F3B5F">
        <w:rPr>
          <w:b/>
          <w:szCs w:val="20"/>
        </w:rPr>
        <w:t>právnická osoba</w:t>
      </w:r>
      <w:r w:rsidRPr="008F3B5F">
        <w:rPr>
          <w:szCs w:val="20"/>
        </w:rPr>
        <w:t xml:space="preserve"> (dále </w:t>
      </w:r>
      <w:r w:rsidR="008F3B5F" w:rsidRPr="008F3B5F">
        <w:rPr>
          <w:szCs w:val="20"/>
        </w:rPr>
        <w:t>j</w:t>
      </w:r>
      <w:r w:rsidRPr="008F3B5F">
        <w:rPr>
          <w:szCs w:val="20"/>
        </w:rPr>
        <w:t>en</w:t>
      </w:r>
      <w:r w:rsidR="008F3B5F" w:rsidRPr="008F3B5F">
        <w:rPr>
          <w:szCs w:val="20"/>
        </w:rPr>
        <w:t xml:space="preserve"> </w:t>
      </w:r>
      <w:r w:rsidRPr="008F3B5F">
        <w:rPr>
          <w:szCs w:val="20"/>
        </w:rPr>
        <w:t>„Klient")</w:t>
      </w:r>
      <w:bookmarkStart w:id="0" w:name="_GoBack"/>
      <w:bookmarkEnd w:id="0"/>
    </w:p>
    <w:tbl>
      <w:tblPr>
        <w:tblStyle w:val="TableGrid"/>
        <w:tblW w:w="9899" w:type="dxa"/>
        <w:tblInd w:w="-68" w:type="dxa"/>
        <w:tblCellMar>
          <w:top w:w="62" w:type="dxa"/>
          <w:left w:w="68" w:type="dxa"/>
          <w:right w:w="346" w:type="dxa"/>
        </w:tblCellMar>
        <w:tblLook w:val="04A0" w:firstRow="1" w:lastRow="0" w:firstColumn="1" w:lastColumn="0" w:noHBand="0" w:noVBand="1"/>
      </w:tblPr>
      <w:tblGrid>
        <w:gridCol w:w="3817"/>
        <w:gridCol w:w="6082"/>
      </w:tblGrid>
      <w:tr w:rsidR="00360A47">
        <w:trPr>
          <w:trHeight w:val="532"/>
        </w:trPr>
        <w:tc>
          <w:tcPr>
            <w:tcW w:w="3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A47" w:rsidRDefault="002B07D6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Obchodní firma* / </w:t>
            </w:r>
            <w:proofErr w:type="gramStart"/>
            <w:r>
              <w:rPr>
                <w:sz w:val="18"/>
              </w:rPr>
              <w:t>název:*</w:t>
            </w:r>
            <w:proofErr w:type="gramEnd"/>
            <w:r>
              <w:rPr>
                <w:sz w:val="18"/>
              </w:rPr>
              <w:t>*</w:t>
            </w:r>
          </w:p>
        </w:tc>
        <w:tc>
          <w:tcPr>
            <w:tcW w:w="6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A47" w:rsidRDefault="002B07D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Sociální služby pro osoby se zdravotním postižením, příspěvková organizace</w:t>
            </w:r>
          </w:p>
        </w:tc>
      </w:tr>
      <w:tr w:rsidR="00360A47">
        <w:trPr>
          <w:trHeight w:val="616"/>
        </w:trPr>
        <w:tc>
          <w:tcPr>
            <w:tcW w:w="3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0A47" w:rsidRDefault="002B07D6">
            <w:pPr>
              <w:spacing w:after="0" w:line="259" w:lineRule="auto"/>
              <w:ind w:left="7" w:firstLine="0"/>
              <w:jc w:val="left"/>
            </w:pPr>
            <w:r>
              <w:t>Sídlo:</w:t>
            </w:r>
          </w:p>
        </w:tc>
        <w:tc>
          <w:tcPr>
            <w:tcW w:w="60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0A47" w:rsidRDefault="002B07D6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NA HRÁDKU 100,</w:t>
            </w:r>
          </w:p>
          <w:p w:rsidR="00360A47" w:rsidRDefault="002B07D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763 16 FRYŠTÁK, CZ</w:t>
            </w:r>
          </w:p>
        </w:tc>
      </w:tr>
      <w:tr w:rsidR="00360A47">
        <w:trPr>
          <w:trHeight w:val="317"/>
        </w:trPr>
        <w:tc>
          <w:tcPr>
            <w:tcW w:w="3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A47" w:rsidRDefault="002B07D6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24"/>
              </w:rPr>
              <w:t>l</w:t>
            </w:r>
            <w:r w:rsidR="00756547">
              <w:rPr>
                <w:sz w:val="24"/>
              </w:rPr>
              <w:t>ČO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A47" w:rsidRDefault="002B07D6">
            <w:pPr>
              <w:spacing w:after="0" w:line="259" w:lineRule="auto"/>
              <w:ind w:left="7" w:firstLine="0"/>
              <w:jc w:val="left"/>
            </w:pPr>
            <w:r>
              <w:t>70850917</w:t>
            </w:r>
          </w:p>
        </w:tc>
      </w:tr>
      <w:tr w:rsidR="00360A47">
        <w:trPr>
          <w:trHeight w:val="475"/>
        </w:trPr>
        <w:tc>
          <w:tcPr>
            <w:tcW w:w="3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A47" w:rsidRDefault="002B07D6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Zápis v obchodním rejstříku či jiné evidenci, včetně spisové značky:</w:t>
            </w:r>
          </w:p>
        </w:tc>
        <w:tc>
          <w:tcPr>
            <w:tcW w:w="6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A47" w:rsidRDefault="002B07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ZLÍNSKÝ KRAJ</w:t>
            </w:r>
          </w:p>
        </w:tc>
      </w:tr>
    </w:tbl>
    <w:p w:rsidR="00360A47" w:rsidRDefault="002B07D6">
      <w:pPr>
        <w:spacing w:after="169" w:line="259" w:lineRule="auto"/>
        <w:ind w:left="9" w:hanging="10"/>
        <w:jc w:val="left"/>
      </w:pPr>
      <w:r>
        <w:rPr>
          <w:sz w:val="18"/>
        </w:rPr>
        <w:t>*je-li Klient zapsán v obchodním rejstříku; **není-li Klient zapsán v obchodním rejstříku</w:t>
      </w:r>
    </w:p>
    <w:p w:rsidR="00360A47" w:rsidRDefault="002B07D6">
      <w:pPr>
        <w:ind w:left="17" w:right="14"/>
      </w:pPr>
      <w:r>
        <w:t>se dohodli na tomto dodatku ke smlouvě o poskytování přímého bankovnictví, ve které Banka Klientovi přidělila identifikační číslo:</w:t>
      </w:r>
    </w:p>
    <w:tbl>
      <w:tblPr>
        <w:tblStyle w:val="TableGrid"/>
        <w:tblW w:w="5167" w:type="dxa"/>
        <w:tblInd w:w="12" w:type="dxa"/>
        <w:tblCellMar>
          <w:top w:w="79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939"/>
      </w:tblGrid>
      <w:tr w:rsidR="00360A47">
        <w:trPr>
          <w:trHeight w:val="310"/>
        </w:trPr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0A47" w:rsidRDefault="002B07D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Identifikační číslo klienta</w:t>
            </w:r>
          </w:p>
        </w:tc>
        <w:tc>
          <w:tcPr>
            <w:tcW w:w="29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0A47" w:rsidRPr="008F3B5F" w:rsidRDefault="002B07D6">
            <w:pPr>
              <w:spacing w:after="0" w:line="259" w:lineRule="auto"/>
              <w:ind w:left="372" w:firstLine="0"/>
              <w:jc w:val="left"/>
              <w:rPr>
                <w:b/>
              </w:rPr>
            </w:pPr>
            <w:r w:rsidRPr="008F3B5F">
              <w:rPr>
                <w:b/>
              </w:rPr>
              <w:t>135388962</w:t>
            </w:r>
          </w:p>
        </w:tc>
      </w:tr>
    </w:tbl>
    <w:p w:rsidR="00360A47" w:rsidRPr="008F3B5F" w:rsidRDefault="002B07D6">
      <w:pPr>
        <w:spacing w:after="168" w:line="259" w:lineRule="auto"/>
        <w:ind w:left="17" w:hanging="10"/>
        <w:jc w:val="left"/>
        <w:rPr>
          <w:szCs w:val="20"/>
        </w:rPr>
      </w:pPr>
      <w:r w:rsidRPr="008F3B5F">
        <w:rPr>
          <w:szCs w:val="20"/>
        </w:rPr>
        <w:t>(dále jen „</w:t>
      </w:r>
      <w:r w:rsidRPr="008F3B5F">
        <w:rPr>
          <w:b/>
          <w:szCs w:val="20"/>
        </w:rPr>
        <w:t>Smlouva</w:t>
      </w:r>
      <w:r w:rsidRPr="008F3B5F">
        <w:rPr>
          <w:szCs w:val="20"/>
        </w:rPr>
        <w:t>”).</w:t>
      </w:r>
    </w:p>
    <w:p w:rsidR="00360A47" w:rsidRDefault="002B07D6">
      <w:pPr>
        <w:tabs>
          <w:tab w:val="center" w:pos="2712"/>
        </w:tabs>
        <w:ind w:left="0" w:firstLine="0"/>
        <w:jc w:val="left"/>
      </w:pPr>
      <w:r>
        <w:t>1</w:t>
      </w:r>
      <w:r>
        <w:tab/>
        <w:t>Banka bude Klientovi poskytovat následující Služby PB:</w:t>
      </w:r>
    </w:p>
    <w:p w:rsidR="00360A47" w:rsidRDefault="002B07D6">
      <w:pPr>
        <w:tabs>
          <w:tab w:val="center" w:pos="1124"/>
          <w:tab w:val="center" w:pos="4163"/>
          <w:tab w:val="center" w:pos="6522"/>
          <w:tab w:val="center" w:pos="9046"/>
        </w:tabs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141780" cy="109770"/>
            <wp:effectExtent l="0" t="0" r="0" b="0"/>
            <wp:docPr id="3670" name="Picture 3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0" name="Picture 36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780" cy="1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MojeBanka</w:t>
      </w:r>
      <w:proofErr w:type="spellEnd"/>
      <w:r>
        <w:tab/>
      </w:r>
      <w:r w:rsidR="00756547">
        <w:rPr>
          <w:noProof/>
        </w:rPr>
        <w:drawing>
          <wp:inline distT="0" distB="0" distL="0" distR="0" wp14:anchorId="0C6E4F39" wp14:editId="7EE20675">
            <wp:extent cx="141780" cy="109770"/>
            <wp:effectExtent l="0" t="0" r="0" b="0"/>
            <wp:docPr id="1" name="Picture 3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0" name="Picture 36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780" cy="1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MojeBanka</w:t>
      </w:r>
      <w:proofErr w:type="spellEnd"/>
      <w:r>
        <w:t xml:space="preserve"> Business</w:t>
      </w:r>
      <w:r>
        <w:tab/>
        <w:t xml:space="preserve">a </w:t>
      </w:r>
      <w:proofErr w:type="spellStart"/>
      <w:r>
        <w:t>Profibanka</w:t>
      </w:r>
      <w:proofErr w:type="spellEnd"/>
      <w:r>
        <w:tab/>
        <w:t>Přímý kanál</w:t>
      </w:r>
    </w:p>
    <w:p w:rsidR="00360A47" w:rsidRDefault="002B07D6">
      <w:pPr>
        <w:numPr>
          <w:ilvl w:val="0"/>
          <w:numId w:val="1"/>
        </w:numPr>
        <w:ind w:left="461" w:right="14" w:hanging="447"/>
      </w:pPr>
      <w:r>
        <w:t>Banka je oprávněna provádět úhrady cen za poskytování Služeb PB a dalších cen podle Smlouvy, včetně cen za v užívání Služeb PB Uživateli, z tohoto běžného účtu Klienta:</w:t>
      </w:r>
    </w:p>
    <w:tbl>
      <w:tblPr>
        <w:tblStyle w:val="TableGrid"/>
        <w:tblW w:w="5016" w:type="dxa"/>
        <w:tblInd w:w="458" w:type="dxa"/>
        <w:tblCellMar>
          <w:top w:w="77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411"/>
        <w:gridCol w:w="2780"/>
      </w:tblGrid>
      <w:tr w:rsidR="00360A47">
        <w:trPr>
          <w:trHeight w:val="314"/>
        </w:trPr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0A47" w:rsidRDefault="002B07D6">
            <w:pPr>
              <w:spacing w:after="0" w:line="259" w:lineRule="auto"/>
              <w:ind w:left="75" w:firstLine="0"/>
              <w:jc w:val="left"/>
            </w:pPr>
            <w:r>
              <w:rPr>
                <w:sz w:val="18"/>
              </w:rPr>
              <w:t>Číslo účtu Klienta</w:t>
            </w:r>
          </w:p>
        </w:tc>
        <w:tc>
          <w:tcPr>
            <w:tcW w:w="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0A47" w:rsidRPr="008F3B5F" w:rsidRDefault="00360A47">
            <w:pPr>
              <w:spacing w:after="16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7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0A47" w:rsidRPr="008F3B5F" w:rsidRDefault="002B07D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8F3B5F">
              <w:rPr>
                <w:b/>
              </w:rPr>
              <w:t>27-1924690237</w:t>
            </w:r>
          </w:p>
        </w:tc>
      </w:tr>
    </w:tbl>
    <w:p w:rsidR="00360A47" w:rsidRDefault="002B07D6">
      <w:pPr>
        <w:numPr>
          <w:ilvl w:val="0"/>
          <w:numId w:val="1"/>
        </w:numPr>
        <w:ind w:left="461" w:right="14" w:hanging="447"/>
      </w:pPr>
      <w:r>
        <w:t>Limit Sub</w:t>
      </w:r>
      <w:r w:rsidR="00756547">
        <w:t>j</w:t>
      </w:r>
      <w:r>
        <w:t xml:space="preserve">ektu Klienta v Kč </w:t>
      </w:r>
      <w:r w:rsidR="00756547">
        <w:t>j</w:t>
      </w:r>
      <w:r>
        <w:t>e:</w:t>
      </w:r>
    </w:p>
    <w:tbl>
      <w:tblPr>
        <w:tblStyle w:val="TableGrid"/>
        <w:tblW w:w="5016" w:type="dxa"/>
        <w:tblInd w:w="461" w:type="dxa"/>
        <w:tblCellMar>
          <w:top w:w="82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1981"/>
        <w:gridCol w:w="3035"/>
      </w:tblGrid>
      <w:tr w:rsidR="00360A47">
        <w:trPr>
          <w:trHeight w:val="310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0A47" w:rsidRDefault="002B07D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Limit Subjektu</w:t>
            </w:r>
          </w:p>
        </w:tc>
        <w:tc>
          <w:tcPr>
            <w:tcW w:w="30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0A47" w:rsidRPr="008F3B5F" w:rsidRDefault="002B07D6">
            <w:pPr>
              <w:spacing w:after="0" w:line="259" w:lineRule="auto"/>
              <w:ind w:left="36" w:firstLine="0"/>
              <w:jc w:val="left"/>
              <w:rPr>
                <w:b/>
              </w:rPr>
            </w:pPr>
            <w:r w:rsidRPr="008F3B5F">
              <w:rPr>
                <w:b/>
              </w:rPr>
              <w:t>2000000</w:t>
            </w:r>
          </w:p>
        </w:tc>
      </w:tr>
    </w:tbl>
    <w:p w:rsidR="00360A47" w:rsidRDefault="002B07D6">
      <w:pPr>
        <w:numPr>
          <w:ilvl w:val="0"/>
          <w:numId w:val="1"/>
        </w:numPr>
        <w:ind w:left="461" w:right="14" w:hanging="447"/>
      </w:pPr>
      <w:r>
        <w:t xml:space="preserve">Banka bude Klientovi </w:t>
      </w:r>
      <w:r w:rsidR="00756547">
        <w:t>p</w:t>
      </w:r>
      <w:r>
        <w:t>osk</w:t>
      </w:r>
      <w:r w:rsidR="00756547">
        <w:t>yt</w:t>
      </w:r>
      <w:r>
        <w:t>ovat Služb</w:t>
      </w:r>
      <w:r w:rsidR="00756547">
        <w:t>y</w:t>
      </w:r>
      <w:r>
        <w:t xml:space="preserve"> PB </w:t>
      </w:r>
      <w:r w:rsidR="00756547">
        <w:t>p</w:t>
      </w:r>
      <w:r>
        <w:t>ro všechn</w:t>
      </w:r>
      <w:r w:rsidR="00756547">
        <w:t>y</w:t>
      </w:r>
      <w:r>
        <w:t xml:space="preserve"> účty vedené Bankou Klientovi, kromě těchto účtů:</w:t>
      </w:r>
    </w:p>
    <w:tbl>
      <w:tblPr>
        <w:tblStyle w:val="TableGrid"/>
        <w:tblW w:w="4732" w:type="dxa"/>
        <w:tblInd w:w="465" w:type="dxa"/>
        <w:tblCellMar>
          <w:top w:w="68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2315"/>
        <w:gridCol w:w="2417"/>
      </w:tblGrid>
      <w:tr w:rsidR="00360A47">
        <w:trPr>
          <w:trHeight w:val="281"/>
        </w:trPr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0A47" w:rsidRDefault="002B07D6">
            <w:pPr>
              <w:spacing w:after="0" w:line="259" w:lineRule="auto"/>
              <w:ind w:left="0" w:firstLine="0"/>
              <w:jc w:val="left"/>
            </w:pPr>
            <w:r>
              <w:t>Číslo účtu</w:t>
            </w:r>
          </w:p>
        </w:tc>
        <w:tc>
          <w:tcPr>
            <w:tcW w:w="2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0A47" w:rsidRDefault="002B07D6">
            <w:pPr>
              <w:spacing w:after="0" w:line="259" w:lineRule="auto"/>
              <w:ind w:left="1503" w:firstLine="0"/>
              <w:jc w:val="left"/>
            </w:pPr>
            <w:r>
              <w:rPr>
                <w:sz w:val="18"/>
              </w:rPr>
              <w:t>Měna</w:t>
            </w:r>
          </w:p>
        </w:tc>
      </w:tr>
      <w:tr w:rsidR="00360A47">
        <w:trPr>
          <w:trHeight w:val="320"/>
        </w:trPr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0A47" w:rsidRDefault="00360A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0A47" w:rsidRDefault="00360A4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60A47" w:rsidRDefault="002B07D6">
      <w:pPr>
        <w:numPr>
          <w:ilvl w:val="0"/>
          <w:numId w:val="1"/>
        </w:numPr>
        <w:spacing w:after="230"/>
        <w:ind w:left="461" w:right="14" w:hanging="447"/>
      </w:pPr>
      <w:r>
        <w:t>Klient požaduje Vícenásobnou autorizaci každého platebního příkazu, jehož částka převyšuje příslušný Limit Uživatele k Účtu: N</w:t>
      </w:r>
      <w:r w:rsidR="00756547">
        <w:t>E</w:t>
      </w:r>
    </w:p>
    <w:p w:rsidR="00360A47" w:rsidRDefault="002B07D6">
      <w:pPr>
        <w:numPr>
          <w:ilvl w:val="0"/>
          <w:numId w:val="1"/>
        </w:numPr>
        <w:spacing w:after="35"/>
        <w:ind w:left="461" w:right="14" w:hanging="447"/>
      </w:pPr>
      <w:r>
        <w:t xml:space="preserve">V souladu s </w:t>
      </w:r>
      <w:proofErr w:type="spellStart"/>
      <w:r>
        <w:t>S</w:t>
      </w:r>
      <w:proofErr w:type="spellEnd"/>
      <w:r>
        <w:t xml:space="preserve"> 1751 z. č. 89/2012 Sb., občanského zákoníku, ve znění pozdějších předpisů, jsou nedílnou součástí Smlouvy Všeobecné obchodní podmínky Banky (dále jen „Všeobecné podmínky”), Podmínky pro poskytování a využívání přímého bankovnictví (dále jen „Podmínky"), příslušná Oznámení, tj. Oznámení o provádění platebního styku, a Sazebník (v rozsahu relevantním ke Smlouvě). Podpisem tohoto dodatku Klient potvrzuje, že se seznámil s obsahem a významem dokumentů uvedených v předchozí větě, jakož i dalších dokumentů, na které se ve Všeobecných podmínkách a Podmínkách odkazuje, a výslovně s jejich zněním souhlasí.</w:t>
      </w:r>
    </w:p>
    <w:p w:rsidR="00360A47" w:rsidRDefault="002B07D6">
      <w:pPr>
        <w:spacing w:after="25"/>
        <w:ind w:left="493" w:right="14"/>
      </w:pPr>
      <w:r>
        <w:t>Klient tímto prohlašuje, že ho Banka upozornila na ustanovení, která odkazují na shora uvedené dokumenty stojící mimo vlastní text Smlouvy, a jejich význam mu byl dostatečně vysvětlen. Klient bere na vědomí, že je vázán nejen Smlouvou, ale i těmito dokumenty a bere na vědomí, že nesplnění povinností či podmínek uvedených v těchto dokumentech může mít stejné právní následky jako nesplnění povinností a podmínek vyplývajících ze Smlouvy.</w:t>
      </w:r>
    </w:p>
    <w:p w:rsidR="00360A47" w:rsidRDefault="002B07D6">
      <w:pPr>
        <w:spacing w:after="128"/>
        <w:ind w:left="493" w:right="14"/>
      </w:pPr>
      <w:r>
        <w:t>Článek 28. Všeobecných podmínek upravuje potřebné souhlasy Klienta, zejména souhlas se zpracováním Osobních údajů. Klient je oprávněn tyto souhlasy kdykoli písemně odvolat.</w:t>
      </w:r>
    </w:p>
    <w:p w:rsidR="00756547" w:rsidRDefault="00756547">
      <w:pPr>
        <w:spacing w:after="0" w:line="259" w:lineRule="auto"/>
        <w:ind w:left="0" w:right="14" w:firstLine="0"/>
        <w:jc w:val="right"/>
        <w:rPr>
          <w:sz w:val="18"/>
        </w:rPr>
      </w:pPr>
    </w:p>
    <w:p w:rsidR="00756547" w:rsidRDefault="00756547">
      <w:pPr>
        <w:spacing w:after="0" w:line="259" w:lineRule="auto"/>
        <w:ind w:left="0" w:right="14" w:firstLine="0"/>
        <w:jc w:val="right"/>
        <w:rPr>
          <w:sz w:val="34"/>
        </w:rPr>
      </w:pPr>
    </w:p>
    <w:p w:rsidR="00756547" w:rsidRDefault="00756547">
      <w:pPr>
        <w:spacing w:after="0" w:line="259" w:lineRule="auto"/>
        <w:ind w:left="0" w:right="14" w:firstLine="0"/>
        <w:jc w:val="right"/>
        <w:rPr>
          <w:sz w:val="34"/>
        </w:rPr>
      </w:pPr>
    </w:p>
    <w:p w:rsidR="00756547" w:rsidRDefault="00756547">
      <w:pPr>
        <w:spacing w:after="0" w:line="259" w:lineRule="auto"/>
        <w:ind w:left="0" w:right="14" w:firstLine="0"/>
        <w:jc w:val="right"/>
        <w:rPr>
          <w:sz w:val="34"/>
        </w:rPr>
      </w:pPr>
    </w:p>
    <w:p w:rsidR="00360A47" w:rsidRDefault="002B07D6">
      <w:pPr>
        <w:spacing w:after="250"/>
        <w:ind w:left="442" w:right="14"/>
      </w:pPr>
      <w:r>
        <w:lastRenderedPageBreak/>
        <w:t>Klient souhlasí s tím, že Banka je oprávněna započítávat své pohledávky za Klientem v rozsahu a způsobem stanoveným ve Všeobecných podmínkách.</w:t>
      </w:r>
    </w:p>
    <w:p w:rsidR="00360A47" w:rsidRDefault="002B07D6">
      <w:pPr>
        <w:spacing w:after="250"/>
        <w:ind w:left="435" w:right="14"/>
      </w:pPr>
      <w:r>
        <w:t>Na smluvní vztah založený na základě Smlouvy se vylučuje uplatnění ustanovení S 1799 a S 1800 občanského zákoníku o adhezních smlouvách.</w:t>
      </w:r>
    </w:p>
    <w:p w:rsidR="00360A47" w:rsidRDefault="002B07D6">
      <w:pPr>
        <w:ind w:left="17" w:right="14"/>
      </w:pPr>
      <w:r>
        <w:t>7. Tento dodatek nabývá platnosti a účinnosti dnem jeho uzavření.</w:t>
      </w:r>
    </w:p>
    <w:p w:rsidR="00360A47" w:rsidRDefault="00360A47"/>
    <w:p w:rsidR="00756547" w:rsidRDefault="00756547"/>
    <w:p w:rsidR="00756547" w:rsidRDefault="00756547">
      <w:pPr>
        <w:sectPr w:rsidR="00756547">
          <w:type w:val="continuous"/>
          <w:pgSz w:w="11920" w:h="16840"/>
          <w:pgMar w:top="780" w:right="1037" w:bottom="326" w:left="1066" w:header="708" w:footer="708" w:gutter="0"/>
          <w:cols w:space="708"/>
        </w:sectPr>
      </w:pPr>
    </w:p>
    <w:p w:rsidR="00756547" w:rsidRDefault="00756547" w:rsidP="00BF7304">
      <w:pPr>
        <w:spacing w:after="77"/>
        <w:ind w:left="17" w:right="14"/>
        <w:rPr>
          <w:sz w:val="22"/>
        </w:rPr>
      </w:pPr>
      <w:r w:rsidRPr="00756547">
        <w:rPr>
          <w:sz w:val="22"/>
        </w:rPr>
        <w:t>V</w:t>
      </w:r>
      <w:r w:rsidR="002B07D6" w:rsidRPr="00756547">
        <w:rPr>
          <w:sz w:val="22"/>
        </w:rPr>
        <w:t>e Zlíně dne 07.04.2014</w:t>
      </w:r>
    </w:p>
    <w:p w:rsidR="00BF7304" w:rsidRPr="00756547" w:rsidRDefault="00BF7304" w:rsidP="00BF7304">
      <w:pPr>
        <w:spacing w:after="77"/>
        <w:ind w:left="17" w:right="14"/>
        <w:rPr>
          <w:sz w:val="22"/>
        </w:rPr>
      </w:pPr>
    </w:p>
    <w:p w:rsidR="00A76C43" w:rsidRPr="00D01319" w:rsidRDefault="00A76C43" w:rsidP="00A76C43">
      <w:pPr>
        <w:spacing w:after="0" w:line="259" w:lineRule="auto"/>
        <w:ind w:left="17" w:right="-4702" w:hanging="10"/>
        <w:jc w:val="left"/>
        <w:rPr>
          <w:b/>
          <w:sz w:val="22"/>
        </w:rPr>
      </w:pPr>
      <w:r w:rsidRPr="00D01319">
        <w:rPr>
          <w:b/>
          <w:sz w:val="22"/>
        </w:rPr>
        <w:t>S</w:t>
      </w:r>
      <w:r w:rsidR="002B07D6" w:rsidRPr="00D01319">
        <w:rPr>
          <w:b/>
          <w:sz w:val="22"/>
        </w:rPr>
        <w:t xml:space="preserve">ociální služby pro osoby se zdravotním </w:t>
      </w:r>
      <w:r w:rsidR="00756547" w:rsidRPr="00D01319">
        <w:rPr>
          <w:b/>
          <w:sz w:val="22"/>
        </w:rPr>
        <w:t>postižením</w:t>
      </w:r>
      <w:r w:rsidRPr="00D01319">
        <w:rPr>
          <w:b/>
          <w:sz w:val="22"/>
        </w:rPr>
        <w:t>,</w:t>
      </w:r>
    </w:p>
    <w:p w:rsidR="00A76C43" w:rsidRPr="00D01319" w:rsidRDefault="002B07D6" w:rsidP="00A76C43">
      <w:pPr>
        <w:spacing w:after="0" w:line="259" w:lineRule="auto"/>
        <w:ind w:left="17" w:right="-4702" w:hanging="10"/>
        <w:jc w:val="left"/>
        <w:rPr>
          <w:b/>
          <w:sz w:val="22"/>
        </w:rPr>
      </w:pPr>
      <w:r w:rsidRPr="00D01319">
        <w:rPr>
          <w:b/>
          <w:sz w:val="22"/>
        </w:rPr>
        <w:t>příspěvková organizace</w:t>
      </w:r>
    </w:p>
    <w:p w:rsidR="00A76C43" w:rsidRDefault="00A76C43" w:rsidP="00A76C43">
      <w:pPr>
        <w:spacing w:after="0" w:line="259" w:lineRule="auto"/>
        <w:ind w:left="17" w:right="-4702" w:hanging="10"/>
        <w:jc w:val="left"/>
        <w:rPr>
          <w:sz w:val="22"/>
        </w:rPr>
      </w:pPr>
    </w:p>
    <w:p w:rsidR="00A76C43" w:rsidRDefault="00A76C43" w:rsidP="00A76C43">
      <w:pPr>
        <w:spacing w:after="0" w:line="259" w:lineRule="auto"/>
        <w:ind w:left="17" w:right="-4702" w:hanging="10"/>
        <w:jc w:val="left"/>
        <w:rPr>
          <w:sz w:val="22"/>
        </w:rPr>
      </w:pPr>
    </w:p>
    <w:p w:rsidR="00A76C43" w:rsidRDefault="00A76C43" w:rsidP="00A76C43">
      <w:pPr>
        <w:spacing w:after="0" w:line="259" w:lineRule="auto"/>
        <w:ind w:left="17" w:right="-4702" w:hanging="10"/>
        <w:jc w:val="left"/>
        <w:rPr>
          <w:sz w:val="22"/>
        </w:rPr>
      </w:pPr>
    </w:p>
    <w:p w:rsidR="002B07D6" w:rsidRDefault="002B07D6" w:rsidP="002B07D6">
      <w:pPr>
        <w:spacing w:after="0" w:line="240" w:lineRule="auto"/>
        <w:ind w:left="17" w:right="-4702" w:hanging="10"/>
        <w:jc w:val="left"/>
        <w:rPr>
          <w:sz w:val="22"/>
        </w:rPr>
      </w:pPr>
    </w:p>
    <w:p w:rsidR="00A76C43" w:rsidRDefault="00A76C43" w:rsidP="00A76C43">
      <w:pPr>
        <w:spacing w:after="0" w:line="259" w:lineRule="auto"/>
        <w:ind w:left="17" w:right="-4702" w:hanging="10"/>
        <w:jc w:val="left"/>
        <w:rPr>
          <w:sz w:val="22"/>
        </w:rPr>
      </w:pPr>
    </w:p>
    <w:p w:rsidR="00A76C43" w:rsidRDefault="00756547" w:rsidP="00BF7304">
      <w:pPr>
        <w:spacing w:after="0" w:line="240" w:lineRule="auto"/>
        <w:ind w:left="17" w:right="-4702" w:hanging="10"/>
        <w:jc w:val="left"/>
        <w:rPr>
          <w:sz w:val="22"/>
        </w:rPr>
      </w:pPr>
      <w:r w:rsidRPr="00756547">
        <w:rPr>
          <w:sz w:val="22"/>
        </w:rPr>
        <w:t>Jméno:</w:t>
      </w:r>
      <w:r>
        <w:rPr>
          <w:sz w:val="22"/>
        </w:rPr>
        <w:t xml:space="preserve"> </w:t>
      </w:r>
      <w:r w:rsidRPr="00756547">
        <w:rPr>
          <w:sz w:val="22"/>
        </w:rPr>
        <w:t>Adéla Machalov</w:t>
      </w:r>
      <w:r w:rsidR="00A76C43">
        <w:rPr>
          <w:sz w:val="22"/>
        </w:rPr>
        <w:t>á</w:t>
      </w:r>
    </w:p>
    <w:p w:rsidR="00756547" w:rsidRDefault="00A76C43" w:rsidP="00BF7304">
      <w:pPr>
        <w:spacing w:after="1136" w:line="240" w:lineRule="auto"/>
        <w:ind w:left="17" w:right="-4702" w:hanging="10"/>
        <w:jc w:val="left"/>
        <w:rPr>
          <w:sz w:val="22"/>
        </w:rPr>
      </w:pPr>
      <w:r>
        <w:rPr>
          <w:sz w:val="22"/>
        </w:rPr>
        <w:t>Funkce: ředitel</w:t>
      </w:r>
    </w:p>
    <w:p w:rsidR="00A76C43" w:rsidRDefault="00A76C43" w:rsidP="00BF7304">
      <w:pPr>
        <w:spacing w:line="480" w:lineRule="auto"/>
        <w:ind w:left="9" w:hanging="10"/>
        <w:jc w:val="left"/>
        <w:rPr>
          <w:sz w:val="22"/>
        </w:rPr>
      </w:pPr>
    </w:p>
    <w:p w:rsidR="00A76C43" w:rsidRPr="00D01319" w:rsidRDefault="00A76C43" w:rsidP="00756547">
      <w:pPr>
        <w:spacing w:line="259" w:lineRule="auto"/>
        <w:ind w:left="9" w:hanging="10"/>
        <w:jc w:val="left"/>
        <w:rPr>
          <w:b/>
          <w:sz w:val="22"/>
        </w:rPr>
      </w:pPr>
    </w:p>
    <w:p w:rsidR="00756547" w:rsidRPr="00D01319" w:rsidRDefault="002B07D6" w:rsidP="00756547">
      <w:pPr>
        <w:spacing w:line="259" w:lineRule="auto"/>
        <w:ind w:left="9" w:hanging="10"/>
        <w:jc w:val="left"/>
        <w:rPr>
          <w:b/>
          <w:sz w:val="22"/>
        </w:rPr>
      </w:pPr>
      <w:r w:rsidRPr="00D01319">
        <w:rPr>
          <w:b/>
          <w:sz w:val="22"/>
        </w:rPr>
        <w:t>Komerční banka, a. s., se sídlem:</w:t>
      </w:r>
    </w:p>
    <w:p w:rsidR="00756547" w:rsidRPr="00D01319" w:rsidRDefault="002B07D6" w:rsidP="00A76C43">
      <w:pPr>
        <w:spacing w:after="91" w:line="359" w:lineRule="auto"/>
        <w:ind w:left="17" w:right="1628" w:hanging="10"/>
        <w:jc w:val="left"/>
        <w:rPr>
          <w:b/>
          <w:sz w:val="22"/>
        </w:rPr>
      </w:pPr>
      <w:r w:rsidRPr="00D01319">
        <w:rPr>
          <w:b/>
          <w:sz w:val="22"/>
        </w:rPr>
        <w:t xml:space="preserve">ve Zlíně </w:t>
      </w:r>
    </w:p>
    <w:p w:rsidR="00A76C43" w:rsidRDefault="00A76C43" w:rsidP="00A76C43">
      <w:pPr>
        <w:spacing w:after="91" w:line="359" w:lineRule="auto"/>
        <w:ind w:left="17" w:right="1628" w:hanging="10"/>
        <w:jc w:val="left"/>
        <w:rPr>
          <w:sz w:val="22"/>
        </w:rPr>
      </w:pPr>
    </w:p>
    <w:p w:rsidR="00A76C43" w:rsidRPr="00A76C43" w:rsidRDefault="00A76C43" w:rsidP="00A76C43">
      <w:pPr>
        <w:spacing w:after="91" w:line="359" w:lineRule="auto"/>
        <w:ind w:left="17" w:right="1628" w:hanging="10"/>
        <w:jc w:val="left"/>
        <w:rPr>
          <w:sz w:val="22"/>
        </w:rPr>
      </w:pPr>
    </w:p>
    <w:p w:rsidR="00756547" w:rsidRPr="00A76C43" w:rsidRDefault="00A76C43" w:rsidP="00BF7304">
      <w:pPr>
        <w:spacing w:after="0" w:line="240" w:lineRule="auto"/>
        <w:ind w:left="0" w:right="635" w:firstLine="7"/>
        <w:jc w:val="left"/>
        <w:rPr>
          <w:noProof/>
          <w:sz w:val="22"/>
        </w:rPr>
      </w:pPr>
      <w:r w:rsidRPr="00A76C43">
        <w:rPr>
          <w:noProof/>
          <w:sz w:val="22"/>
        </w:rPr>
        <w:t>Jméno: Renata Hrabalová</w:t>
      </w:r>
    </w:p>
    <w:p w:rsidR="00A76C43" w:rsidRPr="00A76C43" w:rsidRDefault="00A76C43" w:rsidP="00BF7304">
      <w:pPr>
        <w:spacing w:after="0" w:line="240" w:lineRule="auto"/>
        <w:ind w:left="0" w:right="635" w:firstLine="7"/>
        <w:jc w:val="left"/>
        <w:rPr>
          <w:noProof/>
          <w:sz w:val="22"/>
        </w:rPr>
      </w:pPr>
      <w:r w:rsidRPr="00A76C43">
        <w:rPr>
          <w:noProof/>
          <w:sz w:val="22"/>
        </w:rPr>
        <w:t>Funkce: bankovní poradce</w:t>
      </w:r>
    </w:p>
    <w:p w:rsidR="00360A47" w:rsidRDefault="00360A47" w:rsidP="00756547">
      <w:pPr>
        <w:spacing w:after="98" w:line="259" w:lineRule="auto"/>
        <w:ind w:left="2127" w:firstLine="0"/>
        <w:jc w:val="left"/>
      </w:pPr>
    </w:p>
    <w:p w:rsidR="00360A47" w:rsidRDefault="00360A47" w:rsidP="00A76C43">
      <w:pPr>
        <w:ind w:left="0" w:firstLine="0"/>
        <w:sectPr w:rsidR="00360A47" w:rsidSect="00A76C43">
          <w:type w:val="continuous"/>
          <w:pgSz w:w="11920" w:h="16840"/>
          <w:pgMar w:top="1440" w:right="1440" w:bottom="1440" w:left="1066" w:header="708" w:footer="708" w:gutter="0"/>
          <w:cols w:num="2" w:space="1622"/>
        </w:sectPr>
      </w:pPr>
    </w:p>
    <w:p w:rsidR="00360A47" w:rsidRDefault="00360A47" w:rsidP="00A76C43">
      <w:pPr>
        <w:tabs>
          <w:tab w:val="right" w:pos="9723"/>
        </w:tabs>
        <w:spacing w:after="0" w:line="259" w:lineRule="auto"/>
        <w:ind w:left="0" w:firstLine="0"/>
        <w:jc w:val="left"/>
      </w:pPr>
    </w:p>
    <w:sectPr w:rsidR="00360A47">
      <w:type w:val="continuous"/>
      <w:pgSz w:w="11920" w:h="16840"/>
      <w:pgMar w:top="780" w:right="1131" w:bottom="356" w:left="10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01E"/>
    <w:multiLevelType w:val="hybridMultilevel"/>
    <w:tmpl w:val="F16C5820"/>
    <w:lvl w:ilvl="0" w:tplc="26840E3A">
      <w:start w:val="2"/>
      <w:numFmt w:val="decimal"/>
      <w:lvlText w:val="%1.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2EE116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4AAA4E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187C9E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BA304A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741E9C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5A2F90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9008BA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A691E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A47"/>
    <w:rsid w:val="002B07D6"/>
    <w:rsid w:val="00360A47"/>
    <w:rsid w:val="00756547"/>
    <w:rsid w:val="008F3B5F"/>
    <w:rsid w:val="00A76C43"/>
    <w:rsid w:val="00BF7304"/>
    <w:rsid w:val="00D0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EB0E"/>
  <w15:docId w15:val="{7D5B076B-01CD-4859-9E05-8E7F2801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65" w:lineRule="auto"/>
      <w:ind w:left="10" w:hanging="3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Reimerová</dc:creator>
  <cp:keywords/>
  <cp:lastModifiedBy>Iveta Reimerová</cp:lastModifiedBy>
  <cp:revision>6</cp:revision>
  <dcterms:created xsi:type="dcterms:W3CDTF">2018-04-05T11:46:00Z</dcterms:created>
  <dcterms:modified xsi:type="dcterms:W3CDTF">2018-04-09T07:24:00Z</dcterms:modified>
</cp:coreProperties>
</file>