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E0" w:rsidRDefault="00F11501">
      <w:pPr>
        <w:spacing w:after="0"/>
        <w:ind w:left="-36" w:right="-490"/>
      </w:pPr>
      <w:r>
        <w:rPr>
          <w:noProof/>
        </w:rPr>
        <w:drawing>
          <wp:inline distT="0" distB="0" distL="0" distR="0">
            <wp:extent cx="480221" cy="489390"/>
            <wp:effectExtent l="0" t="0" r="0" b="0"/>
            <wp:docPr id="2353" name="Picture 2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" name="Picture 2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221" cy="48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2"/>
        </w:rPr>
        <w:t xml:space="preserve">KB </w:t>
      </w:r>
      <w:r>
        <w:rPr>
          <w:noProof/>
        </w:rPr>
        <w:drawing>
          <wp:inline distT="0" distB="0" distL="0" distR="0">
            <wp:extent cx="4907403" cy="882732"/>
            <wp:effectExtent l="0" t="0" r="0" b="0"/>
            <wp:docPr id="11054" name="Picture 1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" name="Picture 11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7403" cy="88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E0" w:rsidRPr="005D41C3" w:rsidRDefault="00F11501">
      <w:pPr>
        <w:pBdr>
          <w:top w:val="single" w:sz="9" w:space="0" w:color="000000"/>
          <w:left w:val="single" w:sz="9" w:space="0" w:color="000000"/>
          <w:bottom w:val="single" w:sz="3" w:space="0" w:color="000000"/>
          <w:right w:val="single" w:sz="6" w:space="0" w:color="000000"/>
        </w:pBdr>
        <w:spacing w:after="111"/>
        <w:ind w:right="115"/>
        <w:jc w:val="right"/>
        <w:rPr>
          <w:b/>
        </w:rPr>
      </w:pPr>
      <w:r w:rsidRPr="005D41C3">
        <w:rPr>
          <w:b/>
          <w:sz w:val="20"/>
        </w:rPr>
        <w:t>27-1924690237/0100</w:t>
      </w:r>
    </w:p>
    <w:p w:rsidR="005D41C3" w:rsidRDefault="00F11501">
      <w:pPr>
        <w:spacing w:after="0"/>
        <w:ind w:left="14" w:right="28" w:firstLine="8974"/>
        <w:jc w:val="both"/>
        <w:rPr>
          <w:sz w:val="20"/>
        </w:rPr>
      </w:pPr>
      <w:r>
        <w:rPr>
          <w:sz w:val="20"/>
        </w:rPr>
        <w:t xml:space="preserve">číslo účtu </w:t>
      </w:r>
      <w:r w:rsidRPr="005D41C3">
        <w:rPr>
          <w:b/>
          <w:sz w:val="20"/>
        </w:rPr>
        <w:t>Komerční banka, a.s.</w:t>
      </w:r>
      <w:r>
        <w:rPr>
          <w:sz w:val="20"/>
        </w:rPr>
        <w:t xml:space="preserve">, se sídlem Praha 1, Na Příkopě 33 čp. 969, PSČ 114 07, IC: 45317054, zapsaná v obchodním rejstříku vedeném Městským soudem v Praze, oddíl B, vložka 1360 (dále jen „Banka”) </w:t>
      </w:r>
    </w:p>
    <w:p w:rsidR="005D41C3" w:rsidRDefault="005D41C3">
      <w:pPr>
        <w:spacing w:after="0"/>
        <w:ind w:left="14" w:right="28" w:firstLine="8974"/>
        <w:jc w:val="both"/>
        <w:rPr>
          <w:sz w:val="20"/>
        </w:rPr>
      </w:pPr>
    </w:p>
    <w:p w:rsidR="000F71E0" w:rsidRDefault="00F11501" w:rsidP="005D41C3">
      <w:pPr>
        <w:spacing w:after="0"/>
        <w:ind w:left="14" w:right="28" w:hanging="14"/>
        <w:jc w:val="both"/>
      </w:pPr>
      <w:r>
        <w:rPr>
          <w:sz w:val="20"/>
        </w:rPr>
        <w:t>a</w:t>
      </w:r>
    </w:p>
    <w:tbl>
      <w:tblPr>
        <w:tblStyle w:val="TableGrid"/>
        <w:tblW w:w="9870" w:type="dxa"/>
        <w:tblInd w:w="-60" w:type="dxa"/>
        <w:tblCellMar>
          <w:left w:w="65" w:type="dxa"/>
          <w:right w:w="36" w:type="dxa"/>
        </w:tblCellMar>
        <w:tblLook w:val="04A0" w:firstRow="1" w:lastRow="0" w:firstColumn="1" w:lastColumn="0" w:noHBand="0" w:noVBand="1"/>
      </w:tblPr>
      <w:tblGrid>
        <w:gridCol w:w="2977"/>
        <w:gridCol w:w="814"/>
        <w:gridCol w:w="6079"/>
      </w:tblGrid>
      <w:tr w:rsidR="000F71E0">
        <w:trPr>
          <w:trHeight w:val="187"/>
        </w:trPr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F71E0" w:rsidRPr="005D41C3" w:rsidRDefault="00F11501">
            <w:pPr>
              <w:ind w:left="17"/>
              <w:rPr>
                <w:sz w:val="20"/>
                <w:szCs w:val="20"/>
              </w:rPr>
            </w:pPr>
            <w:r w:rsidRPr="005D41C3">
              <w:rPr>
                <w:b/>
                <w:sz w:val="20"/>
                <w:szCs w:val="20"/>
              </w:rPr>
              <w:t>právnická osoba</w:t>
            </w:r>
            <w:r w:rsidRPr="005D41C3">
              <w:rPr>
                <w:sz w:val="20"/>
                <w:szCs w:val="20"/>
              </w:rPr>
              <w:t xml:space="preserve"> (dále jen „Klient”</w:t>
            </w:r>
          </w:p>
        </w:tc>
        <w:tc>
          <w:tcPr>
            <w:tcW w:w="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1E0" w:rsidRDefault="000F71E0"/>
        </w:tc>
        <w:tc>
          <w:tcPr>
            <w:tcW w:w="60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1E0" w:rsidRDefault="000F71E0"/>
        </w:tc>
      </w:tr>
      <w:tr w:rsidR="000F71E0">
        <w:trPr>
          <w:trHeight w:val="538"/>
        </w:trPr>
        <w:tc>
          <w:tcPr>
            <w:tcW w:w="3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3"/>
            </w:pPr>
            <w:r>
              <w:rPr>
                <w:sz w:val="18"/>
              </w:rPr>
              <w:t xml:space="preserve">Obchodní firma* / </w:t>
            </w:r>
            <w:proofErr w:type="gramStart"/>
            <w:r>
              <w:rPr>
                <w:sz w:val="18"/>
              </w:rPr>
              <w:t>název:*</w:t>
            </w:r>
            <w:proofErr w:type="gramEnd"/>
            <w:r>
              <w:rPr>
                <w:sz w:val="18"/>
              </w:rPr>
              <w:t>*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7" w:firstLine="7"/>
            </w:pPr>
            <w:r>
              <w:t>Hrádek, domov pro osoby se zdravotním postižením, příspěvková organizace</w:t>
            </w:r>
          </w:p>
        </w:tc>
      </w:tr>
      <w:tr w:rsidR="000F71E0">
        <w:trPr>
          <w:trHeight w:val="612"/>
        </w:trPr>
        <w:tc>
          <w:tcPr>
            <w:tcW w:w="3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10"/>
            </w:pPr>
            <w:r>
              <w:rPr>
                <w:sz w:val="20"/>
              </w:rPr>
              <w:t>Sídlo: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spacing w:after="4"/>
              <w:ind w:left="22"/>
            </w:pPr>
            <w:r>
              <w:rPr>
                <w:sz w:val="24"/>
              </w:rPr>
              <w:t>NA HRÁDKU 100,</w:t>
            </w:r>
          </w:p>
          <w:p w:rsidR="000F71E0" w:rsidRDefault="00F11501">
            <w:pPr>
              <w:ind w:left="7"/>
            </w:pPr>
            <w:r>
              <w:rPr>
                <w:sz w:val="24"/>
              </w:rPr>
              <w:t>763 16 FRYŠTÁK, CZ</w:t>
            </w:r>
          </w:p>
        </w:tc>
      </w:tr>
      <w:tr w:rsidR="000F71E0">
        <w:trPr>
          <w:trHeight w:val="324"/>
        </w:trPr>
        <w:tc>
          <w:tcPr>
            <w:tcW w:w="3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0F71E0"/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14"/>
            </w:pPr>
            <w:r>
              <w:rPr>
                <w:sz w:val="20"/>
              </w:rPr>
              <w:t>70850917</w:t>
            </w:r>
          </w:p>
        </w:tc>
      </w:tr>
      <w:tr w:rsidR="000F71E0">
        <w:trPr>
          <w:trHeight w:val="468"/>
        </w:trPr>
        <w:tc>
          <w:tcPr>
            <w:tcW w:w="3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1E0" w:rsidRDefault="00F11501">
            <w:pPr>
              <w:ind w:left="3" w:right="94"/>
              <w:jc w:val="both"/>
            </w:pPr>
            <w:r>
              <w:rPr>
                <w:sz w:val="18"/>
              </w:rPr>
              <w:t>Zápis v obchodním rejstříku či jiné evidenci, včetně spisové značky: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r>
              <w:rPr>
                <w:sz w:val="24"/>
              </w:rPr>
              <w:t>ZLÍNSKÝ KRAJ</w:t>
            </w:r>
          </w:p>
        </w:tc>
      </w:tr>
    </w:tbl>
    <w:p w:rsidR="000F71E0" w:rsidRDefault="00F11501">
      <w:pPr>
        <w:spacing w:after="182"/>
        <w:ind w:left="9" w:hanging="10"/>
      </w:pPr>
      <w:r>
        <w:rPr>
          <w:sz w:val="18"/>
        </w:rPr>
        <w:t>*je-li Klient zapsán v obchodním rejstříku; **není-li Klient zapsán v obchodním rejstříku</w:t>
      </w:r>
    </w:p>
    <w:p w:rsidR="000F71E0" w:rsidRDefault="00F11501">
      <w:pPr>
        <w:spacing w:after="158"/>
        <w:ind w:left="17" w:right="28" w:hanging="3"/>
        <w:jc w:val="both"/>
      </w:pPr>
      <w:r>
        <w:rPr>
          <w:sz w:val="20"/>
        </w:rPr>
        <w:t xml:space="preserve">se dohodli na tomto dodatku ke Smlouvě o zřízení a vedení běžného účtu (dále jen „Smlouva), na </w:t>
      </w:r>
      <w:proofErr w:type="gramStart"/>
      <w:r>
        <w:rPr>
          <w:sz w:val="20"/>
        </w:rPr>
        <w:t>základě</w:t>
      </w:r>
      <w:proofErr w:type="gramEnd"/>
      <w:r>
        <w:rPr>
          <w:sz w:val="20"/>
        </w:rPr>
        <w:t xml:space="preserve"> které je veden účet číslo </w:t>
      </w:r>
      <w:r w:rsidRPr="005D41C3">
        <w:rPr>
          <w:b/>
          <w:sz w:val="20"/>
        </w:rPr>
        <w:t>27-1924690237/0100.</w:t>
      </w:r>
      <w:r>
        <w:rPr>
          <w:sz w:val="20"/>
        </w:rPr>
        <w:t xml:space="preserve"> Obsahem tohoto dodatku jsou změny nebo doplnění níže uvedených ustanovení Smlouvy:</w:t>
      </w:r>
    </w:p>
    <w:p w:rsidR="000F71E0" w:rsidRDefault="00F11501">
      <w:pPr>
        <w:spacing w:after="109"/>
        <w:ind w:left="17" w:right="28" w:hanging="3"/>
        <w:jc w:val="both"/>
      </w:pPr>
      <w:r>
        <w:rPr>
          <w:noProof/>
        </w:rPr>
        <w:drawing>
          <wp:inline distT="0" distB="0" distL="0" distR="0">
            <wp:extent cx="77750" cy="91475"/>
            <wp:effectExtent l="0" t="0" r="0" b="0"/>
            <wp:docPr id="11056" name="Picture 1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" name="Picture 110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50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1C3">
        <w:rPr>
          <w:sz w:val="20"/>
        </w:rPr>
        <w:t xml:space="preserve">          </w:t>
      </w:r>
      <w:r>
        <w:rPr>
          <w:sz w:val="20"/>
        </w:rPr>
        <w:t>dispozice s úroky (kapitalizace, převod úroků na jiný účet, změna čísla účtu pro převod úroků),</w:t>
      </w:r>
    </w:p>
    <w:p w:rsidR="000F71E0" w:rsidRPr="005D41C3" w:rsidRDefault="00F11501">
      <w:pPr>
        <w:numPr>
          <w:ilvl w:val="0"/>
          <w:numId w:val="1"/>
        </w:numPr>
        <w:spacing w:after="94" w:line="265" w:lineRule="auto"/>
        <w:ind w:right="28" w:hanging="569"/>
        <w:jc w:val="both"/>
        <w:rPr>
          <w:b/>
          <w:sz w:val="20"/>
          <w:szCs w:val="20"/>
        </w:rPr>
      </w:pPr>
      <w:r w:rsidRPr="005D41C3">
        <w:rPr>
          <w:b/>
          <w:sz w:val="20"/>
          <w:szCs w:val="20"/>
        </w:rPr>
        <w:t>četnost zasílání výpisů nebo způsobu předávání výpisů a jiných Zásilek,</w:t>
      </w:r>
    </w:p>
    <w:p w:rsidR="000F71E0" w:rsidRPr="005D41C3" w:rsidRDefault="00F11501">
      <w:pPr>
        <w:numPr>
          <w:ilvl w:val="0"/>
          <w:numId w:val="1"/>
        </w:numPr>
        <w:spacing w:after="126" w:line="265" w:lineRule="auto"/>
        <w:ind w:right="28" w:hanging="569"/>
        <w:jc w:val="both"/>
        <w:rPr>
          <w:sz w:val="20"/>
          <w:szCs w:val="20"/>
        </w:rPr>
      </w:pPr>
      <w:r w:rsidRPr="005D41C3">
        <w:rPr>
          <w:sz w:val="20"/>
          <w:szCs w:val="20"/>
        </w:rPr>
        <w:t>adresy pro zasílání výpisů a jiných Zásilek,</w:t>
      </w:r>
    </w:p>
    <w:p w:rsidR="000F71E0" w:rsidRDefault="00F11501">
      <w:pPr>
        <w:numPr>
          <w:ilvl w:val="0"/>
          <w:numId w:val="1"/>
        </w:numPr>
        <w:spacing w:after="158"/>
        <w:ind w:right="28" w:hanging="569"/>
        <w:jc w:val="both"/>
      </w:pPr>
      <w:r>
        <w:rPr>
          <w:sz w:val="20"/>
        </w:rPr>
        <w:t>délka doby vkladu,</w:t>
      </w:r>
    </w:p>
    <w:p w:rsidR="000F71E0" w:rsidRDefault="00F11501">
      <w:pPr>
        <w:numPr>
          <w:ilvl w:val="0"/>
          <w:numId w:val="1"/>
        </w:numPr>
        <w:spacing w:after="95"/>
        <w:ind w:right="28" w:hanging="569"/>
        <w:jc w:val="both"/>
      </w:pPr>
      <w:r>
        <w:rPr>
          <w:sz w:val="20"/>
        </w:rPr>
        <w:t>dispozice s vkladem po splatnosti termínovaného účtu (převod na účet, výběr v hotovosti),</w:t>
      </w:r>
    </w:p>
    <w:p w:rsidR="000F71E0" w:rsidRDefault="00F11501">
      <w:pPr>
        <w:numPr>
          <w:ilvl w:val="0"/>
          <w:numId w:val="1"/>
        </w:numPr>
        <w:spacing w:after="158"/>
        <w:ind w:right="28" w:hanging="569"/>
        <w:jc w:val="both"/>
      </w:pPr>
      <w:r>
        <w:rPr>
          <w:sz w:val="20"/>
        </w:rPr>
        <w:t>splatnost vkladu (zadání nebo ukončení automatického obnovování u krátkodobých termínovaných účtů),</w:t>
      </w:r>
    </w:p>
    <w:p w:rsidR="000F71E0" w:rsidRDefault="00F11501">
      <w:pPr>
        <w:numPr>
          <w:ilvl w:val="0"/>
          <w:numId w:val="1"/>
        </w:numPr>
        <w:spacing w:after="194"/>
        <w:ind w:right="28" w:hanging="569"/>
        <w:jc w:val="both"/>
      </w:pPr>
      <w:r>
        <w:rPr>
          <w:sz w:val="20"/>
        </w:rPr>
        <w:t>druh účtu (kreditní, kreditně-debetní),</w:t>
      </w:r>
    </w:p>
    <w:p w:rsidR="000F71E0" w:rsidRDefault="00F11501">
      <w:pPr>
        <w:numPr>
          <w:ilvl w:val="0"/>
          <w:numId w:val="1"/>
        </w:numPr>
        <w:spacing w:after="158"/>
        <w:ind w:right="28" w:hanging="569"/>
        <w:jc w:val="both"/>
      </w:pPr>
      <w:r>
        <w:rPr>
          <w:sz w:val="20"/>
        </w:rPr>
        <w:t>druh úložek (pravidelné, nepravidelné),</w:t>
      </w:r>
    </w:p>
    <w:p w:rsidR="000F71E0" w:rsidRDefault="00F11501">
      <w:pPr>
        <w:numPr>
          <w:ilvl w:val="0"/>
          <w:numId w:val="1"/>
        </w:numPr>
        <w:spacing w:after="187"/>
        <w:ind w:right="28" w:hanging="569"/>
        <w:jc w:val="both"/>
      </w:pPr>
      <w:r>
        <w:rPr>
          <w:sz w:val="20"/>
        </w:rPr>
        <w:t>zvýšení/snížení povoleného debetu,</w:t>
      </w:r>
    </w:p>
    <w:p w:rsidR="000F71E0" w:rsidRPr="005D41C3" w:rsidRDefault="00F11501">
      <w:pPr>
        <w:numPr>
          <w:ilvl w:val="0"/>
          <w:numId w:val="1"/>
        </w:numPr>
        <w:spacing w:after="206" w:line="265" w:lineRule="auto"/>
        <w:ind w:right="28" w:hanging="569"/>
        <w:jc w:val="both"/>
        <w:rPr>
          <w:b/>
          <w:sz w:val="20"/>
          <w:szCs w:val="20"/>
        </w:rPr>
      </w:pPr>
      <w:r w:rsidRPr="005D41C3">
        <w:rPr>
          <w:b/>
          <w:sz w:val="20"/>
          <w:szCs w:val="20"/>
        </w:rPr>
        <w:t>nová doplnění Smlouvy,</w:t>
      </w:r>
    </w:p>
    <w:p w:rsidR="000F71E0" w:rsidRPr="005D41C3" w:rsidRDefault="00F11501">
      <w:pPr>
        <w:numPr>
          <w:ilvl w:val="0"/>
          <w:numId w:val="1"/>
        </w:numPr>
        <w:spacing w:after="94" w:line="265" w:lineRule="auto"/>
        <w:ind w:right="28" w:hanging="569"/>
        <w:jc w:val="both"/>
        <w:rPr>
          <w:b/>
          <w:sz w:val="20"/>
          <w:szCs w:val="20"/>
        </w:rPr>
      </w:pPr>
      <w:r w:rsidRPr="005D41C3">
        <w:rPr>
          <w:b/>
          <w:sz w:val="20"/>
          <w:szCs w:val="20"/>
        </w:rPr>
        <w:t>změna způsobu disponování s prostředky na účtu/vkladu,</w:t>
      </w:r>
    </w:p>
    <w:p w:rsidR="000F71E0" w:rsidRDefault="00F11501">
      <w:pPr>
        <w:tabs>
          <w:tab w:val="center" w:pos="763"/>
        </w:tabs>
        <w:spacing w:after="347" w:line="265" w:lineRule="auto"/>
      </w:pPr>
      <w:r>
        <w:t>12</w:t>
      </w:r>
      <w:r>
        <w:tab/>
      </w:r>
      <w:r w:rsidRPr="005D41C3">
        <w:rPr>
          <w:b/>
          <w:sz w:val="20"/>
          <w:szCs w:val="20"/>
        </w:rPr>
        <w:t>jiné.</w:t>
      </w:r>
    </w:p>
    <w:p w:rsidR="000F71E0" w:rsidRDefault="000F71E0">
      <w:pPr>
        <w:spacing w:after="1461"/>
        <w:ind w:right="303"/>
        <w:jc w:val="right"/>
      </w:pPr>
    </w:p>
    <w:p w:rsidR="00E44051" w:rsidRDefault="00E44051">
      <w:pPr>
        <w:spacing w:after="1461"/>
        <w:ind w:right="303"/>
        <w:jc w:val="right"/>
      </w:pPr>
    </w:p>
    <w:p w:rsidR="000F71E0" w:rsidRDefault="00F11501">
      <w:pPr>
        <w:pStyle w:val="Nadpis1"/>
        <w:tabs>
          <w:tab w:val="right" w:pos="10256"/>
        </w:tabs>
      </w:pPr>
      <w:r>
        <w:rPr>
          <w:noProof/>
        </w:rPr>
        <w:lastRenderedPageBreak/>
        <w:drawing>
          <wp:inline distT="0" distB="0" distL="0" distR="0">
            <wp:extent cx="480221" cy="489390"/>
            <wp:effectExtent l="0" t="0" r="0" b="0"/>
            <wp:docPr id="5777" name="Picture 5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" name="Picture 57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221" cy="48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KB</w:t>
      </w:r>
      <w:r>
        <w:tab/>
      </w:r>
      <w:r>
        <w:rPr>
          <w:noProof/>
        </w:rPr>
        <w:drawing>
          <wp:inline distT="0" distB="0" distL="0" distR="0">
            <wp:extent cx="3498754" cy="420784"/>
            <wp:effectExtent l="0" t="0" r="0" b="0"/>
            <wp:docPr id="11060" name="Picture 1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" name="Picture 110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8754" cy="42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71" w:type="dxa"/>
        <w:tblInd w:w="-148" w:type="dxa"/>
        <w:tblCellMar>
          <w:top w:w="43" w:type="dxa"/>
          <w:left w:w="60" w:type="dxa"/>
          <w:right w:w="72" w:type="dxa"/>
        </w:tblCellMar>
        <w:tblLook w:val="04A0" w:firstRow="1" w:lastRow="0" w:firstColumn="1" w:lastColumn="0" w:noHBand="0" w:noVBand="1"/>
      </w:tblPr>
      <w:tblGrid>
        <w:gridCol w:w="1276"/>
        <w:gridCol w:w="8595"/>
      </w:tblGrid>
      <w:tr w:rsidR="000F71E0">
        <w:trPr>
          <w:trHeight w:val="46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51" w:firstLine="173"/>
              <w:jc w:val="both"/>
            </w:pPr>
            <w:r>
              <w:rPr>
                <w:sz w:val="18"/>
              </w:rPr>
              <w:t>Číslo výše uvedené změny</w:t>
            </w:r>
          </w:p>
        </w:tc>
        <w:tc>
          <w:tcPr>
            <w:tcW w:w="8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 w:rsidP="001F1CF5">
            <w:pPr>
              <w:ind w:left="7"/>
            </w:pPr>
            <w:r>
              <w:rPr>
                <w:sz w:val="18"/>
              </w:rPr>
              <w:t>Nové znění uvedeného ustanovení smlouvy platné od data nabytí účinnosti tohoto dodatku</w:t>
            </w:r>
          </w:p>
        </w:tc>
      </w:tr>
      <w:tr w:rsidR="000F71E0">
        <w:trPr>
          <w:trHeight w:val="136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8"/>
            </w:pPr>
            <w:r>
              <w:rPr>
                <w:sz w:val="20"/>
              </w:rPr>
              <w:t>2.</w:t>
            </w:r>
          </w:p>
        </w:tc>
        <w:tc>
          <w:tcPr>
            <w:tcW w:w="8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spacing w:after="141"/>
              <w:ind w:left="14"/>
            </w:pPr>
            <w:r>
              <w:rPr>
                <w:sz w:val="20"/>
              </w:rPr>
              <w:t>Četnost vyhotovování zpráv o zúčtování: měsíčně.</w:t>
            </w:r>
          </w:p>
          <w:p w:rsidR="000F71E0" w:rsidRPr="005D41C3" w:rsidRDefault="00F11501" w:rsidP="005D41C3">
            <w:pPr>
              <w:ind w:left="14" w:right="3849" w:hanging="14"/>
              <w:jc w:val="both"/>
              <w:rPr>
                <w:sz w:val="20"/>
                <w:szCs w:val="20"/>
              </w:rPr>
            </w:pPr>
            <w:r w:rsidRPr="005D41C3">
              <w:rPr>
                <w:sz w:val="20"/>
                <w:szCs w:val="20"/>
              </w:rPr>
              <w:t>Způsob předávání Zásilek: poštou na adresu: sídla Klienta.</w:t>
            </w:r>
          </w:p>
        </w:tc>
      </w:tr>
      <w:tr w:rsidR="000F71E0">
        <w:trPr>
          <w:trHeight w:val="244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15"/>
            </w:pPr>
            <w:r>
              <w:t>10.</w:t>
            </w:r>
          </w:p>
        </w:tc>
        <w:tc>
          <w:tcPr>
            <w:tcW w:w="8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14"/>
            </w:pPr>
            <w:r>
              <w:rPr>
                <w:sz w:val="20"/>
              </w:rPr>
              <w:t>Další podmínky:</w:t>
            </w:r>
          </w:p>
          <w:p w:rsidR="000F71E0" w:rsidRDefault="00F11501">
            <w:pPr>
              <w:spacing w:line="216" w:lineRule="auto"/>
              <w:ind w:left="14" w:right="7"/>
              <w:jc w:val="both"/>
            </w:pPr>
            <w:r>
              <w:rPr>
                <w:sz w:val="20"/>
              </w:rPr>
              <w:t>Klient a Banka se dohodli, že tento Účet je zřízen a veden v rámci balíčku Komfort. V rámci balíčku Komfort je dále možné uzavřít Smlouvu o poskytování přímého bankovnictví, Smlouvu o poskytování Expresní linky KB a Smlouvu o vydání a používání platební karty. O smlouvu uzavřenou v rámci balíčku Komfort se jedná v případě, že ceny za služby poskytované Bankou na základě dané smlouvy jsou zúčtovány z Účtu zřízeného touto Smlouvou.</w:t>
            </w:r>
          </w:p>
          <w:p w:rsidR="000F71E0" w:rsidRDefault="00F11501">
            <w:pPr>
              <w:ind w:left="296" w:hanging="274"/>
              <w:jc w:val="both"/>
            </w:pPr>
            <w:r>
              <w:rPr>
                <w:sz w:val="20"/>
              </w:rPr>
              <w:t>Klient a Banka se dohodli, že ode dne uzavření tohoto dodatku není Účet veden v rámci balíčku B.Ú.Práv.Os.+</w:t>
            </w:r>
            <w:proofErr w:type="spellStart"/>
            <w:r>
              <w:rPr>
                <w:sz w:val="20"/>
              </w:rPr>
              <w:t>soukr.P</w:t>
            </w:r>
            <w:proofErr w:type="spellEnd"/>
            <w:r>
              <w:rPr>
                <w:sz w:val="20"/>
              </w:rPr>
              <w:t>. Veškeré ceny za služby poskytované v souladu s příslušnými smlouvami, které byly uzavřeny v rámci balíčku B.Ú.Práv.Os.+</w:t>
            </w:r>
            <w:proofErr w:type="spellStart"/>
            <w:proofErr w:type="gramStart"/>
            <w:r>
              <w:rPr>
                <w:sz w:val="20"/>
              </w:rPr>
              <w:t>soukr.P</w:t>
            </w:r>
            <w:proofErr w:type="spellEnd"/>
            <w:proofErr w:type="gramEnd"/>
            <w:r>
              <w:rPr>
                <w:sz w:val="20"/>
              </w:rPr>
              <w:t>, je tak Klient povinen zaplatit podle v době poskytnutí služby platného Sazebníku, který se týká cen za služby poskytované Bankou v souvislosti s těmito příslušnými smlouvami.</w:t>
            </w:r>
          </w:p>
        </w:tc>
      </w:tr>
      <w:tr w:rsidR="000F71E0">
        <w:trPr>
          <w:trHeight w:val="167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30"/>
            </w:pPr>
            <w:r>
              <w:rPr>
                <w:sz w:val="20"/>
              </w:rPr>
              <w:t>1 1.</w:t>
            </w:r>
          </w:p>
        </w:tc>
        <w:tc>
          <w:tcPr>
            <w:tcW w:w="8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spacing w:after="89"/>
              <w:ind w:left="22"/>
            </w:pPr>
            <w:r>
              <w:rPr>
                <w:sz w:val="20"/>
              </w:rPr>
              <w:t>Klient bude používat razítko s názvem: RAZ</w:t>
            </w:r>
            <w:r w:rsidR="005D41C3">
              <w:rPr>
                <w:sz w:val="20"/>
              </w:rPr>
              <w:t>Í</w:t>
            </w:r>
            <w:r>
              <w:rPr>
                <w:sz w:val="20"/>
              </w:rPr>
              <w:t>TKO.</w:t>
            </w:r>
          </w:p>
          <w:p w:rsidR="000F71E0" w:rsidRDefault="00F11501">
            <w:pPr>
              <w:spacing w:after="172" w:line="216" w:lineRule="auto"/>
              <w:ind w:left="22"/>
              <w:jc w:val="both"/>
            </w:pPr>
            <w:r>
              <w:rPr>
                <w:sz w:val="20"/>
              </w:rPr>
              <w:t>Klient souhlasí s tím, že Banka je oprávněna vždy provést příkazy k disponování s prostředky na Účtu podepsané Oprávněnou osobou podle způsobu disponování dohodnutého mezi Klientem a Bankou.</w:t>
            </w:r>
          </w:p>
          <w:p w:rsidR="000F71E0" w:rsidRDefault="00F11501">
            <w:pPr>
              <w:spacing w:after="61"/>
              <w:ind w:left="29"/>
            </w:pPr>
            <w:r>
              <w:rPr>
                <w:sz w:val="20"/>
              </w:rPr>
              <w:t>K Účtu mohou být předávány příkazy podepsané:</w:t>
            </w:r>
          </w:p>
          <w:p w:rsidR="000F71E0" w:rsidRDefault="00F11501">
            <w:pPr>
              <w:ind w:left="519"/>
            </w:pPr>
            <w:r>
              <w:rPr>
                <w:sz w:val="20"/>
              </w:rPr>
              <w:t>•jednou Oprávněnou osobou a jedním razítkem</w:t>
            </w:r>
          </w:p>
        </w:tc>
      </w:tr>
      <w:tr w:rsidR="000F71E0">
        <w:trPr>
          <w:trHeight w:val="9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30"/>
            </w:pPr>
            <w:r>
              <w:t>12.</w:t>
            </w:r>
          </w:p>
        </w:tc>
        <w:tc>
          <w:tcPr>
            <w:tcW w:w="8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1E0" w:rsidRDefault="00F11501">
            <w:pPr>
              <w:ind w:left="22" w:right="317"/>
              <w:jc w:val="both"/>
            </w:pPr>
            <w:r>
              <w:rPr>
                <w:sz w:val="20"/>
              </w:rPr>
              <w:t>Podpisem tohoto dodatku Klient potvrzuje, že se seznámit se zněním Všeobecných obchodních podmínek Banky ve znění účinném v den podpisu tohoto dodatku a souhlasí s nimi. Článek XXVIII. Všeobecných obchodních podmínek Banky upravuje potřebné souhlasy Klienta, zejména souhlas se zpracováním Osobních údajů. Klient je oprávněn tyto souhlasy kdykoli písemně odvolat.</w:t>
            </w:r>
          </w:p>
        </w:tc>
      </w:tr>
    </w:tbl>
    <w:p w:rsidR="000F71E0" w:rsidRDefault="00F11501" w:rsidP="001F1CF5">
      <w:pPr>
        <w:spacing w:after="210"/>
        <w:ind w:left="17" w:right="28" w:hanging="3"/>
        <w:jc w:val="both"/>
        <w:rPr>
          <w:sz w:val="20"/>
        </w:rPr>
      </w:pPr>
      <w:r>
        <w:rPr>
          <w:sz w:val="20"/>
        </w:rPr>
        <w:t>Tento dodatek nabývá platnosti a účinnosti dnem</w:t>
      </w:r>
      <w:r w:rsidR="001F1CF5">
        <w:rPr>
          <w:sz w:val="20"/>
        </w:rPr>
        <w:t xml:space="preserve"> 15.04.2008</w:t>
      </w:r>
    </w:p>
    <w:p w:rsidR="001F1CF5" w:rsidRDefault="001F1CF5" w:rsidP="001F1CF5">
      <w:pPr>
        <w:spacing w:after="210"/>
        <w:ind w:left="17" w:right="28" w:hanging="3"/>
        <w:jc w:val="both"/>
      </w:pPr>
    </w:p>
    <w:p w:rsidR="001F1CF5" w:rsidRDefault="001F1CF5" w:rsidP="001F1CF5">
      <w:pPr>
        <w:spacing w:after="210"/>
        <w:ind w:left="17" w:right="28" w:hanging="3"/>
        <w:jc w:val="both"/>
      </w:pPr>
    </w:p>
    <w:p w:rsidR="001F1CF5" w:rsidRPr="005D41C3" w:rsidRDefault="001F1CF5" w:rsidP="001F1CF5">
      <w:pPr>
        <w:spacing w:after="0"/>
        <w:ind w:left="17" w:right="28" w:hanging="3"/>
        <w:jc w:val="both"/>
        <w:rPr>
          <w:b/>
        </w:rPr>
      </w:pPr>
      <w:bookmarkStart w:id="0" w:name="_GoBack"/>
      <w:r w:rsidRPr="005D41C3">
        <w:rPr>
          <w:b/>
        </w:rPr>
        <w:t xml:space="preserve">Hrádek, domov pro osoby se zdravotním </w:t>
      </w:r>
      <w:r w:rsidRPr="005D41C3">
        <w:rPr>
          <w:b/>
        </w:rPr>
        <w:tab/>
      </w:r>
      <w:r w:rsidRPr="005D41C3">
        <w:rPr>
          <w:b/>
        </w:rPr>
        <w:tab/>
      </w:r>
      <w:r w:rsidRPr="005D41C3">
        <w:rPr>
          <w:b/>
        </w:rPr>
        <w:tab/>
      </w:r>
      <w:r w:rsidRPr="005D41C3">
        <w:rPr>
          <w:b/>
        </w:rPr>
        <w:tab/>
        <w:t>Komerční banka, a.s.</w:t>
      </w:r>
    </w:p>
    <w:p w:rsidR="001F1CF5" w:rsidRPr="005D41C3" w:rsidRDefault="001F1CF5" w:rsidP="001F1CF5">
      <w:pPr>
        <w:spacing w:after="0"/>
        <w:ind w:left="17" w:right="28" w:hanging="3"/>
        <w:jc w:val="both"/>
        <w:rPr>
          <w:b/>
        </w:rPr>
      </w:pPr>
      <w:r w:rsidRPr="005D41C3">
        <w:rPr>
          <w:b/>
        </w:rPr>
        <w:t xml:space="preserve"> postižením, příspěvková organizace</w:t>
      </w:r>
    </w:p>
    <w:bookmarkEnd w:id="0"/>
    <w:p w:rsidR="001F1CF5" w:rsidRDefault="001F1CF5" w:rsidP="001F1CF5">
      <w:pPr>
        <w:spacing w:after="0"/>
        <w:ind w:left="17" w:right="28" w:hanging="3"/>
        <w:jc w:val="both"/>
      </w:pPr>
    </w:p>
    <w:p w:rsidR="001F1CF5" w:rsidRDefault="001F1CF5" w:rsidP="001F1CF5">
      <w:pPr>
        <w:spacing w:after="0"/>
        <w:ind w:left="17" w:right="28" w:hanging="3"/>
        <w:jc w:val="both"/>
      </w:pPr>
    </w:p>
    <w:p w:rsidR="001F1CF5" w:rsidRDefault="001F1CF5" w:rsidP="001F1CF5">
      <w:pPr>
        <w:spacing w:after="0"/>
        <w:ind w:left="17" w:right="28" w:hanging="3"/>
        <w:jc w:val="both"/>
      </w:pPr>
    </w:p>
    <w:p w:rsidR="001F1CF5" w:rsidRDefault="001F1CF5" w:rsidP="001F1CF5">
      <w:pPr>
        <w:spacing w:after="0"/>
        <w:ind w:left="17" w:right="28" w:hanging="3"/>
        <w:jc w:val="both"/>
      </w:pPr>
      <w:r>
        <w:t>Jméno: MGR. ZDEŇKA VLČKOVÁ</w:t>
      </w:r>
      <w:r>
        <w:tab/>
      </w:r>
      <w:r>
        <w:tab/>
      </w:r>
      <w:r>
        <w:tab/>
      </w:r>
      <w:r>
        <w:tab/>
      </w:r>
      <w:r>
        <w:tab/>
        <w:t>Jméno: Vladimíra Blažková</w:t>
      </w:r>
    </w:p>
    <w:p w:rsidR="001F1CF5" w:rsidRDefault="001F1CF5" w:rsidP="001F1CF5">
      <w:pPr>
        <w:spacing w:after="0"/>
        <w:ind w:left="17" w:right="28" w:hanging="3"/>
        <w:jc w:val="both"/>
      </w:pPr>
      <w:r>
        <w:t>Funkce: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Funkce: bankovní poradce</w:t>
      </w:r>
    </w:p>
    <w:p w:rsidR="001F1CF5" w:rsidRDefault="001F1CF5" w:rsidP="001F1CF5">
      <w:pPr>
        <w:spacing w:after="0"/>
        <w:ind w:left="17" w:right="28" w:hanging="3"/>
        <w:jc w:val="both"/>
      </w:pPr>
    </w:p>
    <w:p w:rsidR="001F1CF5" w:rsidRDefault="001F1CF5" w:rsidP="001F1CF5">
      <w:pPr>
        <w:spacing w:after="0"/>
        <w:ind w:left="17" w:right="28" w:hanging="3"/>
        <w:jc w:val="both"/>
      </w:pPr>
    </w:p>
    <w:p w:rsidR="001F1CF5" w:rsidRDefault="001F1CF5" w:rsidP="001F1CF5">
      <w:pPr>
        <w:spacing w:after="0"/>
        <w:ind w:left="17" w:right="28" w:hanging="3"/>
        <w:jc w:val="both"/>
        <w:sectPr w:rsidR="001F1CF5">
          <w:pgSz w:w="11920" w:h="16840"/>
          <w:pgMar w:top="641" w:right="1469" w:bottom="288" w:left="677" w:header="708" w:footer="708" w:gutter="0"/>
          <w:cols w:space="708"/>
        </w:sectPr>
      </w:pPr>
    </w:p>
    <w:p w:rsidR="000F71E0" w:rsidRDefault="000F71E0" w:rsidP="001F1CF5">
      <w:pPr>
        <w:spacing w:after="0"/>
        <w:sectPr w:rsidR="000F71E0">
          <w:type w:val="continuous"/>
          <w:pgSz w:w="11920" w:h="16840"/>
          <w:pgMar w:top="828" w:right="6914" w:bottom="738" w:left="699" w:header="708" w:footer="708" w:gutter="0"/>
          <w:cols w:space="708"/>
        </w:sectPr>
      </w:pPr>
    </w:p>
    <w:p w:rsidR="000F71E0" w:rsidRDefault="000F71E0">
      <w:pPr>
        <w:spacing w:after="0" w:line="290" w:lineRule="auto"/>
        <w:jc w:val="right"/>
      </w:pPr>
    </w:p>
    <w:sectPr w:rsidR="000F71E0">
      <w:type w:val="continuous"/>
      <w:pgSz w:w="11920" w:h="16840"/>
      <w:pgMar w:top="828" w:right="1476" w:bottom="738" w:left="8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679"/>
    <w:multiLevelType w:val="hybridMultilevel"/>
    <w:tmpl w:val="FFAAB6D6"/>
    <w:lvl w:ilvl="0" w:tplc="AC9EB3D8">
      <w:start w:val="2"/>
      <w:numFmt w:val="decimal"/>
      <w:lvlText w:val="%1.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0A2B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8E5F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410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42914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26DA6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48DFA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69FE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ECA27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E0"/>
    <w:rsid w:val="000F71E0"/>
    <w:rsid w:val="001F1CF5"/>
    <w:rsid w:val="003028C5"/>
    <w:rsid w:val="005D41C3"/>
    <w:rsid w:val="00E44051"/>
    <w:rsid w:val="00F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B7DA"/>
  <w15:docId w15:val="{1468A713-597D-46C6-91AE-FE003A10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1"/>
      <w:ind w:left="-50" w:right="-483"/>
      <w:outlineLvl w:val="0"/>
    </w:pPr>
    <w:rPr>
      <w:rFonts w:ascii="Calibri" w:eastAsia="Calibri" w:hAnsi="Calibri" w:cs="Calibri"/>
      <w:color w:val="000000"/>
      <w:sz w:val="8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8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6</cp:revision>
  <dcterms:created xsi:type="dcterms:W3CDTF">2018-04-05T10:22:00Z</dcterms:created>
  <dcterms:modified xsi:type="dcterms:W3CDTF">2018-04-09T07:20:00Z</dcterms:modified>
</cp:coreProperties>
</file>