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1467CA" w:rsidRDefault="00C8270F" w:rsidP="003B6B60">
      <w:pPr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č.</w:t>
      </w:r>
      <w:r w:rsidR="00692CE9">
        <w:rPr>
          <w:rFonts w:ascii="Arial" w:hAnsi="Arial" w:cs="Arial"/>
          <w:b/>
          <w:sz w:val="24"/>
          <w:szCs w:val="24"/>
        </w:rPr>
        <w:t>14</w:t>
      </w:r>
      <w:r w:rsidR="00DF5270">
        <w:rPr>
          <w:rFonts w:ascii="Arial" w:hAnsi="Arial" w:cs="Arial"/>
          <w:b/>
          <w:sz w:val="24"/>
          <w:szCs w:val="24"/>
        </w:rPr>
        <w:t>/2018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starostou města panem Mgr. Jiřím Kučerou a místostarostkou paní Ing. 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Bankovní spojení</w:t>
      </w:r>
      <w:r w:rsidRPr="001467CA">
        <w:rPr>
          <w:rFonts w:ascii="Arial" w:hAnsi="Arial" w:cs="Arial"/>
        </w:rPr>
        <w:t xml:space="preserve">: </w:t>
      </w:r>
      <w:proofErr w:type="spellStart"/>
      <w:r w:rsidR="00084B3B">
        <w:rPr>
          <w:rFonts w:ascii="Arial" w:hAnsi="Arial" w:cs="Arial"/>
        </w:rPr>
        <w:t>xxxxx</w:t>
      </w:r>
      <w:proofErr w:type="spellEnd"/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č.</w:t>
      </w:r>
      <w:r w:rsidR="002D4FCC">
        <w:rPr>
          <w:rFonts w:ascii="Arial" w:hAnsi="Arial" w:cs="Arial"/>
          <w:bCs/>
        </w:rPr>
        <w:t xml:space="preserve"> </w:t>
      </w:r>
      <w:r w:rsidRPr="001467CA">
        <w:rPr>
          <w:rFonts w:ascii="Arial" w:hAnsi="Arial" w:cs="Arial"/>
          <w:bCs/>
        </w:rPr>
        <w:t>účtu</w:t>
      </w:r>
      <w:r w:rsidR="00CE6EBE">
        <w:rPr>
          <w:rFonts w:ascii="Arial" w:hAnsi="Arial" w:cs="Arial"/>
          <w:bCs/>
        </w:rPr>
        <w:t>:</w:t>
      </w:r>
      <w:r w:rsidRPr="001467CA">
        <w:rPr>
          <w:rFonts w:ascii="Arial" w:hAnsi="Arial" w:cs="Arial"/>
          <w:bCs/>
        </w:rPr>
        <w:t xml:space="preserve">  </w:t>
      </w:r>
      <w:proofErr w:type="spellStart"/>
      <w:r w:rsidR="00084B3B">
        <w:rPr>
          <w:rFonts w:ascii="Arial" w:hAnsi="Arial" w:cs="Arial"/>
          <w:bCs/>
        </w:rPr>
        <w:t>xxxxx</w:t>
      </w:r>
      <w:proofErr w:type="spellEnd"/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66762" w:rsidRPr="00AB540D" w:rsidRDefault="00C66762" w:rsidP="00C66762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Domov blahoslavené Bronislavy, </w:t>
      </w:r>
      <w:r>
        <w:rPr>
          <w:rFonts w:ascii="Arial" w:hAnsi="Arial" w:cs="Arial"/>
        </w:rPr>
        <w:t>IČ 736 33 399</w:t>
      </w:r>
      <w:r w:rsidRPr="001467CA">
        <w:rPr>
          <w:rFonts w:ascii="Arial" w:hAnsi="Arial" w:cs="Arial"/>
        </w:rPr>
        <w:t>,</w:t>
      </w:r>
    </w:p>
    <w:p w:rsidR="00C66762" w:rsidRPr="001467CA" w:rsidRDefault="00C66762" w:rsidP="00C667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>
        <w:rPr>
          <w:rFonts w:ascii="Arial" w:hAnsi="Arial" w:cs="Arial"/>
          <w:sz w:val="24"/>
          <w:szCs w:val="24"/>
        </w:rPr>
        <w:t>em Školní 681, 396 01 Humpolec</w:t>
      </w:r>
    </w:p>
    <w:p w:rsidR="00C66762" w:rsidRPr="001467CA" w:rsidRDefault="00C66762" w:rsidP="00C667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zastoupený ředitelem panem Mgr. Janem Výborným, </w:t>
      </w:r>
      <w:r w:rsidRPr="001467CA">
        <w:rPr>
          <w:rFonts w:ascii="Arial" w:hAnsi="Arial" w:cs="Arial"/>
          <w:sz w:val="24"/>
          <w:szCs w:val="24"/>
        </w:rPr>
        <w:t>dle svého prohláše</w:t>
      </w:r>
      <w:r>
        <w:rPr>
          <w:rFonts w:ascii="Arial" w:hAnsi="Arial" w:cs="Arial"/>
          <w:sz w:val="24"/>
          <w:szCs w:val="24"/>
        </w:rPr>
        <w:t>ní k právnímu jednání způsobilý</w:t>
      </w:r>
    </w:p>
    <w:p w:rsidR="00C66762" w:rsidRPr="001467CA" w:rsidRDefault="00C66762" w:rsidP="00C66762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č. účtu: </w:t>
      </w:r>
      <w:proofErr w:type="spellStart"/>
      <w:r w:rsidR="00084B3B">
        <w:rPr>
          <w:rFonts w:ascii="Arial" w:hAnsi="Arial" w:cs="Arial"/>
          <w:color w:val="auto"/>
        </w:rPr>
        <w:t>xxxxx</w:t>
      </w:r>
      <w:proofErr w:type="spellEnd"/>
    </w:p>
    <w:p w:rsidR="00C66762" w:rsidRPr="001467CA" w:rsidRDefault="00C66762" w:rsidP="00C66762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A91ABC" w:rsidRPr="001467CA" w:rsidRDefault="00A91ABC" w:rsidP="00A91ABC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DF5270" w:rsidRPr="00A91ABC" w:rsidRDefault="00DF5270" w:rsidP="00DF5270">
      <w:pPr>
        <w:pStyle w:val="Default"/>
        <w:rPr>
          <w:rFonts w:ascii="Arial" w:hAnsi="Arial" w:cs="Arial"/>
          <w:bCs/>
          <w:color w:val="auto"/>
          <w:sz w:val="32"/>
          <w:szCs w:val="32"/>
        </w:rPr>
      </w:pPr>
    </w:p>
    <w:p w:rsidR="00C8270F" w:rsidRPr="001467CA" w:rsidRDefault="00C8270F" w:rsidP="00F557D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285B66" w:rsidP="00285B6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</w:t>
      </w:r>
      <w:r w:rsidR="00C8270F" w:rsidRPr="001467CA">
        <w:rPr>
          <w:rFonts w:ascii="Arial" w:hAnsi="Arial" w:cs="Arial"/>
          <w:b/>
          <w:bCs/>
          <w:color w:val="auto"/>
        </w:rPr>
        <w:t>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115404" w:rsidRPr="001467CA" w:rsidRDefault="00115404" w:rsidP="00115404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115404" w:rsidRDefault="00115404" w:rsidP="00115404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Poskytovatel se na základě této smlouvy zavazuje pos</w:t>
      </w:r>
      <w:r>
        <w:rPr>
          <w:rFonts w:ascii="Arial" w:hAnsi="Arial" w:cs="Arial"/>
          <w:sz w:val="24"/>
          <w:szCs w:val="24"/>
        </w:rPr>
        <w:t xml:space="preserve">kytnout příjemci dotaci ve výši </w:t>
      </w:r>
      <w:r w:rsidR="00C66762">
        <w:rPr>
          <w:rFonts w:ascii="Arial" w:hAnsi="Arial" w:cs="Arial"/>
          <w:b/>
          <w:sz w:val="24"/>
          <w:szCs w:val="24"/>
        </w:rPr>
        <w:t xml:space="preserve">300.000,-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="00041DEB">
        <w:rPr>
          <w:rFonts w:ascii="Arial" w:hAnsi="Arial" w:cs="Arial"/>
          <w:sz w:val="24"/>
          <w:szCs w:val="24"/>
        </w:rPr>
        <w:t xml:space="preserve"> slovy: </w:t>
      </w:r>
      <w:proofErr w:type="spellStart"/>
      <w:r w:rsidR="00C66762">
        <w:rPr>
          <w:rFonts w:ascii="Arial" w:hAnsi="Arial" w:cs="Arial"/>
          <w:sz w:val="24"/>
          <w:szCs w:val="24"/>
        </w:rPr>
        <w:t>Třistatisíc</w:t>
      </w:r>
      <w:proofErr w:type="spellEnd"/>
      <w:r w:rsidR="00C667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korun českých</w:t>
      </w:r>
      <w:r w:rsidRPr="001467CA">
        <w:rPr>
          <w:rFonts w:ascii="Arial" w:hAnsi="Arial" w:cs="Arial"/>
          <w:sz w:val="24"/>
          <w:szCs w:val="24"/>
        </w:rPr>
        <w:t xml:space="preserve"> (dále jen „dotace“).</w:t>
      </w:r>
    </w:p>
    <w:p w:rsidR="003F5DC5" w:rsidRPr="001467CA" w:rsidRDefault="003F5DC5" w:rsidP="003F5DC5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3F5DC5" w:rsidRDefault="00C66762" w:rsidP="00C66762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54E6C">
        <w:rPr>
          <w:rFonts w:ascii="Arial" w:hAnsi="Arial" w:cs="Arial"/>
          <w:sz w:val="24"/>
          <w:szCs w:val="24"/>
        </w:rPr>
        <w:t xml:space="preserve">Účelem poskytnutí dotace je </w:t>
      </w:r>
      <w:r w:rsidRPr="00354E6C">
        <w:rPr>
          <w:rFonts w:ascii="Arial" w:hAnsi="Arial" w:cs="Arial"/>
          <w:b/>
          <w:sz w:val="24"/>
          <w:szCs w:val="24"/>
        </w:rPr>
        <w:t>úhrada nákladů spojených s provozem domova pro seniory</w:t>
      </w:r>
      <w:r>
        <w:rPr>
          <w:rFonts w:ascii="Arial" w:hAnsi="Arial" w:cs="Arial"/>
          <w:b/>
          <w:sz w:val="24"/>
          <w:szCs w:val="24"/>
        </w:rPr>
        <w:t xml:space="preserve"> – úhrada provozních nákladů</w:t>
      </w:r>
      <w:r w:rsidRPr="00354E6C">
        <w:rPr>
          <w:rFonts w:ascii="Arial" w:hAnsi="Arial" w:cs="Arial"/>
          <w:b/>
          <w:sz w:val="24"/>
          <w:szCs w:val="24"/>
        </w:rPr>
        <w:t xml:space="preserve"> (energie,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4E6C">
        <w:rPr>
          <w:rFonts w:ascii="Arial" w:hAnsi="Arial" w:cs="Arial"/>
          <w:b/>
          <w:sz w:val="24"/>
          <w:szCs w:val="24"/>
        </w:rPr>
        <w:t>materiál,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4E6C">
        <w:rPr>
          <w:rFonts w:ascii="Arial" w:hAnsi="Arial" w:cs="Arial"/>
          <w:b/>
          <w:sz w:val="24"/>
          <w:szCs w:val="24"/>
        </w:rPr>
        <w:t>nákup DDHM)</w:t>
      </w:r>
      <w:r w:rsidRPr="00354E6C">
        <w:rPr>
          <w:rFonts w:ascii="Arial" w:hAnsi="Arial" w:cs="Arial"/>
          <w:sz w:val="24"/>
          <w:szCs w:val="24"/>
        </w:rPr>
        <w:t xml:space="preserve"> (dále také „akce“). </w:t>
      </w:r>
    </w:p>
    <w:p w:rsidR="00C66762" w:rsidRPr="00C66762" w:rsidRDefault="00C66762" w:rsidP="00C66762">
      <w:pPr>
        <w:pStyle w:val="Odstavecseseznamem"/>
        <w:rPr>
          <w:rFonts w:ascii="Arial" w:hAnsi="Arial" w:cs="Arial"/>
          <w:sz w:val="24"/>
          <w:szCs w:val="24"/>
        </w:rPr>
      </w:pPr>
    </w:p>
    <w:p w:rsidR="00C66762" w:rsidRPr="00C66762" w:rsidRDefault="00C66762" w:rsidP="00C66762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115404" w:rsidRPr="003F5DC5" w:rsidRDefault="00115404" w:rsidP="003F5DC5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F5DC5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115404" w:rsidRPr="00115404" w:rsidRDefault="00115404" w:rsidP="00115404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  <w:r w:rsidRPr="00115404">
        <w:rPr>
          <w:rFonts w:ascii="Arial" w:hAnsi="Arial" w:cs="Arial"/>
          <w:sz w:val="24"/>
          <w:szCs w:val="24"/>
        </w:rPr>
        <w:t xml:space="preserve"> 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hmotného majetku dle § 26 odst. 2 zákona č. 586/1992 Sb., o daních z příjmů, ve znění pozdějších předpisů (dále jen „cit. zákona“),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pořízením nehmotného majetku dle § 32a odst. 1 a 2 cit. zákona,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technickým zhodnocením, rekonstrukcí a modernizací ve smyslu § 33 cit. zákona.</w:t>
      </w:r>
    </w:p>
    <w:p w:rsidR="0041195B" w:rsidRPr="001467CA" w:rsidRDefault="0041195B" w:rsidP="00285B66">
      <w:pPr>
        <w:pStyle w:val="Default"/>
        <w:jc w:val="center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dotaci přijímá a zavazuje se ji použít výlučně v souladu s účelem poskytnutí dotace dle čl. I. odst. 2 a 4 této smlouvy, v souladu s podmínkami stanovenými v této smlouvě a v souladu s „Pravidly pro poskytování dotací z rozpočtu města</w:t>
      </w:r>
      <w:r w:rsidR="00D64C52">
        <w:rPr>
          <w:rFonts w:ascii="Arial" w:hAnsi="Arial" w:cs="Arial"/>
          <w:sz w:val="24"/>
          <w:szCs w:val="24"/>
        </w:rPr>
        <w:t>“</w:t>
      </w:r>
      <w:r w:rsidRPr="001467CA">
        <w:rPr>
          <w:rFonts w:ascii="Arial" w:hAnsi="Arial" w:cs="Arial"/>
          <w:sz w:val="24"/>
          <w:szCs w:val="24"/>
        </w:rPr>
        <w:t xml:space="preserve"> schválenými Zastupitelstvem města usnesením č. </w:t>
      </w:r>
      <w:r w:rsidR="00DF5270">
        <w:rPr>
          <w:rFonts w:ascii="Arial" w:hAnsi="Arial" w:cs="Arial"/>
          <w:sz w:val="24"/>
          <w:szCs w:val="24"/>
        </w:rPr>
        <w:t>423/18/ZM</w:t>
      </w:r>
      <w:r w:rsidR="00D64C52">
        <w:rPr>
          <w:rFonts w:ascii="Arial" w:hAnsi="Arial" w:cs="Arial"/>
          <w:sz w:val="24"/>
          <w:szCs w:val="24"/>
        </w:rPr>
        <w:t>/2017 ze dne 20.9.2017 a dodatkem</w:t>
      </w:r>
      <w:r w:rsidR="00F557D1">
        <w:rPr>
          <w:rFonts w:ascii="Arial" w:hAnsi="Arial" w:cs="Arial"/>
          <w:sz w:val="24"/>
          <w:szCs w:val="24"/>
        </w:rPr>
        <w:t xml:space="preserve"> č.1</w:t>
      </w:r>
      <w:r w:rsidR="00D64C52">
        <w:rPr>
          <w:rFonts w:ascii="Arial" w:hAnsi="Arial" w:cs="Arial"/>
          <w:sz w:val="24"/>
          <w:szCs w:val="24"/>
        </w:rPr>
        <w:t xml:space="preserve"> k P</w:t>
      </w:r>
      <w:r w:rsidR="00DF5270">
        <w:rPr>
          <w:rFonts w:ascii="Arial" w:hAnsi="Arial" w:cs="Arial"/>
          <w:sz w:val="24"/>
          <w:szCs w:val="24"/>
        </w:rPr>
        <w:t>ravidlům pro poskytnutí dotací z rozpočtu města schváleným Zastupitelstvem města usnesením č. 467/21/ZM/2018 ze dne 21.2.2018.</w:t>
      </w:r>
      <w:r w:rsidRPr="001467CA">
        <w:rPr>
          <w:rFonts w:ascii="Arial" w:hAnsi="Arial" w:cs="Arial"/>
          <w:sz w:val="24"/>
          <w:szCs w:val="24"/>
        </w:rPr>
        <w:t xml:space="preserve">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6B4F06">
        <w:rPr>
          <w:rFonts w:ascii="Arial" w:hAnsi="Arial" w:cs="Arial"/>
          <w:b/>
          <w:sz w:val="24"/>
          <w:szCs w:val="24"/>
        </w:rPr>
        <w:t>8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r w:rsidRPr="001467CA">
        <w:rPr>
          <w:rFonts w:ascii="Arial" w:hAnsi="Arial" w:cs="Arial"/>
          <w:b/>
          <w:sz w:val="24"/>
          <w:szCs w:val="24"/>
        </w:rPr>
        <w:t>15.1.</w:t>
      </w:r>
      <w:r w:rsidR="006B4F06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3F5DC5">
        <w:rPr>
          <w:rFonts w:ascii="Arial" w:hAnsi="Arial" w:cs="Arial"/>
          <w:sz w:val="24"/>
          <w:szCs w:val="24"/>
        </w:rPr>
        <w:t>t</w:t>
      </w:r>
      <w:r w:rsidR="00C66762">
        <w:rPr>
          <w:rFonts w:ascii="Arial" w:hAnsi="Arial" w:cs="Arial"/>
          <w:sz w:val="24"/>
          <w:szCs w:val="24"/>
        </w:rPr>
        <w:t>o smlouvy byly nižší než 300.000</w:t>
      </w:r>
      <w:r w:rsidR="00A91ABC">
        <w:rPr>
          <w:rFonts w:ascii="Arial" w:hAnsi="Arial" w:cs="Arial"/>
          <w:sz w:val="24"/>
          <w:szCs w:val="24"/>
        </w:rPr>
        <w:t xml:space="preserve">,- Kč (slovy: </w:t>
      </w:r>
      <w:proofErr w:type="spellStart"/>
      <w:r w:rsidR="00C66762">
        <w:rPr>
          <w:rFonts w:ascii="Arial" w:hAnsi="Arial" w:cs="Arial"/>
          <w:sz w:val="24"/>
          <w:szCs w:val="24"/>
        </w:rPr>
        <w:t>Třistatisíc</w:t>
      </w:r>
      <w:proofErr w:type="spellEnd"/>
      <w:r w:rsidR="00C66762">
        <w:rPr>
          <w:rFonts w:ascii="Arial" w:hAnsi="Arial" w:cs="Arial"/>
          <w:sz w:val="24"/>
          <w:szCs w:val="24"/>
        </w:rPr>
        <w:t xml:space="preserve"> </w:t>
      </w:r>
      <w:r w:rsidR="00F557D1">
        <w:rPr>
          <w:rFonts w:ascii="Arial" w:hAnsi="Arial" w:cs="Arial"/>
          <w:sz w:val="24"/>
          <w:szCs w:val="24"/>
        </w:rPr>
        <w:t>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 xml:space="preserve">. § 22 zákona č. </w:t>
      </w:r>
      <w:r w:rsidR="004B43EA" w:rsidRPr="001467CA">
        <w:rPr>
          <w:rFonts w:ascii="Arial" w:hAnsi="Arial" w:cs="Arial"/>
          <w:sz w:val="24"/>
          <w:szCs w:val="24"/>
        </w:rPr>
        <w:lastRenderedPageBreak/>
        <w:t>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r w:rsidRPr="002D4FCC">
        <w:rPr>
          <w:rFonts w:ascii="Arial" w:hAnsi="Arial" w:cs="Arial"/>
          <w:b/>
          <w:sz w:val="24"/>
          <w:szCs w:val="24"/>
        </w:rPr>
        <w:t xml:space="preserve">č. </w:t>
      </w:r>
      <w:r w:rsidR="00084B3B"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B17B2F">
        <w:rPr>
          <w:rFonts w:ascii="Arial" w:hAnsi="Arial" w:cs="Arial"/>
          <w:sz w:val="24"/>
          <w:szCs w:val="24"/>
        </w:rPr>
        <w:t>468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B17B2F">
        <w:rPr>
          <w:rFonts w:ascii="Arial" w:hAnsi="Arial" w:cs="Arial"/>
          <w:sz w:val="24"/>
          <w:szCs w:val="24"/>
        </w:rPr>
        <w:t>21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6B4F06">
        <w:rPr>
          <w:rFonts w:ascii="Arial" w:hAnsi="Arial" w:cs="Arial"/>
          <w:sz w:val="24"/>
          <w:szCs w:val="24"/>
        </w:rPr>
        <w:t>8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r w:rsidR="00B17B2F">
        <w:rPr>
          <w:rFonts w:ascii="Arial" w:hAnsi="Arial" w:cs="Arial"/>
          <w:sz w:val="24"/>
          <w:szCs w:val="24"/>
        </w:rPr>
        <w:t>21.2</w:t>
      </w:r>
      <w:r w:rsidR="002D4FCC" w:rsidRPr="00990FE8">
        <w:rPr>
          <w:rFonts w:ascii="Arial" w:hAnsi="Arial" w:cs="Arial"/>
          <w:sz w:val="24"/>
          <w:szCs w:val="24"/>
        </w:rPr>
        <w:t>.201</w:t>
      </w:r>
      <w:r w:rsidR="006B4F06">
        <w:rPr>
          <w:rFonts w:ascii="Arial" w:hAnsi="Arial" w:cs="Arial"/>
          <w:sz w:val="24"/>
          <w:szCs w:val="24"/>
        </w:rPr>
        <w:t>8</w:t>
      </w:r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2D4FCC" w:rsidRPr="002D4FCC" w:rsidRDefault="002D4FCC" w:rsidP="00D43F1B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F557D1" w:rsidRDefault="00F557D1" w:rsidP="00B00B2F">
      <w:pPr>
        <w:jc w:val="both"/>
        <w:rPr>
          <w:rFonts w:ascii="Arial" w:hAnsi="Arial" w:cs="Arial"/>
          <w:sz w:val="24"/>
          <w:szCs w:val="24"/>
        </w:rPr>
      </w:pPr>
    </w:p>
    <w:p w:rsidR="00B00B2F" w:rsidRPr="001467CA" w:rsidRDefault="00D64C52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Humpolci dne 9.3</w:t>
      </w:r>
      <w:r w:rsidR="00F557D1">
        <w:rPr>
          <w:rFonts w:ascii="Arial" w:hAnsi="Arial" w:cs="Arial"/>
          <w:sz w:val="24"/>
          <w:szCs w:val="24"/>
        </w:rPr>
        <w:t>.2018</w:t>
      </w:r>
    </w:p>
    <w:p w:rsidR="00A22331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F557D1" w:rsidRDefault="00F557D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</w:t>
      </w:r>
      <w:r w:rsidR="00F557D1">
        <w:rPr>
          <w:rFonts w:ascii="Arial" w:hAnsi="Arial" w:cs="Arial"/>
          <w:sz w:val="24"/>
          <w:szCs w:val="24"/>
        </w:rPr>
        <w:t xml:space="preserve">                              </w:t>
      </w:r>
      <w:r w:rsidRPr="001467CA">
        <w:rPr>
          <w:rFonts w:ascii="Arial" w:hAnsi="Arial" w:cs="Arial"/>
          <w:sz w:val="24"/>
          <w:szCs w:val="24"/>
        </w:rPr>
        <w:t xml:space="preserve"> ………………….………………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22331" w:rsidRPr="001467CA">
        <w:rPr>
          <w:rFonts w:ascii="Arial" w:hAnsi="Arial" w:cs="Arial"/>
          <w:sz w:val="24"/>
          <w:szCs w:val="24"/>
        </w:rPr>
        <w:t xml:space="preserve">Město Humpolec      </w:t>
      </w:r>
      <w:r w:rsidR="00F557D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41C6A">
        <w:rPr>
          <w:rFonts w:ascii="Arial" w:hAnsi="Arial" w:cs="Arial"/>
          <w:sz w:val="24"/>
          <w:szCs w:val="24"/>
        </w:rPr>
        <w:t xml:space="preserve">                    </w:t>
      </w:r>
      <w:r w:rsidR="00C66762">
        <w:rPr>
          <w:rFonts w:ascii="Arial" w:hAnsi="Arial" w:cs="Arial"/>
          <w:sz w:val="24"/>
          <w:szCs w:val="24"/>
        </w:rPr>
        <w:t>Domov blahoslavené Bronislavy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Mgr. Jiří </w:t>
      </w:r>
      <w:proofErr w:type="spellStart"/>
      <w:r>
        <w:rPr>
          <w:rFonts w:ascii="Arial" w:hAnsi="Arial" w:cs="Arial"/>
          <w:sz w:val="24"/>
          <w:szCs w:val="24"/>
        </w:rPr>
        <w:t>Kučera,starosta</w:t>
      </w:r>
      <w:proofErr w:type="spellEnd"/>
      <w:r w:rsidR="00A22331" w:rsidRPr="001467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860EC2">
        <w:rPr>
          <w:rFonts w:ascii="Arial" w:hAnsi="Arial" w:cs="Arial"/>
          <w:sz w:val="24"/>
          <w:szCs w:val="24"/>
        </w:rPr>
        <w:t xml:space="preserve">    </w:t>
      </w:r>
      <w:r w:rsidR="00C66762">
        <w:rPr>
          <w:rFonts w:ascii="Arial" w:hAnsi="Arial" w:cs="Arial"/>
          <w:sz w:val="24"/>
          <w:szCs w:val="24"/>
        </w:rPr>
        <w:t xml:space="preserve">    Mgr. Jan Výborný, ředitel</w:t>
      </w:r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C60EA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3F5DC5">
        <w:rPr>
          <w:rFonts w:ascii="Arial" w:hAnsi="Arial" w:cs="Arial"/>
          <w:sz w:val="24"/>
          <w:szCs w:val="24"/>
        </w:rPr>
        <w:t xml:space="preserve">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331" w:rsidRPr="001467CA">
        <w:rPr>
          <w:rFonts w:ascii="Arial" w:hAnsi="Arial" w:cs="Arial"/>
          <w:sz w:val="24"/>
          <w:szCs w:val="24"/>
        </w:rPr>
        <w:t xml:space="preserve"> Město Humpolec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A22331" w:rsidRPr="001467CA">
        <w:rPr>
          <w:rFonts w:ascii="Arial" w:hAnsi="Arial" w:cs="Arial"/>
          <w:sz w:val="24"/>
          <w:szCs w:val="24"/>
        </w:rPr>
        <w:t xml:space="preserve">Ing. Lenka </w:t>
      </w:r>
      <w:proofErr w:type="spellStart"/>
      <w:r w:rsidR="00A22331" w:rsidRPr="001467CA">
        <w:rPr>
          <w:rFonts w:ascii="Arial" w:hAnsi="Arial" w:cs="Arial"/>
          <w:sz w:val="24"/>
          <w:szCs w:val="24"/>
        </w:rPr>
        <w:t>Bartáková</w:t>
      </w:r>
      <w:r>
        <w:rPr>
          <w:rFonts w:ascii="Arial" w:hAnsi="Arial" w:cs="Arial"/>
          <w:sz w:val="24"/>
          <w:szCs w:val="24"/>
        </w:rPr>
        <w:t>,místostarostka</w:t>
      </w:r>
      <w:proofErr w:type="spellEnd"/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A22331" w:rsidRPr="001467CA" w:rsidRDefault="00285B66" w:rsidP="00A223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2A" w:rsidRDefault="0076012A" w:rsidP="00B00B2F">
      <w:pPr>
        <w:spacing w:after="0" w:line="240" w:lineRule="auto"/>
      </w:pPr>
      <w:r>
        <w:separator/>
      </w:r>
    </w:p>
  </w:endnote>
  <w:endnote w:type="continuationSeparator" w:id="0">
    <w:p w:rsidR="0076012A" w:rsidRDefault="0076012A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B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2A" w:rsidRDefault="0076012A" w:rsidP="00B00B2F">
      <w:pPr>
        <w:spacing w:after="0" w:line="240" w:lineRule="auto"/>
      </w:pPr>
      <w:r>
        <w:separator/>
      </w:r>
    </w:p>
  </w:footnote>
  <w:footnote w:type="continuationSeparator" w:id="0">
    <w:p w:rsidR="0076012A" w:rsidRDefault="0076012A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1DEB"/>
    <w:rsid w:val="000460E4"/>
    <w:rsid w:val="000625A0"/>
    <w:rsid w:val="00084B3B"/>
    <w:rsid w:val="0009559D"/>
    <w:rsid w:val="00115404"/>
    <w:rsid w:val="001467CA"/>
    <w:rsid w:val="001A6080"/>
    <w:rsid w:val="00225B4B"/>
    <w:rsid w:val="00260C24"/>
    <w:rsid w:val="00262826"/>
    <w:rsid w:val="00285B66"/>
    <w:rsid w:val="002C3FFD"/>
    <w:rsid w:val="002D4FCC"/>
    <w:rsid w:val="002F0570"/>
    <w:rsid w:val="002F601C"/>
    <w:rsid w:val="0035661A"/>
    <w:rsid w:val="00393940"/>
    <w:rsid w:val="003B6B60"/>
    <w:rsid w:val="003D4D82"/>
    <w:rsid w:val="003E599A"/>
    <w:rsid w:val="003F5DC5"/>
    <w:rsid w:val="0041195B"/>
    <w:rsid w:val="00465B3F"/>
    <w:rsid w:val="00484642"/>
    <w:rsid w:val="004B43EA"/>
    <w:rsid w:val="004B552F"/>
    <w:rsid w:val="004C2599"/>
    <w:rsid w:val="00556556"/>
    <w:rsid w:val="005A0422"/>
    <w:rsid w:val="005A66B1"/>
    <w:rsid w:val="005A7EB9"/>
    <w:rsid w:val="005C60EA"/>
    <w:rsid w:val="00602F35"/>
    <w:rsid w:val="00630979"/>
    <w:rsid w:val="006516DE"/>
    <w:rsid w:val="00665DDC"/>
    <w:rsid w:val="00692CE9"/>
    <w:rsid w:val="006B4F06"/>
    <w:rsid w:val="006D516F"/>
    <w:rsid w:val="00704CAD"/>
    <w:rsid w:val="00723573"/>
    <w:rsid w:val="0076012A"/>
    <w:rsid w:val="007672FC"/>
    <w:rsid w:val="007936C5"/>
    <w:rsid w:val="007A5ADF"/>
    <w:rsid w:val="007D221B"/>
    <w:rsid w:val="007D445D"/>
    <w:rsid w:val="007D5DE2"/>
    <w:rsid w:val="008551D6"/>
    <w:rsid w:val="00860EC2"/>
    <w:rsid w:val="00893448"/>
    <w:rsid w:val="00893C61"/>
    <w:rsid w:val="008A3FC4"/>
    <w:rsid w:val="008C6D3E"/>
    <w:rsid w:val="008F0B4A"/>
    <w:rsid w:val="008F6B6C"/>
    <w:rsid w:val="00934D8E"/>
    <w:rsid w:val="009354C6"/>
    <w:rsid w:val="00954786"/>
    <w:rsid w:val="009777C1"/>
    <w:rsid w:val="00990FE8"/>
    <w:rsid w:val="009A3FAD"/>
    <w:rsid w:val="009B3850"/>
    <w:rsid w:val="009B4CC5"/>
    <w:rsid w:val="009C6A77"/>
    <w:rsid w:val="009D4778"/>
    <w:rsid w:val="009F5B14"/>
    <w:rsid w:val="00A04590"/>
    <w:rsid w:val="00A1681B"/>
    <w:rsid w:val="00A22331"/>
    <w:rsid w:val="00A2313A"/>
    <w:rsid w:val="00A91ABC"/>
    <w:rsid w:val="00A97744"/>
    <w:rsid w:val="00B00B2F"/>
    <w:rsid w:val="00B17B2F"/>
    <w:rsid w:val="00B83E93"/>
    <w:rsid w:val="00BE2F84"/>
    <w:rsid w:val="00C36D21"/>
    <w:rsid w:val="00C63D1F"/>
    <w:rsid w:val="00C66762"/>
    <w:rsid w:val="00C8270F"/>
    <w:rsid w:val="00C952AB"/>
    <w:rsid w:val="00CC61BC"/>
    <w:rsid w:val="00CE6EBE"/>
    <w:rsid w:val="00D223B5"/>
    <w:rsid w:val="00D43F1B"/>
    <w:rsid w:val="00D64C52"/>
    <w:rsid w:val="00DC086F"/>
    <w:rsid w:val="00DF5270"/>
    <w:rsid w:val="00E03BE8"/>
    <w:rsid w:val="00E14682"/>
    <w:rsid w:val="00E8544D"/>
    <w:rsid w:val="00EC1927"/>
    <w:rsid w:val="00F116DB"/>
    <w:rsid w:val="00F266C6"/>
    <w:rsid w:val="00F345E4"/>
    <w:rsid w:val="00F41C6A"/>
    <w:rsid w:val="00F557D1"/>
    <w:rsid w:val="00F63BFE"/>
    <w:rsid w:val="00F728A9"/>
    <w:rsid w:val="00FB2416"/>
    <w:rsid w:val="00FB30F3"/>
    <w:rsid w:val="00FB5133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6E058-F44B-446A-9BF3-4EE0D9D3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1809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3</cp:revision>
  <cp:lastPrinted>2018-03-06T09:45:00Z</cp:lastPrinted>
  <dcterms:created xsi:type="dcterms:W3CDTF">2018-03-06T09:45:00Z</dcterms:created>
  <dcterms:modified xsi:type="dcterms:W3CDTF">2018-04-09T14:16:00Z</dcterms:modified>
</cp:coreProperties>
</file>