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E7B" w:rsidRDefault="0005608B">
      <w:pPr>
        <w:pStyle w:val="Bodytext30"/>
        <w:framePr w:wrap="none" w:vAnchor="page" w:hAnchor="page" w:x="1612" w:y="1411"/>
        <w:shd w:val="clear" w:color="auto" w:fill="auto"/>
        <w:spacing w:after="0"/>
      </w:pPr>
      <w:r>
        <w:rPr>
          <w:lang w:val="cs-CZ" w:eastAsia="cs-CZ" w:bidi="cs-CZ"/>
        </w:rPr>
        <w:t>14</w:t>
      </w:r>
      <w:r w:rsidR="00607584">
        <w:rPr>
          <w:lang w:val="cs-CZ" w:eastAsia="cs-CZ" w:bidi="cs-CZ"/>
        </w:rPr>
        <w:t>th</w:t>
      </w:r>
      <w:r>
        <w:rPr>
          <w:lang w:val="cs-CZ" w:eastAsia="cs-CZ" w:bidi="cs-CZ"/>
        </w:rPr>
        <w:t xml:space="preserve"> August 2008</w:t>
      </w:r>
    </w:p>
    <w:p w:rsidR="00165E7B" w:rsidRDefault="0005608B">
      <w:pPr>
        <w:pStyle w:val="Bodytext30"/>
        <w:framePr w:w="8285" w:h="715" w:hRule="exact" w:wrap="none" w:vAnchor="page" w:hAnchor="page" w:x="1612" w:y="2308"/>
        <w:shd w:val="clear" w:color="auto" w:fill="auto"/>
        <w:spacing w:after="220"/>
      </w:pPr>
      <w:r>
        <w:t>SUBJECT TO SIGNED CONTRACT</w:t>
      </w:r>
    </w:p>
    <w:p w:rsidR="00165E7B" w:rsidRDefault="0005608B">
      <w:pPr>
        <w:pStyle w:val="Bodytext30"/>
        <w:framePr w:w="8285" w:h="715" w:hRule="exact" w:wrap="none" w:vAnchor="page" w:hAnchor="page" w:x="1612" w:y="2308"/>
        <w:shd w:val="clear" w:color="auto" w:fill="auto"/>
        <w:spacing w:after="0"/>
        <w:ind w:left="20"/>
        <w:jc w:val="center"/>
      </w:pPr>
      <w:r>
        <w:t>Proposed Terms of Agreement relating to</w:t>
      </w:r>
    </w:p>
    <w:p w:rsidR="00165E7B" w:rsidRDefault="0005608B">
      <w:pPr>
        <w:pStyle w:val="Bodytext30"/>
        <w:framePr w:w="8285" w:h="720" w:hRule="exact" w:wrap="none" w:vAnchor="page" w:hAnchor="page" w:x="1612" w:y="3205"/>
        <w:shd w:val="clear" w:color="auto" w:fill="auto"/>
        <w:spacing w:after="0"/>
        <w:ind w:left="20"/>
        <w:jc w:val="center"/>
      </w:pPr>
      <w:r>
        <w:rPr>
          <w:rStyle w:val="Bodytext295pt"/>
        </w:rPr>
        <w:t>“JESUS CHRIST SUPERSTAR”</w:t>
      </w:r>
      <w:r>
        <w:rPr>
          <w:rStyle w:val="Bodytext295pt"/>
        </w:rPr>
        <w:br/>
        <w:t>music by Andrew Lloyd Webber, lyrics by Tim Rice</w:t>
      </w:r>
      <w:r>
        <w:rPr>
          <w:rStyle w:val="Bodytext295pt"/>
        </w:rPr>
        <w:br/>
        <w:t>(“The Play”)</w:t>
      </w:r>
    </w:p>
    <w:p w:rsidR="00165E7B" w:rsidRDefault="0005608B">
      <w:pPr>
        <w:pStyle w:val="Bodytext30"/>
        <w:framePr w:w="2438" w:h="959" w:hRule="exact" w:wrap="none" w:vAnchor="page" w:hAnchor="page" w:x="1607" w:y="4332"/>
        <w:shd w:val="clear" w:color="auto" w:fill="auto"/>
        <w:spacing w:after="0" w:line="226" w:lineRule="exact"/>
      </w:pPr>
      <w:r>
        <w:t>The Really Useful Group Ltd., 22 Tower Street,</w:t>
      </w:r>
    </w:p>
    <w:p w:rsidR="00165E7B" w:rsidRDefault="0005608B">
      <w:pPr>
        <w:pStyle w:val="Bodytext30"/>
        <w:framePr w:w="2438" w:h="959" w:hRule="exact" w:wrap="none" w:vAnchor="page" w:hAnchor="page" w:x="1607" w:y="4332"/>
        <w:shd w:val="clear" w:color="auto" w:fill="auto"/>
        <w:spacing w:after="0" w:line="226" w:lineRule="exact"/>
      </w:pPr>
      <w:r>
        <w:t>LONDON WC2H 9NS UNITED KINGDOM</w:t>
      </w:r>
    </w:p>
    <w:p w:rsidR="00165E7B" w:rsidRDefault="0005608B">
      <w:pPr>
        <w:pStyle w:val="Bodytext30"/>
        <w:framePr w:w="8285" w:h="1176" w:hRule="exact" w:wrap="none" w:vAnchor="page" w:hAnchor="page" w:x="1612" w:y="4099"/>
        <w:shd w:val="clear" w:color="auto" w:fill="auto"/>
        <w:spacing w:after="0" w:line="221" w:lineRule="exact"/>
        <w:ind w:left="3729"/>
      </w:pPr>
      <w:r>
        <w:t>Between</w:t>
      </w:r>
    </w:p>
    <w:p w:rsidR="00165E7B" w:rsidRDefault="0005608B">
      <w:pPr>
        <w:pStyle w:val="Bodytext30"/>
        <w:framePr w:w="8285" w:h="1176" w:hRule="exact" w:wrap="none" w:vAnchor="page" w:hAnchor="page" w:x="1612" w:y="4099"/>
        <w:shd w:val="clear" w:color="auto" w:fill="auto"/>
        <w:spacing w:after="0" w:line="221" w:lineRule="exact"/>
        <w:ind w:left="3729" w:right="1400"/>
      </w:pPr>
      <w:r>
        <w:rPr>
          <w:lang w:val="cs-CZ" w:eastAsia="cs-CZ" w:bidi="cs-CZ"/>
        </w:rPr>
        <w:t>Hudební divadlo Karlín</w:t>
      </w:r>
      <w:r>
        <w:rPr>
          <w:lang w:val="cs-CZ" w:eastAsia="cs-CZ" w:bidi="cs-CZ"/>
        </w:rPr>
        <w:br/>
        <w:t>Křižíkova 10</w:t>
      </w:r>
      <w:r>
        <w:rPr>
          <w:lang w:val="cs-CZ" w:eastAsia="cs-CZ" w:bidi="cs-CZ"/>
        </w:rPr>
        <w:br/>
        <w:t xml:space="preserve">180 00 </w:t>
      </w:r>
      <w:r>
        <w:t xml:space="preserve">Prague </w:t>
      </w:r>
      <w:r>
        <w:rPr>
          <w:lang w:val="cs-CZ" w:eastAsia="cs-CZ" w:bidi="cs-CZ"/>
        </w:rPr>
        <w:t>8</w:t>
      </w:r>
      <w:r>
        <w:rPr>
          <w:lang w:val="cs-CZ" w:eastAsia="cs-CZ" w:bidi="cs-CZ"/>
        </w:rPr>
        <w:br/>
      </w:r>
      <w:r>
        <w:t>CZECH REPUBLIC</w:t>
      </w:r>
    </w:p>
    <w:p w:rsidR="00165E7B" w:rsidRDefault="0005608B">
      <w:pPr>
        <w:pStyle w:val="Bodytext30"/>
        <w:framePr w:w="8285" w:h="950" w:hRule="exact" w:wrap="none" w:vAnchor="page" w:hAnchor="page" w:x="1612" w:y="5268"/>
        <w:shd w:val="clear" w:color="auto" w:fill="auto"/>
        <w:tabs>
          <w:tab w:val="left" w:pos="4963"/>
        </w:tabs>
        <w:spacing w:after="0" w:line="446" w:lineRule="exact"/>
        <w:jc w:val="both"/>
      </w:pPr>
      <w:r>
        <w:t>(“the Licensor”)</w:t>
      </w:r>
      <w:r>
        <w:tab/>
        <w:t>(“the Licensee”)</w:t>
      </w:r>
    </w:p>
    <w:p w:rsidR="00165E7B" w:rsidRDefault="0005608B">
      <w:pPr>
        <w:pStyle w:val="Bodytext30"/>
        <w:framePr w:w="8285" w:h="950" w:hRule="exact" w:wrap="none" w:vAnchor="page" w:hAnchor="page" w:x="1612" w:y="5268"/>
        <w:shd w:val="clear" w:color="auto" w:fill="auto"/>
        <w:tabs>
          <w:tab w:val="left" w:pos="2300"/>
        </w:tabs>
        <w:spacing w:after="0" w:line="446" w:lineRule="exact"/>
        <w:jc w:val="both"/>
      </w:pPr>
      <w:r>
        <w:t>TERM</w:t>
      </w:r>
      <w:r>
        <w:tab/>
        <w:t>from 1</w:t>
      </w:r>
      <w:r>
        <w:rPr>
          <w:vertAlign w:val="superscript"/>
        </w:rPr>
        <w:t>st</w:t>
      </w:r>
      <w:r>
        <w:t xml:space="preserve"> September 2009 to 30</w:t>
      </w:r>
      <w:r>
        <w:rPr>
          <w:vertAlign w:val="superscript"/>
        </w:rPr>
        <w:t>Ul</w:t>
      </w:r>
      <w:r>
        <w:t xml:space="preserve"> June 2010 (“the Term”)</w:t>
      </w:r>
    </w:p>
    <w:p w:rsidR="00165E7B" w:rsidRDefault="0005608B">
      <w:pPr>
        <w:pStyle w:val="Bodytext30"/>
        <w:framePr w:w="8285" w:h="2064" w:hRule="exact" w:wrap="none" w:vAnchor="page" w:hAnchor="page" w:x="1612" w:y="6364"/>
        <w:shd w:val="clear" w:color="auto" w:fill="auto"/>
        <w:tabs>
          <w:tab w:val="left" w:pos="2300"/>
        </w:tabs>
        <w:spacing w:after="220"/>
        <w:jc w:val="both"/>
      </w:pPr>
      <w:r>
        <w:t>TERRITORY</w:t>
      </w:r>
      <w:r>
        <w:tab/>
        <w:t>Czech Republic</w:t>
      </w:r>
    </w:p>
    <w:p w:rsidR="00165E7B" w:rsidRDefault="0005608B">
      <w:pPr>
        <w:pStyle w:val="Bodytext30"/>
        <w:framePr w:w="8285" w:h="2064" w:hRule="exact" w:wrap="none" w:vAnchor="page" w:hAnchor="page" w:x="1612" w:y="6364"/>
        <w:shd w:val="clear" w:color="auto" w:fill="auto"/>
        <w:spacing w:after="0"/>
        <w:jc w:val="both"/>
      </w:pPr>
      <w:r>
        <w:t>RIGHTS GRANTED The non-exclusive right during the Term to present 120 professional,</w:t>
      </w:r>
    </w:p>
    <w:p w:rsidR="00165E7B" w:rsidRDefault="0005608B">
      <w:pPr>
        <w:pStyle w:val="Bodytext30"/>
        <w:framePr w:w="8285" w:h="2064" w:hRule="exact" w:wrap="none" w:vAnchor="page" w:hAnchor="page" w:x="1612" w:y="6364"/>
        <w:shd w:val="clear" w:color="auto" w:fill="auto"/>
        <w:tabs>
          <w:tab w:val="left" w:pos="4736"/>
        </w:tabs>
        <w:spacing w:after="228" w:line="230" w:lineRule="exact"/>
        <w:ind w:left="2360"/>
      </w:pPr>
      <w:r>
        <w:t xml:space="preserve">non-replica, folly staged performances of the Play at </w:t>
      </w:r>
      <w:r>
        <w:rPr>
          <w:lang w:val="cs-CZ" w:eastAsia="cs-CZ" w:bidi="cs-CZ"/>
        </w:rPr>
        <w:t xml:space="preserve">Hudební divadlo Karlín, </w:t>
      </w:r>
      <w:r>
        <w:t>Prague (900 seats).</w:t>
      </w:r>
      <w:r>
        <w:tab/>
        <w:t>.</w:t>
      </w:r>
    </w:p>
    <w:p w:rsidR="00165E7B" w:rsidRDefault="0005608B">
      <w:pPr>
        <w:pStyle w:val="Bodytext30"/>
        <w:framePr w:w="8285" w:h="2064" w:hRule="exact" w:wrap="none" w:vAnchor="page" w:hAnchor="page" w:x="1612" w:y="6364"/>
        <w:shd w:val="clear" w:color="auto" w:fill="auto"/>
        <w:spacing w:after="0" w:line="221" w:lineRule="exact"/>
        <w:ind w:left="2360"/>
      </w:pPr>
      <w:r>
        <w:t>For these purposes “non-replica” means not reproducing any of the directions, designs, choreography or other creative elements from any existing production of the Play.</w:t>
      </w:r>
    </w:p>
    <w:p w:rsidR="00165E7B" w:rsidRDefault="0005608B">
      <w:pPr>
        <w:pStyle w:val="Bodytext30"/>
        <w:framePr w:w="8285" w:h="6110" w:hRule="exact" w:wrap="none" w:vAnchor="page" w:hAnchor="page" w:x="1612" w:y="8827"/>
        <w:shd w:val="clear" w:color="auto" w:fill="auto"/>
        <w:spacing w:after="0"/>
        <w:jc w:val="both"/>
      </w:pPr>
      <w:r>
        <w:t>RIGHTS EXCLUDED All other rights including, but not limited to, the use of any existing stage</w:t>
      </w:r>
    </w:p>
    <w:p w:rsidR="00165E7B" w:rsidRDefault="0005608B">
      <w:pPr>
        <w:pStyle w:val="Bodytext30"/>
        <w:framePr w:w="8285" w:h="6110" w:hRule="exact" w:wrap="none" w:vAnchor="page" w:hAnchor="page" w:x="1612" w:y="8827"/>
        <w:shd w:val="clear" w:color="auto" w:fill="auto"/>
        <w:spacing w:after="220" w:line="226" w:lineRule="exact"/>
        <w:ind w:left="2360"/>
        <w:jc w:val="both"/>
      </w:pPr>
      <w:r>
        <w:t>or lighting designs or choreography, merchandising rights, internet rights, sponsorship rights, the right to broadcast or televise, or record the Play or any part thereof by any means .</w:t>
      </w:r>
    </w:p>
    <w:p w:rsidR="00165E7B" w:rsidRDefault="0005608B">
      <w:pPr>
        <w:pStyle w:val="Bodytext30"/>
        <w:framePr w:w="8285" w:h="6110" w:hRule="exact" w:wrap="none" w:vAnchor="page" w:hAnchor="page" w:x="1612" w:y="8827"/>
        <w:shd w:val="clear" w:color="auto" w:fill="auto"/>
        <w:spacing w:after="220" w:line="226" w:lineRule="exact"/>
        <w:ind w:left="2360"/>
        <w:jc w:val="both"/>
      </w:pPr>
      <w:r>
        <w:t>For the avoidance of doubt foe Licensee shall not cast any of the performers or other contributors to the Licensee’s production of the Play (“the Production”) by means of a television talent contest or similar) or otherwise permit any element of the Production (including (without limitation) meetings, work calls and rehearsals) to be televised in any manner.</w:t>
      </w:r>
    </w:p>
    <w:p w:rsidR="00165E7B" w:rsidRPr="004B6C37" w:rsidRDefault="0005608B">
      <w:pPr>
        <w:pStyle w:val="Bodytext30"/>
        <w:framePr w:w="8285" w:h="6110" w:hRule="exact" w:wrap="none" w:vAnchor="page" w:hAnchor="page" w:x="1612" w:y="8827"/>
        <w:shd w:val="clear" w:color="auto" w:fill="auto"/>
        <w:tabs>
          <w:tab w:val="left" w:pos="2300"/>
        </w:tabs>
        <w:spacing w:after="0" w:line="226" w:lineRule="exact"/>
        <w:jc w:val="both"/>
      </w:pPr>
      <w:r>
        <w:t>PERFORMANCE</w:t>
      </w:r>
      <w:r>
        <w:tab/>
      </w:r>
      <w:r w:rsidR="004B6C37">
        <w:t>…… /confidential/</w:t>
      </w:r>
    </w:p>
    <w:p w:rsidR="00165E7B" w:rsidRDefault="0005608B" w:rsidP="004B6C37">
      <w:pPr>
        <w:pStyle w:val="Bodytext30"/>
        <w:framePr w:w="8285" w:h="6110" w:hRule="exact" w:wrap="none" w:vAnchor="page" w:hAnchor="page" w:x="1612" w:y="8827"/>
        <w:shd w:val="clear" w:color="auto" w:fill="auto"/>
        <w:tabs>
          <w:tab w:val="left" w:pos="2300"/>
        </w:tabs>
        <w:spacing w:after="0" w:line="226" w:lineRule="exact"/>
        <w:jc w:val="both"/>
      </w:pPr>
      <w:r w:rsidRPr="004B6C37">
        <w:t>ROYALTIES</w:t>
      </w:r>
      <w:r w:rsidRPr="004B6C37">
        <w:tab/>
      </w:r>
    </w:p>
    <w:p w:rsidR="00165E7B" w:rsidRDefault="0005608B">
      <w:pPr>
        <w:pStyle w:val="Bodytext30"/>
        <w:framePr w:w="8285" w:h="6110" w:hRule="exact" w:wrap="none" w:vAnchor="page" w:hAnchor="page" w:x="1612" w:y="8827"/>
        <w:shd w:val="clear" w:color="auto" w:fill="auto"/>
        <w:spacing w:after="0" w:line="221" w:lineRule="exact"/>
        <w:ind w:left="2360"/>
        <w:jc w:val="both"/>
      </w:pPr>
      <w:r>
        <w:t>The Advance shall be held by the Licensor on account and the Licensor shall not be obliged repay the same until 28 days after the payment by the Licensee of all sums owed to the Licensor in respect of all obligations and liabilities of the Licensee. For foe avoidance of doubt the Licensee shall pay foe Royalty to foe Licensor from foe first performance of the</w:t>
      </w:r>
    </w:p>
    <w:p w:rsidR="00165E7B" w:rsidRDefault="0005608B">
      <w:pPr>
        <w:pStyle w:val="Headerorfooter20"/>
        <w:framePr w:wrap="none" w:vAnchor="page" w:hAnchor="page" w:x="8366" w:y="15567"/>
        <w:shd w:val="clear" w:color="auto" w:fill="auto"/>
      </w:pPr>
      <w:r>
        <w:t>Karlin JCS deal memo</w:t>
      </w:r>
    </w:p>
    <w:p w:rsidR="00165E7B" w:rsidRDefault="00165E7B">
      <w:pPr>
        <w:rPr>
          <w:sz w:val="2"/>
          <w:szCs w:val="2"/>
        </w:rPr>
        <w:sectPr w:rsidR="00165E7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01"/>
        <w:gridCol w:w="6379"/>
      </w:tblGrid>
      <w:tr w:rsidR="00165E7B">
        <w:trPr>
          <w:trHeight w:hRule="exact" w:val="4968"/>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lastRenderedPageBreak/>
              <w:t>ACCOUNTING</w:t>
            </w:r>
          </w:p>
        </w:tc>
        <w:tc>
          <w:tcPr>
            <w:tcW w:w="6379" w:type="dxa"/>
            <w:shd w:val="clear" w:color="auto" w:fill="FFFFFF"/>
          </w:tcPr>
          <w:p w:rsidR="00165E7B" w:rsidRDefault="0005608B">
            <w:pPr>
              <w:pStyle w:val="Bodytext20"/>
              <w:framePr w:w="8280" w:h="12494" w:wrap="none" w:vAnchor="page" w:hAnchor="page" w:x="1673" w:y="1263"/>
              <w:shd w:val="clear" w:color="auto" w:fill="auto"/>
              <w:spacing w:after="220" w:line="210" w:lineRule="exact"/>
              <w:ind w:firstLine="0"/>
            </w:pPr>
            <w:r>
              <w:rPr>
                <w:rStyle w:val="Bodytext295pt"/>
              </w:rPr>
              <w:t>Production to a paying audience.</w:t>
            </w:r>
          </w:p>
          <w:p w:rsidR="00165E7B" w:rsidRDefault="0005608B">
            <w:pPr>
              <w:pStyle w:val="Bodytext20"/>
              <w:framePr w:w="8280" w:h="12494" w:wrap="none" w:vAnchor="page" w:hAnchor="page" w:x="1673" w:y="1263"/>
              <w:shd w:val="clear" w:color="auto" w:fill="auto"/>
              <w:spacing w:before="220" w:after="220" w:line="226" w:lineRule="exact"/>
              <w:ind w:firstLine="0"/>
            </w:pPr>
            <w:r>
              <w:rPr>
                <w:rStyle w:val="Bodytext295pt"/>
              </w:rPr>
              <w:t>Licensee to be responsible for engagement and payment of the creative team and all persons and royalty participants save as set out in this [Agreement] OR [deal memo].</w:t>
            </w:r>
          </w:p>
          <w:p w:rsidR="00165E7B" w:rsidRDefault="0005608B">
            <w:pPr>
              <w:pStyle w:val="Bodytext20"/>
              <w:framePr w:w="8280" w:h="12494" w:wrap="none" w:vAnchor="page" w:hAnchor="page" w:x="1673" w:y="1263"/>
              <w:shd w:val="clear" w:color="auto" w:fill="auto"/>
              <w:spacing w:before="220" w:after="220" w:line="226" w:lineRule="exact"/>
              <w:ind w:firstLine="0"/>
            </w:pPr>
            <w:r>
              <w:rPr>
                <w:rStyle w:val="Bodytext295pt"/>
              </w:rPr>
              <w:t>Royalties wall be calculated and paid to the Licensor and statements provided on a monthly basis.</w:t>
            </w:r>
          </w:p>
          <w:p w:rsidR="00165E7B" w:rsidRDefault="0005608B">
            <w:pPr>
              <w:pStyle w:val="Bodytext20"/>
              <w:framePr w:w="8280" w:h="12494" w:wrap="none" w:vAnchor="page" w:hAnchor="page" w:x="1673" w:y="1263"/>
              <w:shd w:val="clear" w:color="auto" w:fill="auto"/>
              <w:spacing w:before="220" w:after="220" w:line="221" w:lineRule="exact"/>
              <w:ind w:firstLine="0"/>
            </w:pPr>
            <w:r>
              <w:rPr>
                <w:rStyle w:val="Bodytext295pt"/>
              </w:rPr>
              <w:t>All fees and royalty payments to the Licensor will be made in UK pounds (unless otherwise requested in writing by the Licensor).</w:t>
            </w:r>
          </w:p>
          <w:p w:rsidR="00165E7B" w:rsidRDefault="0005608B">
            <w:pPr>
              <w:pStyle w:val="Bodytext20"/>
              <w:framePr w:w="8280" w:h="12494" w:wrap="none" w:vAnchor="page" w:hAnchor="page" w:x="1673" w:y="1263"/>
              <w:numPr>
                <w:ilvl w:val="0"/>
                <w:numId w:val="1"/>
              </w:numPr>
              <w:shd w:val="clear" w:color="auto" w:fill="auto"/>
              <w:tabs>
                <w:tab w:val="left" w:pos="264"/>
              </w:tabs>
              <w:spacing w:before="220" w:after="220" w:line="221" w:lineRule="exact"/>
              <w:ind w:firstLine="0"/>
            </w:pPr>
            <w:r>
              <w:rPr>
                <w:rStyle w:val="Bodytext295pt"/>
              </w:rPr>
              <w:t xml:space="preserve">The Licensor may appoint one representative to attend the press night or one other performance of the Play </w:t>
            </w:r>
            <w:r w:rsidR="00904F2B">
              <w:rPr>
                <w:rStyle w:val="Bodytext295pt"/>
              </w:rPr>
              <w:t>… /confidential/</w:t>
            </w:r>
          </w:p>
          <w:p w:rsidR="00165E7B" w:rsidRDefault="0005608B">
            <w:pPr>
              <w:pStyle w:val="Bodytext20"/>
              <w:framePr w:w="8280" w:h="12494" w:wrap="none" w:vAnchor="page" w:hAnchor="page" w:x="1673" w:y="1263"/>
              <w:numPr>
                <w:ilvl w:val="0"/>
                <w:numId w:val="1"/>
              </w:numPr>
              <w:shd w:val="clear" w:color="auto" w:fill="auto"/>
              <w:tabs>
                <w:tab w:val="left" w:pos="293"/>
              </w:tabs>
              <w:spacing w:before="220" w:after="0" w:line="226" w:lineRule="exact"/>
              <w:ind w:firstLine="0"/>
            </w:pPr>
            <w:r>
              <w:rPr>
                <w:rStyle w:val="Bodytext295pt"/>
              </w:rPr>
              <w:t xml:space="preserve">The Composer and Author shall have the right but shall be under no obligation to attend one performance of the Play </w:t>
            </w:r>
            <w:r w:rsidR="00904F2B">
              <w:rPr>
                <w:rStyle w:val="Bodytext295pt"/>
              </w:rPr>
              <w:t>…. /confidential/</w:t>
            </w:r>
            <w:r>
              <w:rPr>
                <w:rStyle w:val="Bodytext295pt"/>
              </w:rPr>
              <w:t>.</w:t>
            </w:r>
          </w:p>
        </w:tc>
      </w:tr>
      <w:tr w:rsidR="00165E7B">
        <w:trPr>
          <w:trHeight w:hRule="exact" w:val="1008"/>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TRANSLATION</w:t>
            </w:r>
          </w:p>
        </w:tc>
        <w:tc>
          <w:tcPr>
            <w:tcW w:w="6379" w:type="dxa"/>
            <w:shd w:val="clear" w:color="auto" w:fill="FFFFFF"/>
            <w:vAlign w:val="center"/>
          </w:tcPr>
          <w:p w:rsidR="00165E7B" w:rsidRDefault="0005608B">
            <w:pPr>
              <w:pStyle w:val="Bodytext20"/>
              <w:framePr w:w="8280" w:h="12494" w:wrap="none" w:vAnchor="page" w:hAnchor="page" w:x="1673" w:y="1263"/>
              <w:shd w:val="clear" w:color="auto" w:fill="auto"/>
              <w:spacing w:after="0" w:line="221" w:lineRule="exact"/>
              <w:ind w:firstLine="0"/>
            </w:pPr>
            <w:r>
              <w:rPr>
                <w:rStyle w:val="Bodytext295pt"/>
              </w:rPr>
              <w:t xml:space="preserve">The Licensee shall use the pre-existing translation by Michael </w:t>
            </w:r>
            <w:r>
              <w:rPr>
                <w:rStyle w:val="Bodytext295pt"/>
                <w:lang w:val="cs-CZ" w:eastAsia="cs-CZ" w:bidi="cs-CZ"/>
              </w:rPr>
              <w:t xml:space="preserve">Prostějovsky </w:t>
            </w:r>
            <w:r>
              <w:rPr>
                <w:rStyle w:val="Bodytext295pt"/>
              </w:rPr>
              <w:t>for the purposes of the proposed production. Any payments due to the translator will be the sole responsibility of the Licensee.</w:t>
            </w:r>
          </w:p>
        </w:tc>
      </w:tr>
      <w:tr w:rsidR="00165E7B">
        <w:trPr>
          <w:trHeight w:hRule="exact" w:val="2467"/>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APPROVALS</w:t>
            </w:r>
          </w:p>
        </w:tc>
        <w:tc>
          <w:tcPr>
            <w:tcW w:w="6379" w:type="dxa"/>
            <w:shd w:val="clear" w:color="auto" w:fill="FFFFFF"/>
            <w:vAlign w:val="center"/>
          </w:tcPr>
          <w:p w:rsidR="00165E7B" w:rsidRDefault="0005608B">
            <w:pPr>
              <w:pStyle w:val="Bodytext20"/>
              <w:framePr w:w="8280" w:h="12494" w:wrap="none" w:vAnchor="page" w:hAnchor="page" w:x="1673" w:y="1263"/>
              <w:numPr>
                <w:ilvl w:val="0"/>
                <w:numId w:val="2"/>
              </w:numPr>
              <w:shd w:val="clear" w:color="auto" w:fill="auto"/>
              <w:tabs>
                <w:tab w:val="left" w:pos="293"/>
              </w:tabs>
              <w:spacing w:after="220" w:line="226" w:lineRule="exact"/>
              <w:ind w:firstLine="0"/>
            </w:pPr>
            <w:r>
              <w:rPr>
                <w:rStyle w:val="Bodytext295pt"/>
              </w:rPr>
              <w:t>The Licensor shall have the right of approval of all cast and creative personnel including Principal performers, Stage Director, Choreographer, Lighting Designer, Sound Designer, Musical Director, and in general, of the manner in which the Play will be performed.</w:t>
            </w:r>
          </w:p>
          <w:p w:rsidR="00165E7B" w:rsidRDefault="0005608B">
            <w:pPr>
              <w:pStyle w:val="Bodytext20"/>
              <w:framePr w:w="8280" w:h="12494" w:wrap="none" w:vAnchor="page" w:hAnchor="page" w:x="1673" w:y="1263"/>
              <w:numPr>
                <w:ilvl w:val="0"/>
                <w:numId w:val="2"/>
              </w:numPr>
              <w:shd w:val="clear" w:color="auto" w:fill="auto"/>
              <w:tabs>
                <w:tab w:val="left" w:pos="293"/>
              </w:tabs>
              <w:spacing w:before="220" w:after="220" w:line="226" w:lineRule="exact"/>
              <w:ind w:firstLine="0"/>
            </w:pPr>
            <w:r>
              <w:rPr>
                <w:rStyle w:val="Bodytext295pt"/>
              </w:rPr>
              <w:t>The Licensor shall have approval of tire number of musicians in the orchestra.</w:t>
            </w:r>
          </w:p>
          <w:p w:rsidR="00165E7B" w:rsidRDefault="0005608B">
            <w:pPr>
              <w:pStyle w:val="Bodytext20"/>
              <w:framePr w:w="8280" w:h="12494" w:wrap="none" w:vAnchor="page" w:hAnchor="page" w:x="1673" w:y="1263"/>
              <w:numPr>
                <w:ilvl w:val="0"/>
                <w:numId w:val="2"/>
              </w:numPr>
              <w:shd w:val="clear" w:color="auto" w:fill="auto"/>
              <w:tabs>
                <w:tab w:val="left" w:pos="264"/>
              </w:tabs>
              <w:spacing w:before="220" w:after="0" w:line="221" w:lineRule="exact"/>
              <w:ind w:firstLine="0"/>
            </w:pPr>
            <w:r>
              <w:rPr>
                <w:rStyle w:val="Bodytext295pt"/>
              </w:rPr>
              <w:t>The Licensor shall have approval of all advertising materials, artwork, credits, logos and designs relating to the Play.</w:t>
            </w:r>
          </w:p>
        </w:tc>
      </w:tr>
      <w:tr w:rsidR="00165E7B">
        <w:trPr>
          <w:trHeight w:hRule="exact" w:val="672"/>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ASSIGNMENT</w:t>
            </w:r>
          </w:p>
        </w:tc>
        <w:tc>
          <w:tcPr>
            <w:tcW w:w="6379" w:type="dxa"/>
            <w:shd w:val="clear" w:color="auto" w:fill="FFFFFF"/>
            <w:vAlign w:val="center"/>
          </w:tcPr>
          <w:p w:rsidR="00165E7B" w:rsidRDefault="0005608B">
            <w:pPr>
              <w:pStyle w:val="Bodytext20"/>
              <w:framePr w:w="8280" w:h="12494" w:wrap="none" w:vAnchor="page" w:hAnchor="page" w:x="1673" w:y="1263"/>
              <w:shd w:val="clear" w:color="auto" w:fill="auto"/>
              <w:spacing w:after="0" w:line="226" w:lineRule="exact"/>
              <w:ind w:firstLine="0"/>
            </w:pPr>
            <w:r>
              <w:rPr>
                <w:rStyle w:val="Bodytext295pt"/>
              </w:rPr>
              <w:t>All rights in any stage directions, designs, choreography or artwork created for the Play shall be assigned to the Licensor.</w:t>
            </w:r>
          </w:p>
        </w:tc>
      </w:tr>
      <w:tr w:rsidR="00165E7B">
        <w:trPr>
          <w:trHeight w:hRule="exact" w:val="1157"/>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OTHER</w:t>
            </w:r>
          </w:p>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PRODUCTIONS</w:t>
            </w:r>
          </w:p>
        </w:tc>
        <w:tc>
          <w:tcPr>
            <w:tcW w:w="6379" w:type="dxa"/>
            <w:shd w:val="clear" w:color="auto" w:fill="FFFFFF"/>
            <w:vAlign w:val="center"/>
          </w:tcPr>
          <w:p w:rsidR="00165E7B" w:rsidRDefault="0005608B">
            <w:pPr>
              <w:pStyle w:val="Bodytext20"/>
              <w:framePr w:w="8280" w:h="12494" w:wrap="none" w:vAnchor="page" w:hAnchor="page" w:x="1673" w:y="1263"/>
              <w:shd w:val="clear" w:color="auto" w:fill="auto"/>
              <w:spacing w:after="0" w:line="226" w:lineRule="exact"/>
              <w:ind w:firstLine="0"/>
            </w:pPr>
            <w:r>
              <w:rPr>
                <w:rStyle w:val="Bodytext295pt"/>
              </w:rPr>
              <w:t xml:space="preserve">The Licensor undertakes not to license any new professional production of the Play for performance within the Czech Republic during the Term. The Licensee acknowledges that an existing production of the play is in repertory at </w:t>
            </w:r>
            <w:r>
              <w:rPr>
                <w:rStyle w:val="Bodytext295pt"/>
                <w:lang w:val="cs-CZ" w:eastAsia="cs-CZ" w:bidi="cs-CZ"/>
              </w:rPr>
              <w:t>Městské Divadlo Brno.</w:t>
            </w:r>
          </w:p>
        </w:tc>
      </w:tr>
      <w:tr w:rsidR="00165E7B">
        <w:trPr>
          <w:trHeight w:hRule="exact" w:val="1718"/>
        </w:trPr>
        <w:tc>
          <w:tcPr>
            <w:tcW w:w="1901" w:type="dxa"/>
            <w:shd w:val="clear" w:color="auto" w:fill="FFFFFF"/>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LAW</w:t>
            </w:r>
          </w:p>
        </w:tc>
        <w:tc>
          <w:tcPr>
            <w:tcW w:w="6379" w:type="dxa"/>
            <w:shd w:val="clear" w:color="auto" w:fill="FFFFFF"/>
            <w:vAlign w:val="center"/>
          </w:tcPr>
          <w:p w:rsidR="00165E7B" w:rsidRDefault="0005608B">
            <w:pPr>
              <w:pStyle w:val="Bodytext20"/>
              <w:framePr w:w="8280" w:h="12494" w:wrap="none" w:vAnchor="page" w:hAnchor="page" w:x="1673" w:y="1263"/>
              <w:shd w:val="clear" w:color="auto" w:fill="auto"/>
              <w:spacing w:after="240" w:line="210" w:lineRule="exact"/>
              <w:ind w:firstLine="0"/>
            </w:pPr>
            <w:r>
              <w:rPr>
                <w:rStyle w:val="Bodytext295pt"/>
              </w:rPr>
              <w:t>All arrangements hereunder will be governed by English law.</w:t>
            </w:r>
          </w:p>
          <w:p w:rsidR="00165E7B" w:rsidRDefault="0005608B">
            <w:pPr>
              <w:pStyle w:val="Bodytext20"/>
              <w:framePr w:w="8280" w:h="12494" w:wrap="none" w:vAnchor="page" w:hAnchor="page" w:x="1673" w:y="1263"/>
              <w:shd w:val="clear" w:color="auto" w:fill="auto"/>
              <w:spacing w:before="240" w:after="0" w:line="221" w:lineRule="exact"/>
              <w:ind w:firstLine="0"/>
            </w:pPr>
            <w:r>
              <w:rPr>
                <w:rStyle w:val="Bodytext295pt"/>
              </w:rPr>
              <w:t>The parties intend to enter into a formal licence agreement containing these and RUG’s other standard terms. Until such licence agreement is entered into the terms and conditions of this deal memo shall remain subject to contract]</w:t>
            </w:r>
          </w:p>
        </w:tc>
      </w:tr>
      <w:tr w:rsidR="00165E7B">
        <w:trPr>
          <w:trHeight w:hRule="exact" w:val="504"/>
        </w:trPr>
        <w:tc>
          <w:tcPr>
            <w:tcW w:w="1901" w:type="dxa"/>
            <w:shd w:val="clear" w:color="auto" w:fill="FFFFFF"/>
            <w:vAlign w:val="bottom"/>
          </w:tcPr>
          <w:p w:rsidR="00165E7B" w:rsidRDefault="0005608B">
            <w:pPr>
              <w:pStyle w:val="Bodytext20"/>
              <w:framePr w:w="8280" w:h="12494" w:wrap="none" w:vAnchor="page" w:hAnchor="page" w:x="1673" w:y="1263"/>
              <w:shd w:val="clear" w:color="auto" w:fill="auto"/>
              <w:spacing w:after="0" w:line="210" w:lineRule="exact"/>
              <w:ind w:firstLine="0"/>
              <w:jc w:val="left"/>
            </w:pPr>
            <w:r>
              <w:rPr>
                <w:rStyle w:val="Bodytext295pt"/>
              </w:rPr>
              <w:t>VALIDITY</w:t>
            </w:r>
          </w:p>
        </w:tc>
        <w:tc>
          <w:tcPr>
            <w:tcW w:w="6379" w:type="dxa"/>
            <w:shd w:val="clear" w:color="auto" w:fill="FFFFFF"/>
            <w:vAlign w:val="bottom"/>
          </w:tcPr>
          <w:p w:rsidR="00165E7B" w:rsidRDefault="0005608B">
            <w:pPr>
              <w:pStyle w:val="Bodytext20"/>
              <w:framePr w:w="8280" w:h="12494" w:wrap="none" w:vAnchor="page" w:hAnchor="page" w:x="1673" w:y="1263"/>
              <w:shd w:val="clear" w:color="auto" w:fill="auto"/>
              <w:spacing w:after="0" w:line="210" w:lineRule="exact"/>
              <w:ind w:firstLine="0"/>
            </w:pPr>
            <w:r>
              <w:rPr>
                <w:rStyle w:val="Bodytext295pt"/>
              </w:rPr>
              <w:t>This offer of a licence is valid until 15</w:t>
            </w:r>
            <w:r>
              <w:rPr>
                <w:rStyle w:val="Bodytext295pt"/>
                <w:vertAlign w:val="superscript"/>
              </w:rPr>
              <w:t>lh</w:t>
            </w:r>
            <w:r>
              <w:rPr>
                <w:rStyle w:val="Bodytext295pt"/>
              </w:rPr>
              <w:t xml:space="preserve"> September 2008 only.</w:t>
            </w:r>
          </w:p>
        </w:tc>
      </w:tr>
    </w:tbl>
    <w:p w:rsidR="00165E7B" w:rsidRDefault="0005608B" w:rsidP="00607584">
      <w:pPr>
        <w:pStyle w:val="Headerorfooter30"/>
        <w:framePr w:w="1381" w:wrap="none" w:vAnchor="page" w:hAnchor="page" w:x="8412" w:y="15433"/>
        <w:shd w:val="clear" w:color="auto" w:fill="auto"/>
      </w:pPr>
      <w:r>
        <w:t>Karlin JCS deal mem</w:t>
      </w:r>
      <w:r w:rsidR="00607584">
        <w:t>o</w:t>
      </w:r>
    </w:p>
    <w:p w:rsidR="00165E7B" w:rsidRDefault="00165E7B">
      <w:pPr>
        <w:rPr>
          <w:sz w:val="2"/>
          <w:szCs w:val="2"/>
        </w:rPr>
        <w:sectPr w:rsidR="00165E7B">
          <w:pgSz w:w="11900" w:h="16840"/>
          <w:pgMar w:top="360" w:right="360" w:bottom="360" w:left="360" w:header="0" w:footer="3" w:gutter="0"/>
          <w:cols w:space="720"/>
          <w:noEndnote/>
          <w:docGrid w:linePitch="360"/>
        </w:sectPr>
      </w:pPr>
    </w:p>
    <w:p w:rsidR="00165E7B" w:rsidRDefault="0005608B">
      <w:pPr>
        <w:pStyle w:val="Headerorfooter0"/>
        <w:framePr w:wrap="none" w:vAnchor="page" w:hAnchor="page" w:x="1247" w:y="1303"/>
        <w:shd w:val="clear" w:color="auto" w:fill="auto"/>
      </w:pPr>
      <w:r>
        <w:lastRenderedPageBreak/>
        <w:t>Období</w:t>
      </w:r>
    </w:p>
    <w:p w:rsidR="00165E7B" w:rsidRDefault="0005608B">
      <w:pPr>
        <w:pStyle w:val="Headerorfooter0"/>
        <w:framePr w:wrap="none" w:vAnchor="page" w:hAnchor="page" w:x="3369" w:y="1294"/>
        <w:shd w:val="clear" w:color="auto" w:fill="auto"/>
      </w:pPr>
      <w:r>
        <w:t>od 1. září 2009 do 30. června 2010 (,,Období“)</w:t>
      </w:r>
    </w:p>
    <w:p w:rsidR="00165E7B" w:rsidRDefault="0005608B">
      <w:pPr>
        <w:pStyle w:val="Bodytext20"/>
        <w:framePr w:w="1680" w:h="953" w:hRule="exact" w:wrap="none" w:vAnchor="page" w:hAnchor="page" w:x="1233" w:y="1941"/>
        <w:shd w:val="clear" w:color="auto" w:fill="auto"/>
        <w:spacing w:after="360"/>
        <w:ind w:firstLine="0"/>
        <w:jc w:val="left"/>
      </w:pPr>
      <w:r>
        <w:t>Území</w:t>
      </w:r>
    </w:p>
    <w:p w:rsidR="00165E7B" w:rsidRDefault="0005608B">
      <w:pPr>
        <w:pStyle w:val="Bodytext20"/>
        <w:framePr w:w="1680" w:h="953" w:hRule="exact" w:wrap="none" w:vAnchor="page" w:hAnchor="page" w:x="1233" w:y="1941"/>
        <w:shd w:val="clear" w:color="auto" w:fill="auto"/>
        <w:spacing w:after="0"/>
        <w:ind w:firstLine="0"/>
        <w:jc w:val="left"/>
      </w:pPr>
      <w:r>
        <w:t>Udělovaná práva</w:t>
      </w:r>
    </w:p>
    <w:p w:rsidR="00165E7B" w:rsidRDefault="0005608B">
      <w:pPr>
        <w:pStyle w:val="Bodytext20"/>
        <w:framePr w:wrap="none" w:vAnchor="page" w:hAnchor="page" w:x="1228" w:y="5119"/>
        <w:shd w:val="clear" w:color="auto" w:fill="auto"/>
        <w:spacing w:after="0"/>
        <w:ind w:firstLine="0"/>
        <w:jc w:val="left"/>
      </w:pPr>
      <w:r>
        <w:t>Vyčleněná práva</w:t>
      </w:r>
    </w:p>
    <w:p w:rsidR="00165E7B" w:rsidRDefault="0005608B">
      <w:pPr>
        <w:pStyle w:val="Bodytext20"/>
        <w:framePr w:wrap="none" w:vAnchor="page" w:hAnchor="page" w:x="1223" w:y="8940"/>
        <w:shd w:val="clear" w:color="auto" w:fill="auto"/>
        <w:spacing w:after="0"/>
        <w:ind w:firstLine="0"/>
        <w:jc w:val="left"/>
      </w:pPr>
      <w:r>
        <w:t>Odměna</w:t>
      </w:r>
    </w:p>
    <w:p w:rsidR="00165E7B" w:rsidRDefault="0005608B">
      <w:pPr>
        <w:pStyle w:val="Bodytext20"/>
        <w:framePr w:w="7080" w:h="13390" w:hRule="exact" w:wrap="none" w:vAnchor="page" w:hAnchor="page" w:x="3321" w:y="1927"/>
        <w:shd w:val="clear" w:color="auto" w:fill="auto"/>
        <w:spacing w:after="279"/>
        <w:ind w:firstLine="0"/>
      </w:pPr>
      <w:r>
        <w:t>Česká republika</w:t>
      </w:r>
    </w:p>
    <w:p w:rsidR="00165E7B" w:rsidRDefault="0005608B">
      <w:pPr>
        <w:pStyle w:val="Bodytext20"/>
        <w:framePr w:w="7080" w:h="13390" w:hRule="exact" w:wrap="none" w:vAnchor="page" w:hAnchor="page" w:x="3321" w:y="1927"/>
        <w:shd w:val="clear" w:color="auto" w:fill="auto"/>
        <w:spacing w:line="317" w:lineRule="exact"/>
        <w:ind w:firstLine="0"/>
      </w:pPr>
      <w:r>
        <w:t>Nevýhradní práva v průběhu Období předvést 120 profesionálních představení Hry v Hudebním divadle v Karlině, Praha (900 míst), a to bez rozmnožování.</w:t>
      </w:r>
    </w:p>
    <w:p w:rsidR="00165E7B" w:rsidRDefault="0005608B">
      <w:pPr>
        <w:pStyle w:val="Bodytext20"/>
        <w:framePr w:w="7080" w:h="13390" w:hRule="exact" w:wrap="none" w:vAnchor="page" w:hAnchor="page" w:x="3321" w:y="1927"/>
        <w:shd w:val="clear" w:color="auto" w:fill="auto"/>
        <w:spacing w:line="317" w:lineRule="exact"/>
        <w:ind w:firstLine="0"/>
      </w:pPr>
      <w:r>
        <w:t>Pro tyto účely znamená „bez rozmnožování</w:t>
      </w:r>
      <w:r w:rsidR="00607584">
        <w:t>“</w:t>
      </w:r>
      <w:r>
        <w:t xml:space="preserve"> nereprodukování jakéhokoli režírování, designu, choreografie nebo dalších tvůrčích prvků stávajícího představení Hry.</w:t>
      </w:r>
    </w:p>
    <w:p w:rsidR="00165E7B" w:rsidRDefault="0005608B">
      <w:pPr>
        <w:pStyle w:val="Bodytext20"/>
        <w:framePr w:w="7080" w:h="13390" w:hRule="exact" w:wrap="none" w:vAnchor="page" w:hAnchor="page" w:x="3321" w:y="1927"/>
        <w:shd w:val="clear" w:color="auto" w:fill="auto"/>
        <w:spacing w:after="324" w:line="317" w:lineRule="exact"/>
        <w:ind w:firstLine="0"/>
      </w:pPr>
      <w:r>
        <w:t>Všechna další práva včetně, nikoli však pouze, užití stávající scény či osvětlení nebo choreografie, merchandisingová práva, internetová práva, práva sponzorství, práva vysílat, nebo nahrávat Hru nebo jakoukoli část výše uvedeného jakýmkoli způsobem.</w:t>
      </w:r>
    </w:p>
    <w:p w:rsidR="00165E7B" w:rsidRDefault="0005608B">
      <w:pPr>
        <w:pStyle w:val="Bodytext20"/>
        <w:framePr w:w="7080" w:h="13390" w:hRule="exact" w:wrap="none" w:vAnchor="page" w:hAnchor="page" w:x="3321" w:y="1927"/>
        <w:shd w:val="clear" w:color="auto" w:fill="auto"/>
        <w:spacing w:after="316" w:line="312" w:lineRule="exact"/>
        <w:ind w:firstLine="0"/>
      </w:pPr>
      <w:r>
        <w:t>Pro odstranění pochyb Nabyvatel licence nesmí obsadit výkonného umělce či dalšího spolutvůrce představení Poskytovatele licence („Představení</w:t>
      </w:r>
      <w:r w:rsidR="00607584">
        <w:t>“</w:t>
      </w:r>
      <w:r>
        <w:t>) způsobem televizní soutěže talentů nebo obdobným nebo jiným způsobem umožnit prvky Představení (včetně (bez omezení) setkání, pracovní hovory a zkoušky) vysílat prostřednictvím televize jakýmkoli způsobem.</w:t>
      </w:r>
    </w:p>
    <w:p w:rsidR="008433A9" w:rsidRDefault="008433A9">
      <w:pPr>
        <w:pStyle w:val="Bodytext20"/>
        <w:framePr w:w="7080" w:h="13390" w:hRule="exact" w:wrap="none" w:vAnchor="page" w:hAnchor="page" w:x="3321" w:y="1927"/>
        <w:shd w:val="clear" w:color="auto" w:fill="auto"/>
        <w:spacing w:line="317" w:lineRule="exact"/>
        <w:ind w:firstLine="0"/>
      </w:pPr>
      <w:r>
        <w:t>…. /Důvěrné/</w:t>
      </w:r>
    </w:p>
    <w:p w:rsidR="008433A9" w:rsidRDefault="008433A9">
      <w:pPr>
        <w:pStyle w:val="Bodytext20"/>
        <w:framePr w:w="7080" w:h="13390" w:hRule="exact" w:wrap="none" w:vAnchor="page" w:hAnchor="page" w:x="3321" w:y="1927"/>
        <w:shd w:val="clear" w:color="auto" w:fill="auto"/>
        <w:spacing w:line="317" w:lineRule="exact"/>
        <w:ind w:firstLine="0"/>
      </w:pPr>
    </w:p>
    <w:p w:rsidR="00165E7B" w:rsidRDefault="0005608B">
      <w:pPr>
        <w:pStyle w:val="Bodytext20"/>
        <w:framePr w:w="7080" w:h="13390" w:hRule="exact" w:wrap="none" w:vAnchor="page" w:hAnchor="page" w:x="3321" w:y="1927"/>
        <w:shd w:val="clear" w:color="auto" w:fill="auto"/>
        <w:spacing w:line="317" w:lineRule="exact"/>
        <w:ind w:firstLine="0"/>
      </w:pPr>
      <w:r>
        <w:t>Záloha bude držena na účtu Poskytovatele licence a Poskytovatel licence nebude mít povinnost vrátit tuto částku do 28 dnů po zaplacení všech částek dlužných Poskytovateli licence nabyvatelem licence vzhledem ke všem závazkům a odpovědnostem Nabyvatele licence. Pro odstranění pochybností Nabyvatel licence musí platit Odměnu Poskytovali licence z prvního představení pro platící diváky.</w:t>
      </w:r>
    </w:p>
    <w:p w:rsidR="00165E7B" w:rsidRDefault="0005608B">
      <w:pPr>
        <w:pStyle w:val="Bodytext20"/>
        <w:framePr w:w="7080" w:h="13390" w:hRule="exact" w:wrap="none" w:vAnchor="page" w:hAnchor="page" w:x="3321" w:y="1927"/>
        <w:shd w:val="clear" w:color="auto" w:fill="auto"/>
        <w:spacing w:after="0" w:line="317" w:lineRule="exact"/>
        <w:ind w:firstLine="0"/>
      </w:pPr>
      <w:r>
        <w:t>Nabyvatel je odpovědný za najmutí a zaplacení tvůrčího týmu a všech osob a účastníků na odměnách stanovených touto [Smlouvou] NEBO [zápisem z</w:t>
      </w:r>
      <w:r w:rsidR="00607584">
        <w:t xml:space="preserve"> </w:t>
      </w:r>
      <w:r>
        <w:t>jednání].</w:t>
      </w:r>
    </w:p>
    <w:p w:rsidR="00165E7B" w:rsidRDefault="00165E7B">
      <w:pPr>
        <w:rPr>
          <w:sz w:val="2"/>
          <w:szCs w:val="2"/>
        </w:rPr>
        <w:sectPr w:rsidR="00165E7B">
          <w:pgSz w:w="11900" w:h="16840"/>
          <w:pgMar w:top="360" w:right="360" w:bottom="360" w:left="360" w:header="0" w:footer="3" w:gutter="0"/>
          <w:cols w:space="720"/>
          <w:noEndnote/>
          <w:docGrid w:linePitch="360"/>
        </w:sectPr>
      </w:pPr>
    </w:p>
    <w:p w:rsidR="00165E7B" w:rsidRDefault="0005608B">
      <w:pPr>
        <w:pStyle w:val="Bodytext20"/>
        <w:framePr w:wrap="none" w:vAnchor="page" w:hAnchor="page" w:x="1227" w:y="1385"/>
        <w:shd w:val="clear" w:color="auto" w:fill="auto"/>
        <w:spacing w:after="0"/>
        <w:ind w:firstLine="0"/>
        <w:jc w:val="left"/>
      </w:pPr>
      <w:r>
        <w:lastRenderedPageBreak/>
        <w:t>Účetnictví</w:t>
      </w:r>
    </w:p>
    <w:p w:rsidR="00165E7B" w:rsidRDefault="0005608B">
      <w:pPr>
        <w:pStyle w:val="Bodytext20"/>
        <w:framePr w:wrap="none" w:vAnchor="page" w:hAnchor="page" w:x="1208" w:y="6501"/>
        <w:shd w:val="clear" w:color="auto" w:fill="auto"/>
        <w:spacing w:after="0"/>
        <w:ind w:firstLine="0"/>
        <w:jc w:val="left"/>
      </w:pPr>
      <w:r>
        <w:t>Překlad</w:t>
      </w:r>
    </w:p>
    <w:p w:rsidR="00165E7B" w:rsidRDefault="0005608B">
      <w:pPr>
        <w:pStyle w:val="Bodytext20"/>
        <w:framePr w:wrap="none" w:vAnchor="page" w:hAnchor="page" w:x="1208" w:y="7773"/>
        <w:shd w:val="clear" w:color="auto" w:fill="auto"/>
        <w:spacing w:after="0"/>
        <w:ind w:firstLine="0"/>
        <w:jc w:val="left"/>
      </w:pPr>
      <w:r>
        <w:t>Schválení</w:t>
      </w:r>
    </w:p>
    <w:p w:rsidR="00165E7B" w:rsidRDefault="0005608B">
      <w:pPr>
        <w:pStyle w:val="Bodytext20"/>
        <w:framePr w:wrap="none" w:vAnchor="page" w:hAnchor="page" w:x="1193" w:y="10941"/>
        <w:shd w:val="clear" w:color="auto" w:fill="auto"/>
        <w:spacing w:after="0"/>
        <w:ind w:firstLine="0"/>
        <w:jc w:val="left"/>
      </w:pPr>
      <w:r>
        <w:t>Postoupení práv</w:t>
      </w:r>
    </w:p>
    <w:p w:rsidR="00165E7B" w:rsidRDefault="0005608B">
      <w:pPr>
        <w:pStyle w:val="Bodytext20"/>
        <w:framePr w:wrap="none" w:vAnchor="page" w:hAnchor="page" w:x="1184" w:y="11911"/>
        <w:shd w:val="clear" w:color="auto" w:fill="auto"/>
        <w:spacing w:after="0"/>
        <w:ind w:firstLine="0"/>
        <w:jc w:val="left"/>
      </w:pPr>
      <w:r>
        <w:t>Další představení</w:t>
      </w:r>
    </w:p>
    <w:p w:rsidR="00165E7B" w:rsidRDefault="0005608B">
      <w:pPr>
        <w:pStyle w:val="Bodytext20"/>
        <w:framePr w:wrap="none" w:vAnchor="page" w:hAnchor="page" w:x="1174" w:y="13504"/>
        <w:shd w:val="clear" w:color="auto" w:fill="auto"/>
        <w:spacing w:after="0"/>
        <w:ind w:firstLine="0"/>
        <w:jc w:val="left"/>
      </w:pPr>
      <w:r>
        <w:t>Právo</w:t>
      </w:r>
    </w:p>
    <w:p w:rsidR="00165E7B" w:rsidRDefault="0005608B">
      <w:pPr>
        <w:pStyle w:val="Bodytext20"/>
        <w:framePr w:w="7085" w:h="12478" w:hRule="exact" w:wrap="none" w:vAnchor="page" w:hAnchor="page" w:x="3310" w:y="1346"/>
        <w:shd w:val="clear" w:color="auto" w:fill="auto"/>
        <w:spacing w:line="322" w:lineRule="exact"/>
        <w:ind w:firstLine="0"/>
      </w:pPr>
      <w:r>
        <w:t>Odměny budou počítány a placeny Poskytovali licence a výkazy poskytovány jednou měsíčně.</w:t>
      </w:r>
    </w:p>
    <w:p w:rsidR="00165E7B" w:rsidRDefault="0005608B">
      <w:pPr>
        <w:pStyle w:val="Bodytext20"/>
        <w:framePr w:w="7085" w:h="12478" w:hRule="exact" w:wrap="none" w:vAnchor="page" w:hAnchor="page" w:x="3310" w:y="1346"/>
        <w:shd w:val="clear" w:color="auto" w:fill="auto"/>
        <w:spacing w:after="324" w:line="322" w:lineRule="exact"/>
        <w:ind w:firstLine="0"/>
      </w:pPr>
      <w:r>
        <w:t>Všechny poplatky a odměny Poskytovateli licence budou v UK librách (pokud nebude požadováno jinak Poskytovatelem licence).</w:t>
      </w:r>
    </w:p>
    <w:p w:rsidR="00165E7B" w:rsidRDefault="0005608B">
      <w:pPr>
        <w:pStyle w:val="Bodytext20"/>
        <w:framePr w:w="7085" w:h="12478" w:hRule="exact" w:wrap="none" w:vAnchor="page" w:hAnchor="page" w:x="3310" w:y="1346"/>
        <w:numPr>
          <w:ilvl w:val="0"/>
          <w:numId w:val="3"/>
        </w:numPr>
        <w:shd w:val="clear" w:color="auto" w:fill="auto"/>
        <w:tabs>
          <w:tab w:val="left" w:pos="418"/>
        </w:tabs>
        <w:spacing w:line="317" w:lineRule="exact"/>
        <w:ind w:left="460"/>
      </w:pPr>
      <w:r>
        <w:t xml:space="preserve">Poskytovatel licence může jmenovat jednoho představitele, který bude přítomen představení pro novináře nebo jednoho jiného představení Hry </w:t>
      </w:r>
      <w:r w:rsidR="00A90084">
        <w:t>…. /Důvěrné/</w:t>
      </w:r>
    </w:p>
    <w:p w:rsidR="00165E7B" w:rsidRDefault="0005608B">
      <w:pPr>
        <w:pStyle w:val="Bodytext20"/>
        <w:framePr w:w="7085" w:h="12478" w:hRule="exact" w:wrap="none" w:vAnchor="page" w:hAnchor="page" w:x="3310" w:y="1346"/>
        <w:numPr>
          <w:ilvl w:val="0"/>
          <w:numId w:val="3"/>
        </w:numPr>
        <w:shd w:val="clear" w:color="auto" w:fill="auto"/>
        <w:tabs>
          <w:tab w:val="left" w:pos="427"/>
        </w:tabs>
        <w:spacing w:line="317" w:lineRule="exact"/>
        <w:ind w:left="460"/>
      </w:pPr>
      <w:r>
        <w:t xml:space="preserve">Skladatel a Autor mají práv ale nikoli povinnost navštívit jedno představení Hry </w:t>
      </w:r>
      <w:r w:rsidR="00A90084">
        <w:t>…. /Důvěrné/</w:t>
      </w:r>
      <w:r>
        <w:t>.</w:t>
      </w:r>
    </w:p>
    <w:p w:rsidR="00165E7B" w:rsidRDefault="0005608B">
      <w:pPr>
        <w:pStyle w:val="Bodytext20"/>
        <w:framePr w:w="7085" w:h="12478" w:hRule="exact" w:wrap="none" w:vAnchor="page" w:hAnchor="page" w:x="3310" w:y="1346"/>
        <w:shd w:val="clear" w:color="auto" w:fill="auto"/>
        <w:spacing w:after="324" w:line="317" w:lineRule="exact"/>
        <w:ind w:firstLine="0"/>
      </w:pPr>
      <w:r>
        <w:t xml:space="preserve">Nabyvatel licence musí použít již existující překlad </w:t>
      </w:r>
      <w:bookmarkStart w:id="0" w:name="_GoBack"/>
      <w:bookmarkEnd w:id="0"/>
      <w:r>
        <w:t>od Michala Prostějovského pro účely zamýšleného přestavení. Veškeré platby dlužné překladateli budu neseny Nabyvatelem licence.</w:t>
      </w:r>
    </w:p>
    <w:p w:rsidR="00165E7B" w:rsidRDefault="0005608B">
      <w:pPr>
        <w:pStyle w:val="Bodytext20"/>
        <w:framePr w:w="7085" w:h="12478" w:hRule="exact" w:wrap="none" w:vAnchor="page" w:hAnchor="page" w:x="3310" w:y="1346"/>
        <w:numPr>
          <w:ilvl w:val="0"/>
          <w:numId w:val="4"/>
        </w:numPr>
        <w:shd w:val="clear" w:color="auto" w:fill="auto"/>
        <w:tabs>
          <w:tab w:val="left" w:pos="336"/>
        </w:tabs>
        <w:spacing w:after="357" w:line="312" w:lineRule="exact"/>
        <w:ind w:firstLine="0"/>
      </w:pPr>
      <w:r>
        <w:t>Poskytovatel licence má právo schválení všech výkonných umělců a tvůrčích pracovníků včetně režiséra představení, scénografa, choreografa, osvětlovače, zvukaře a obecně způsobu, jakým bude Hra představována.</w:t>
      </w:r>
    </w:p>
    <w:p w:rsidR="00165E7B" w:rsidRDefault="0005608B">
      <w:pPr>
        <w:pStyle w:val="Bodytext20"/>
        <w:framePr w:w="7085" w:h="12478" w:hRule="exact" w:wrap="none" w:vAnchor="page" w:hAnchor="page" w:x="3310" w:y="1346"/>
        <w:numPr>
          <w:ilvl w:val="0"/>
          <w:numId w:val="4"/>
        </w:numPr>
        <w:shd w:val="clear" w:color="auto" w:fill="auto"/>
        <w:tabs>
          <w:tab w:val="left" w:pos="336"/>
        </w:tabs>
        <w:spacing w:after="276"/>
        <w:ind w:firstLine="0"/>
      </w:pPr>
      <w:r>
        <w:t>Poskytovatel licence má právo schválit počet hudebníků v orchestru.</w:t>
      </w:r>
    </w:p>
    <w:p w:rsidR="00165E7B" w:rsidRDefault="0005608B">
      <w:pPr>
        <w:pStyle w:val="Bodytext20"/>
        <w:framePr w:w="7085" w:h="12478" w:hRule="exact" w:wrap="none" w:vAnchor="page" w:hAnchor="page" w:x="3310" w:y="1346"/>
        <w:numPr>
          <w:ilvl w:val="0"/>
          <w:numId w:val="4"/>
        </w:numPr>
        <w:shd w:val="clear" w:color="auto" w:fill="auto"/>
        <w:tabs>
          <w:tab w:val="left" w:pos="336"/>
        </w:tabs>
        <w:spacing w:after="324" w:line="322" w:lineRule="exact"/>
        <w:ind w:firstLine="0"/>
      </w:pPr>
      <w:r>
        <w:t>Poskytovatel licence má právo schválit všechny reklamní materiály, umělecká díla, upozornění loga a design v</w:t>
      </w:r>
      <w:r w:rsidR="008433A9">
        <w:t>zt</w:t>
      </w:r>
      <w:r>
        <w:t>ahující se ke Hře.</w:t>
      </w:r>
    </w:p>
    <w:p w:rsidR="00165E7B" w:rsidRDefault="0005608B">
      <w:pPr>
        <w:pStyle w:val="Bodytext20"/>
        <w:framePr w:w="7085" w:h="12478" w:hRule="exact" w:wrap="none" w:vAnchor="page" w:hAnchor="page" w:x="3310" w:y="1346"/>
        <w:shd w:val="clear" w:color="auto" w:fill="auto"/>
        <w:spacing w:after="324" w:line="317" w:lineRule="exact"/>
        <w:ind w:firstLine="0"/>
      </w:pPr>
      <w:r>
        <w:t>Všechna práva režijní, designová, choreografická nebo umělecká vytvořená pro Hru musí být převedena na Poskytovatele licence.</w:t>
      </w:r>
    </w:p>
    <w:p w:rsidR="00165E7B" w:rsidRDefault="0005608B">
      <w:pPr>
        <w:pStyle w:val="Bodytext20"/>
        <w:framePr w:w="7085" w:h="12478" w:hRule="exact" w:wrap="none" w:vAnchor="page" w:hAnchor="page" w:x="3310" w:y="1346"/>
        <w:shd w:val="clear" w:color="auto" w:fill="auto"/>
        <w:spacing w:after="357" w:line="312" w:lineRule="exact"/>
        <w:ind w:firstLine="0"/>
      </w:pPr>
      <w:r>
        <w:t>Poskytovatel licence se zavazuje neposkytnout licenci jiné profesionální produkci Hry na území České republiky. Nabyvatel licence bere na vědomí stávající existující představení hry, které je na repertoáru Městského divadla v Brně.</w:t>
      </w:r>
    </w:p>
    <w:p w:rsidR="00165E7B" w:rsidRDefault="0005608B">
      <w:pPr>
        <w:pStyle w:val="Bodytext20"/>
        <w:framePr w:w="7085" w:h="12478" w:hRule="exact" w:wrap="none" w:vAnchor="page" w:hAnchor="page" w:x="3310" w:y="1346"/>
        <w:shd w:val="clear" w:color="auto" w:fill="auto"/>
        <w:spacing w:after="0"/>
        <w:ind w:firstLine="0"/>
      </w:pPr>
      <w:r>
        <w:t>Všechny záležitosti se budou řídit anglickým právem.</w:t>
      </w:r>
    </w:p>
    <w:p w:rsidR="00165E7B" w:rsidRDefault="0005608B">
      <w:pPr>
        <w:pStyle w:val="Bodytext20"/>
        <w:framePr w:w="7051" w:h="695" w:hRule="exact" w:wrap="none" w:vAnchor="page" w:hAnchor="page" w:x="3305" w:y="14094"/>
        <w:shd w:val="clear" w:color="auto" w:fill="auto"/>
        <w:spacing w:after="0" w:line="317" w:lineRule="exact"/>
        <w:ind w:firstLine="0"/>
      </w:pPr>
      <w:r>
        <w:t>Smluvní strany mají v úmyslu vstoupit do formální licenční smlouvy, která bude zahrnovat tyto a standardní podmínky RUG. Pokud nebude</w:t>
      </w:r>
    </w:p>
    <w:p w:rsidR="00165E7B" w:rsidRDefault="00165E7B">
      <w:pPr>
        <w:rPr>
          <w:sz w:val="2"/>
          <w:szCs w:val="2"/>
        </w:rPr>
        <w:sectPr w:rsidR="00165E7B">
          <w:pgSz w:w="11900" w:h="16840"/>
          <w:pgMar w:top="360" w:right="360" w:bottom="360" w:left="360" w:header="0" w:footer="3" w:gutter="0"/>
          <w:cols w:space="720"/>
          <w:noEndnote/>
          <w:docGrid w:linePitch="360"/>
        </w:sectPr>
      </w:pPr>
    </w:p>
    <w:p w:rsidR="00165E7B" w:rsidRDefault="0005608B">
      <w:pPr>
        <w:pStyle w:val="Headerorfooter0"/>
        <w:framePr w:wrap="none" w:vAnchor="page" w:hAnchor="page" w:x="1195" w:y="2284"/>
        <w:shd w:val="clear" w:color="auto" w:fill="auto"/>
      </w:pPr>
      <w:r>
        <w:lastRenderedPageBreak/>
        <w:t>Platnost</w:t>
      </w:r>
    </w:p>
    <w:p w:rsidR="00165E7B" w:rsidRDefault="0005608B">
      <w:pPr>
        <w:pStyle w:val="Bodytext20"/>
        <w:framePr w:w="7066" w:h="614" w:hRule="exact" w:wrap="none" w:vAnchor="page" w:hAnchor="page" w:x="3302" w:y="1360"/>
        <w:shd w:val="clear" w:color="auto" w:fill="auto"/>
        <w:spacing w:after="0" w:line="293" w:lineRule="exact"/>
        <w:ind w:firstLine="0"/>
      </w:pPr>
      <w:r>
        <w:t>taková licenční smlouva uzavřena, tento zápis zjednání bude předmětem smlouvy.</w:t>
      </w:r>
    </w:p>
    <w:p w:rsidR="00165E7B" w:rsidRDefault="0005608B">
      <w:pPr>
        <w:pStyle w:val="Headerorfooter0"/>
        <w:framePr w:w="7066" w:h="300" w:hRule="exact" w:wrap="none" w:vAnchor="page" w:hAnchor="page" w:x="3302" w:y="2356"/>
        <w:shd w:val="clear" w:color="auto" w:fill="auto"/>
      </w:pPr>
      <w:r>
        <w:t>Tato nabídka licence je platná pouze do 15. září 2008.</w:t>
      </w:r>
    </w:p>
    <w:p w:rsidR="00165E7B" w:rsidRDefault="00165E7B">
      <w:pPr>
        <w:rPr>
          <w:sz w:val="2"/>
          <w:szCs w:val="2"/>
        </w:rPr>
      </w:pPr>
    </w:p>
    <w:sectPr w:rsidR="00165E7B" w:rsidSect="00165E7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19" w:rsidRDefault="00192B19" w:rsidP="00165E7B">
      <w:r>
        <w:separator/>
      </w:r>
    </w:p>
  </w:endnote>
  <w:endnote w:type="continuationSeparator" w:id="0">
    <w:p w:rsidR="00192B19" w:rsidRDefault="00192B19" w:rsidP="0016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Gisha">
    <w:altName w:val="Gisha"/>
    <w:charset w:val="B1"/>
    <w:family w:val="swiss"/>
    <w:pitch w:val="variable"/>
    <w:sig w:usb0="80000807" w:usb1="40000042" w:usb2="00000000" w:usb3="00000000" w:csb0="0000002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19" w:rsidRDefault="00192B19"/>
  </w:footnote>
  <w:footnote w:type="continuationSeparator" w:id="0">
    <w:p w:rsidR="00192B19" w:rsidRDefault="00192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6CEB"/>
    <w:multiLevelType w:val="multilevel"/>
    <w:tmpl w:val="EE56E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057CE3"/>
    <w:multiLevelType w:val="multilevel"/>
    <w:tmpl w:val="DA3A6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CC7677"/>
    <w:multiLevelType w:val="multilevel"/>
    <w:tmpl w:val="1A98B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DF6556"/>
    <w:multiLevelType w:val="multilevel"/>
    <w:tmpl w:val="C19E6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7B"/>
    <w:rsid w:val="0005608B"/>
    <w:rsid w:val="00165E7B"/>
    <w:rsid w:val="00192B19"/>
    <w:rsid w:val="004B6C37"/>
    <w:rsid w:val="00607584"/>
    <w:rsid w:val="00681359"/>
    <w:rsid w:val="006C377A"/>
    <w:rsid w:val="008433A9"/>
    <w:rsid w:val="00904F2B"/>
    <w:rsid w:val="00A90084"/>
    <w:rsid w:val="00B82B10"/>
    <w:rsid w:val="00CC1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B1D5"/>
  <w15:docId w15:val="{AFFD424C-4B45-4466-9B74-775B2C1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65E7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165E7B"/>
    <w:rPr>
      <w:rFonts w:ascii="Cambria" w:eastAsia="Cambria" w:hAnsi="Cambria" w:cs="Cambria"/>
      <w:b w:val="0"/>
      <w:bCs w:val="0"/>
      <w:i/>
      <w:iCs/>
      <w:smallCaps w:val="0"/>
      <w:strike w:val="0"/>
      <w:sz w:val="34"/>
      <w:szCs w:val="34"/>
      <w:u w:val="none"/>
      <w:lang w:val="cs-CZ" w:eastAsia="cs-CZ" w:bidi="cs-CZ"/>
    </w:rPr>
  </w:style>
  <w:style w:type="character" w:customStyle="1" w:styleId="Bodytext3">
    <w:name w:val="Body text (3)_"/>
    <w:basedOn w:val="Standardnpsmoodstavce"/>
    <w:link w:val="Bodytext30"/>
    <w:rsid w:val="00165E7B"/>
    <w:rPr>
      <w:b w:val="0"/>
      <w:bCs w:val="0"/>
      <w:i w:val="0"/>
      <w:iCs w:val="0"/>
      <w:smallCaps w:val="0"/>
      <w:strike w:val="0"/>
      <w:sz w:val="19"/>
      <w:szCs w:val="19"/>
      <w:u w:val="none"/>
    </w:rPr>
  </w:style>
  <w:style w:type="character" w:customStyle="1" w:styleId="Bodytext295pt">
    <w:name w:val="Body text (2) + 9.5 pt"/>
    <w:basedOn w:val="Bodytext2"/>
    <w:rsid w:val="00165E7B"/>
    <w:rPr>
      <w:b w:val="0"/>
      <w:bCs w:val="0"/>
      <w:i w:val="0"/>
      <w:iCs w:val="0"/>
      <w:smallCaps w:val="0"/>
      <w:strike w:val="0"/>
      <w:sz w:val="19"/>
      <w:szCs w:val="19"/>
      <w:u w:val="none"/>
      <w:lang w:val="en-US" w:eastAsia="en-US" w:bidi="en-US"/>
    </w:rPr>
  </w:style>
  <w:style w:type="character" w:customStyle="1" w:styleId="Headerorfooter2">
    <w:name w:val="Header or footer (2)_"/>
    <w:basedOn w:val="Standardnpsmoodstavce"/>
    <w:link w:val="Headerorfooter20"/>
    <w:rsid w:val="00165E7B"/>
    <w:rPr>
      <w:b w:val="0"/>
      <w:bCs w:val="0"/>
      <w:i w:val="0"/>
      <w:iCs w:val="0"/>
      <w:smallCaps w:val="0"/>
      <w:strike w:val="0"/>
      <w:sz w:val="15"/>
      <w:szCs w:val="15"/>
      <w:u w:val="none"/>
    </w:rPr>
  </w:style>
  <w:style w:type="character" w:customStyle="1" w:styleId="Bodytext2">
    <w:name w:val="Body text (2)_"/>
    <w:basedOn w:val="Standardnpsmoodstavce"/>
    <w:link w:val="Bodytext20"/>
    <w:rsid w:val="00165E7B"/>
    <w:rPr>
      <w:b w:val="0"/>
      <w:bCs w:val="0"/>
      <w:i w:val="0"/>
      <w:iCs w:val="0"/>
      <w:smallCaps w:val="0"/>
      <w:strike w:val="0"/>
      <w:u w:val="none"/>
      <w:lang w:val="cs-CZ" w:eastAsia="cs-CZ" w:bidi="cs-CZ"/>
    </w:rPr>
  </w:style>
  <w:style w:type="character" w:customStyle="1" w:styleId="Headerorfooter3">
    <w:name w:val="Header or footer (3)_"/>
    <w:basedOn w:val="Standardnpsmoodstavce"/>
    <w:link w:val="Headerorfooter30"/>
    <w:rsid w:val="00165E7B"/>
    <w:rPr>
      <w:rFonts w:ascii="Gisha" w:eastAsia="Gisha" w:hAnsi="Gisha" w:cs="Gisha"/>
      <w:b w:val="0"/>
      <w:bCs w:val="0"/>
      <w:i w:val="0"/>
      <w:iCs w:val="0"/>
      <w:smallCaps w:val="0"/>
      <w:strike w:val="0"/>
      <w:sz w:val="13"/>
      <w:szCs w:val="13"/>
      <w:u w:val="none"/>
    </w:rPr>
  </w:style>
  <w:style w:type="character" w:customStyle="1" w:styleId="Headerorfooter">
    <w:name w:val="Header or footer_"/>
    <w:basedOn w:val="Standardnpsmoodstavce"/>
    <w:link w:val="Headerorfooter0"/>
    <w:rsid w:val="00165E7B"/>
    <w:rPr>
      <w:b w:val="0"/>
      <w:bCs w:val="0"/>
      <w:i w:val="0"/>
      <w:iCs w:val="0"/>
      <w:smallCaps w:val="0"/>
      <w:strike w:val="0"/>
      <w:u w:val="none"/>
      <w:lang w:val="cs-CZ" w:eastAsia="cs-CZ" w:bidi="cs-CZ"/>
    </w:rPr>
  </w:style>
  <w:style w:type="paragraph" w:customStyle="1" w:styleId="Heading10">
    <w:name w:val="Heading #1"/>
    <w:basedOn w:val="Normln"/>
    <w:link w:val="Heading1"/>
    <w:rsid w:val="00165E7B"/>
    <w:pPr>
      <w:shd w:val="clear" w:color="auto" w:fill="FFFFFF"/>
      <w:spacing w:line="376" w:lineRule="exact"/>
      <w:outlineLvl w:val="0"/>
    </w:pPr>
    <w:rPr>
      <w:rFonts w:ascii="Cambria" w:eastAsia="Cambria" w:hAnsi="Cambria" w:cs="Cambria"/>
      <w:i/>
      <w:iCs/>
      <w:sz w:val="34"/>
      <w:szCs w:val="34"/>
      <w:lang w:val="cs-CZ" w:eastAsia="cs-CZ" w:bidi="cs-CZ"/>
    </w:rPr>
  </w:style>
  <w:style w:type="paragraph" w:customStyle="1" w:styleId="Bodytext30">
    <w:name w:val="Body text (3)"/>
    <w:basedOn w:val="Normln"/>
    <w:link w:val="Bodytext3"/>
    <w:rsid w:val="00165E7B"/>
    <w:pPr>
      <w:shd w:val="clear" w:color="auto" w:fill="FFFFFF"/>
      <w:spacing w:after="680" w:line="210" w:lineRule="exact"/>
    </w:pPr>
    <w:rPr>
      <w:sz w:val="19"/>
      <w:szCs w:val="19"/>
    </w:rPr>
  </w:style>
  <w:style w:type="paragraph" w:customStyle="1" w:styleId="Headerorfooter20">
    <w:name w:val="Header or footer (2)"/>
    <w:basedOn w:val="Normln"/>
    <w:link w:val="Headerorfooter2"/>
    <w:rsid w:val="00165E7B"/>
    <w:pPr>
      <w:shd w:val="clear" w:color="auto" w:fill="FFFFFF"/>
      <w:spacing w:line="166" w:lineRule="exact"/>
    </w:pPr>
    <w:rPr>
      <w:sz w:val="15"/>
      <w:szCs w:val="15"/>
    </w:rPr>
  </w:style>
  <w:style w:type="paragraph" w:customStyle="1" w:styleId="Bodytext20">
    <w:name w:val="Body text (2)"/>
    <w:basedOn w:val="Normln"/>
    <w:link w:val="Bodytext2"/>
    <w:rsid w:val="00165E7B"/>
    <w:pPr>
      <w:shd w:val="clear" w:color="auto" w:fill="FFFFFF"/>
      <w:spacing w:after="320" w:line="266" w:lineRule="exact"/>
      <w:ind w:hanging="460"/>
      <w:jc w:val="both"/>
    </w:pPr>
    <w:rPr>
      <w:lang w:val="cs-CZ" w:eastAsia="cs-CZ" w:bidi="cs-CZ"/>
    </w:rPr>
  </w:style>
  <w:style w:type="paragraph" w:customStyle="1" w:styleId="Headerorfooter30">
    <w:name w:val="Header or footer (3)"/>
    <w:basedOn w:val="Normln"/>
    <w:link w:val="Headerorfooter3"/>
    <w:rsid w:val="00165E7B"/>
    <w:pPr>
      <w:shd w:val="clear" w:color="auto" w:fill="FFFFFF"/>
      <w:spacing w:line="166" w:lineRule="exact"/>
    </w:pPr>
    <w:rPr>
      <w:rFonts w:ascii="Gisha" w:eastAsia="Gisha" w:hAnsi="Gisha" w:cs="Gisha"/>
      <w:sz w:val="13"/>
      <w:szCs w:val="13"/>
    </w:rPr>
  </w:style>
  <w:style w:type="paragraph" w:customStyle="1" w:styleId="Headerorfooter0">
    <w:name w:val="Header or footer"/>
    <w:basedOn w:val="Normln"/>
    <w:link w:val="Headerorfooter"/>
    <w:rsid w:val="00165E7B"/>
    <w:pPr>
      <w:shd w:val="clear" w:color="auto" w:fill="FFFFFF"/>
      <w:spacing w:line="266" w:lineRule="exact"/>
    </w:pPr>
    <w:rPr>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1077</Words>
  <Characters>6359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Šilhák</dc:creator>
  <cp:lastModifiedBy>Marketa</cp:lastModifiedBy>
  <cp:revision>7</cp:revision>
  <dcterms:created xsi:type="dcterms:W3CDTF">2018-04-09T07:21:00Z</dcterms:created>
  <dcterms:modified xsi:type="dcterms:W3CDTF">2018-04-09T13:19:00Z</dcterms:modified>
</cp:coreProperties>
</file>