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A5" w:rsidRDefault="00205693">
      <w:pPr>
        <w:pStyle w:val="Nadpis10"/>
        <w:keepNext/>
        <w:keepLines/>
        <w:shd w:val="clear" w:color="auto" w:fill="auto"/>
        <w:spacing w:after="397"/>
      </w:pPr>
      <w:bookmarkStart w:id="0" w:name="bookmark0"/>
      <w:bookmarkStart w:id="1" w:name="_GoBack"/>
      <w:bookmarkEnd w:id="1"/>
      <w:r>
        <w:t>PŘÍKAZNÍ SMLOUVA Č. 1/2018</w:t>
      </w:r>
      <w:bookmarkEnd w:id="0"/>
      <w:r>
        <w:br/>
      </w:r>
      <w:r>
        <w:rPr>
          <w:rStyle w:val="Zkladntext2"/>
        </w:rPr>
        <w:t>kterou níže uvedeného dne, měsíce a roku uzavřely dle ustanovení § 2430 a násl. zákona č. 89/2012</w:t>
      </w:r>
      <w:r>
        <w:rPr>
          <w:rStyle w:val="Zkladntext2"/>
        </w:rPr>
        <w:br/>
        <w:t>Sb., občanského zákoníku, v platném znění tyto smluvní strany:</w:t>
      </w:r>
    </w:p>
    <w:p w:rsidR="007940A5" w:rsidRDefault="00205693">
      <w:pPr>
        <w:pStyle w:val="Nadpis30"/>
        <w:keepNext/>
        <w:keepLines/>
        <w:shd w:val="clear" w:color="auto" w:fill="auto"/>
        <w:spacing w:before="0"/>
        <w:ind w:firstLine="0"/>
      </w:pPr>
      <w:bookmarkStart w:id="2" w:name="bookmark1"/>
      <w:r>
        <w:t>Východočeské divadlo Pardubice</w:t>
      </w:r>
      <w:bookmarkEnd w:id="2"/>
    </w:p>
    <w:p w:rsidR="007940A5" w:rsidRDefault="00205693">
      <w:pPr>
        <w:pStyle w:val="Zkladntext20"/>
        <w:shd w:val="clear" w:color="auto" w:fill="auto"/>
        <w:spacing w:before="0" w:after="261"/>
        <w:ind w:firstLine="0"/>
      </w:pPr>
      <w:r>
        <w:t>příspěvková organizace, zřizovatelem</w:t>
      </w:r>
      <w:r>
        <w:t xml:space="preserve"> Statutární město Pardubice</w:t>
      </w:r>
      <w:r>
        <w:br/>
        <w:t>zapsané v Obchodním rejstříku u Krajského soudu v Hradci Králové v oddílu Pr, vložce č. 1014</w:t>
      </w:r>
      <w:r>
        <w:br/>
        <w:t>U Divadla 50, 531 62 Pardubice, zastoupené Mgr. Petrem Dohnalem, ředitelem VČD</w:t>
      </w:r>
      <w:r>
        <w:br/>
        <w:t>IČO 00088358, DIČ: CZ 00088358, tel.: 466616415</w:t>
      </w:r>
      <w:r>
        <w:br/>
        <w:t>č.ú. 932</w:t>
      </w:r>
      <w:r>
        <w:t>561/0100 Komerční banka - pobočka Pardubice</w:t>
      </w:r>
      <w:r>
        <w:br/>
        <w:t xml:space="preserve">jako </w:t>
      </w:r>
      <w:r>
        <w:rPr>
          <w:rStyle w:val="Zkladntext2Tun"/>
        </w:rPr>
        <w:t xml:space="preserve">Příkazce </w:t>
      </w:r>
      <w:r>
        <w:t>na straně jedné</w:t>
      </w:r>
    </w:p>
    <w:p w:rsidR="007940A5" w:rsidRDefault="00205693">
      <w:pPr>
        <w:pStyle w:val="Zkladntext20"/>
        <w:shd w:val="clear" w:color="auto" w:fill="auto"/>
        <w:spacing w:before="0" w:after="259" w:line="268" w:lineRule="exact"/>
        <w:ind w:firstLine="0"/>
      </w:pPr>
      <w:r>
        <w:t>a</w:t>
      </w:r>
    </w:p>
    <w:p w:rsidR="007940A5" w:rsidRDefault="00205693">
      <w:pPr>
        <w:pStyle w:val="Zkladntext20"/>
        <w:shd w:val="clear" w:color="auto" w:fill="auto"/>
        <w:spacing w:before="0" w:after="0"/>
        <w:ind w:firstLine="0"/>
      </w:pPr>
      <w:r>
        <w:rPr>
          <w:rStyle w:val="Zkladntext2Tun"/>
        </w:rPr>
        <w:t xml:space="preserve">Turistické informační centrum, </w:t>
      </w:r>
      <w:r>
        <w:t>příspěvková organizace</w:t>
      </w:r>
      <w:r>
        <w:br/>
        <w:t>nám. Republiky 1, 530 02 Pardubice</w:t>
      </w:r>
      <w:r>
        <w:br/>
        <w:t>IČO:06495001</w:t>
      </w:r>
    </w:p>
    <w:p w:rsidR="007940A5" w:rsidRDefault="00205693">
      <w:pPr>
        <w:pStyle w:val="Zkladntext20"/>
        <w:shd w:val="clear" w:color="auto" w:fill="auto"/>
        <w:spacing w:before="0" w:after="801"/>
        <w:ind w:firstLine="0"/>
      </w:pPr>
      <w:r>
        <w:t>bankovní spojení: 115-5858100267/0100</w:t>
      </w:r>
      <w:r>
        <w:br/>
        <w:t>zastoupené Mgr. Marinou Vančatovou, Ph.D</w:t>
      </w:r>
      <w:r>
        <w:t>., ředitelkou</w:t>
      </w:r>
      <w:r>
        <w:br/>
        <w:t xml:space="preserve">jako </w:t>
      </w:r>
      <w:r>
        <w:rPr>
          <w:rStyle w:val="Zkladntext2Tun"/>
        </w:rPr>
        <w:t xml:space="preserve">Příkazník </w:t>
      </w:r>
      <w:r>
        <w:t>na straně druhé</w:t>
      </w:r>
    </w:p>
    <w:p w:rsidR="007940A5" w:rsidRDefault="00205693">
      <w:pPr>
        <w:pStyle w:val="Nadpis20"/>
        <w:keepNext/>
        <w:keepLines/>
        <w:shd w:val="clear" w:color="auto" w:fill="auto"/>
        <w:spacing w:before="0"/>
      </w:pPr>
      <w:bookmarkStart w:id="3" w:name="bookmark2"/>
      <w:r>
        <w:t>I.</w:t>
      </w:r>
      <w:bookmarkEnd w:id="3"/>
    </w:p>
    <w:p w:rsidR="007940A5" w:rsidRDefault="00205693">
      <w:pPr>
        <w:pStyle w:val="Nadpis30"/>
        <w:keepNext/>
        <w:keepLines/>
        <w:shd w:val="clear" w:color="auto" w:fill="auto"/>
        <w:spacing w:before="0" w:after="259" w:line="268" w:lineRule="exact"/>
        <w:ind w:firstLine="0"/>
      </w:pPr>
      <w:bookmarkStart w:id="4" w:name="bookmark3"/>
      <w:r>
        <w:t>Předmět smlouvy</w:t>
      </w:r>
      <w:bookmarkEnd w:id="4"/>
    </w:p>
    <w:p w:rsidR="007940A5" w:rsidRDefault="00205693">
      <w:pPr>
        <w:pStyle w:val="Zkladntext20"/>
        <w:shd w:val="clear" w:color="auto" w:fill="auto"/>
        <w:spacing w:before="0" w:after="339"/>
        <w:ind w:firstLine="0"/>
        <w:jc w:val="both"/>
      </w:pPr>
      <w:r>
        <w:t xml:space="preserve">Předmětem této příkazní smlouvy je zajištění prodeje vstupenek na prodejním místě Příkazníka v Turistickém informačním centru Pardubice, nám. Republiky 1, Pardubice na akce zadávané Příkazcem </w:t>
      </w:r>
      <w:r>
        <w:t>prostřednictvím rezervačního vstupenkového systému Colosseum.</w:t>
      </w:r>
    </w:p>
    <w:p w:rsidR="007940A5" w:rsidRDefault="00205693">
      <w:pPr>
        <w:pStyle w:val="Zkladntext30"/>
        <w:shd w:val="clear" w:color="auto" w:fill="auto"/>
        <w:spacing w:before="0" w:after="22"/>
      </w:pPr>
      <w:r>
        <w:t>II.</w:t>
      </w:r>
    </w:p>
    <w:p w:rsidR="007940A5" w:rsidRDefault="00205693">
      <w:pPr>
        <w:pStyle w:val="Nadpis30"/>
        <w:keepNext/>
        <w:keepLines/>
        <w:shd w:val="clear" w:color="auto" w:fill="auto"/>
        <w:spacing w:before="0" w:after="259" w:line="268" w:lineRule="exact"/>
        <w:ind w:firstLine="0"/>
      </w:pPr>
      <w:bookmarkStart w:id="5" w:name="bookmark4"/>
      <w:r>
        <w:t>Podmínky spolupráce</w:t>
      </w:r>
      <w:bookmarkEnd w:id="5"/>
    </w:p>
    <w:p w:rsidR="007940A5" w:rsidRDefault="00205693">
      <w:pPr>
        <w:pStyle w:val="Zkladntext2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/>
        <w:ind w:left="340" w:hanging="340"/>
        <w:jc w:val="left"/>
      </w:pPr>
      <w:r>
        <w:t>Prodej vstupenek bude realizován pouze prostřednictvím počítačového systému Colosseum, jehož provozovatelem a držitelem příslušných licenčních oprávnění je Příkazník.</w:t>
      </w:r>
    </w:p>
    <w:p w:rsidR="007940A5" w:rsidRDefault="00205693">
      <w:pPr>
        <w:pStyle w:val="Zkladntext2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318"/>
        <w:ind w:left="340" w:hanging="340"/>
        <w:jc w:val="left"/>
      </w:pPr>
      <w:r>
        <w:t>Příkazník nezodpovídá za škody způsobené výpadky či nefunkčností počítačového systému Colosseum.</w:t>
      </w:r>
    </w:p>
    <w:p w:rsidR="007940A5" w:rsidRDefault="00205693">
      <w:pPr>
        <w:pStyle w:val="Zkladntext40"/>
        <w:shd w:val="clear" w:color="auto" w:fill="auto"/>
        <w:spacing w:before="0" w:after="42"/>
      </w:pPr>
      <w:r>
        <w:t>III.</w:t>
      </w:r>
    </w:p>
    <w:p w:rsidR="007940A5" w:rsidRDefault="00205693">
      <w:pPr>
        <w:pStyle w:val="Nadpis30"/>
        <w:keepNext/>
        <w:keepLines/>
        <w:shd w:val="clear" w:color="auto" w:fill="auto"/>
        <w:spacing w:before="0" w:after="260" w:line="268" w:lineRule="exact"/>
        <w:ind w:firstLine="0"/>
      </w:pPr>
      <w:bookmarkStart w:id="6" w:name="bookmark5"/>
      <w:r>
        <w:t>Časový průběh poskytování služeb</w:t>
      </w:r>
      <w:bookmarkEnd w:id="6"/>
    </w:p>
    <w:p w:rsidR="007940A5" w:rsidRDefault="00205693">
      <w:pPr>
        <w:pStyle w:val="Zkladntext20"/>
        <w:shd w:val="clear" w:color="auto" w:fill="auto"/>
        <w:spacing w:before="0" w:line="268" w:lineRule="exact"/>
        <w:ind w:firstLine="0"/>
        <w:jc w:val="both"/>
      </w:pPr>
      <w:r>
        <w:t>Předmět této smlouvy bude zajišťován po dobu platnosti této smlouvy dle potřeb Příkazce.</w:t>
      </w:r>
    </w:p>
    <w:p w:rsidR="007940A5" w:rsidRDefault="00205693">
      <w:pPr>
        <w:pStyle w:val="Nadpis30"/>
        <w:keepNext/>
        <w:keepLines/>
        <w:shd w:val="clear" w:color="auto" w:fill="auto"/>
        <w:spacing w:before="0" w:line="268" w:lineRule="exact"/>
        <w:ind w:left="4500" w:firstLine="0"/>
        <w:jc w:val="left"/>
      </w:pPr>
      <w:bookmarkStart w:id="7" w:name="bookmark6"/>
      <w:r>
        <w:t>IV.</w:t>
      </w:r>
      <w:bookmarkEnd w:id="7"/>
    </w:p>
    <w:p w:rsidR="007940A5" w:rsidRDefault="00205693">
      <w:pPr>
        <w:pStyle w:val="Zkladntext50"/>
        <w:shd w:val="clear" w:color="auto" w:fill="auto"/>
      </w:pPr>
      <w:r>
        <w:t xml:space="preserve">Cena poskytovaných služeb, </w:t>
      </w:r>
      <w:r>
        <w:t>vyúčtování, platební a fakturační podmínky</w:t>
      </w:r>
    </w:p>
    <w:p w:rsidR="007940A5" w:rsidRDefault="00205693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spacing w:before="0" w:line="268" w:lineRule="exact"/>
        <w:ind w:firstLine="0"/>
        <w:jc w:val="both"/>
      </w:pPr>
      <w:bookmarkStart w:id="8" w:name="bookmark7"/>
      <w:r>
        <w:t>Cena</w:t>
      </w:r>
      <w:bookmarkEnd w:id="8"/>
    </w:p>
    <w:p w:rsidR="007940A5" w:rsidRDefault="00205693">
      <w:pPr>
        <w:pStyle w:val="Zkladntext20"/>
        <w:shd w:val="clear" w:color="auto" w:fill="auto"/>
        <w:spacing w:before="0" w:after="259" w:line="268" w:lineRule="exact"/>
        <w:ind w:left="340" w:firstLine="0"/>
        <w:jc w:val="left"/>
      </w:pPr>
      <w:r>
        <w:t>Příkazníkovi za plnění předmětu smlouvy náleží odměna ve formě provize.</w:t>
      </w:r>
    </w:p>
    <w:p w:rsidR="007940A5" w:rsidRDefault="00205693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795"/>
        </w:tabs>
        <w:spacing w:before="0"/>
        <w:ind w:left="440" w:firstLine="0"/>
        <w:jc w:val="left"/>
      </w:pPr>
      <w:bookmarkStart w:id="9" w:name="bookmark8"/>
      <w:r>
        <w:t>Akce, u nichž je Příkazce pořadatelem</w:t>
      </w:r>
      <w:bookmarkEnd w:id="9"/>
    </w:p>
    <w:p w:rsidR="007940A5" w:rsidRDefault="00205693">
      <w:pPr>
        <w:pStyle w:val="Zkladntext20"/>
        <w:shd w:val="clear" w:color="auto" w:fill="auto"/>
        <w:spacing w:before="0" w:after="261"/>
        <w:ind w:left="740" w:firstLine="0"/>
        <w:jc w:val="both"/>
      </w:pPr>
      <w:r>
        <w:t xml:space="preserve">Provize je stanovena ve výši </w:t>
      </w:r>
      <w:r>
        <w:rPr>
          <w:rStyle w:val="Zkladntext2Tun"/>
        </w:rPr>
        <w:t xml:space="preserve">5 </w:t>
      </w:r>
      <w:r>
        <w:rPr>
          <w:rStyle w:val="Zkladntext2Kurzva"/>
        </w:rPr>
        <w:t>%</w:t>
      </w:r>
      <w:r>
        <w:t xml:space="preserve"> (včetně DPH ve výši stanovené právními předpisy platnými v době z</w:t>
      </w:r>
      <w:r>
        <w:t xml:space="preserve">danitelného plnění) z konečné Příkazcem stanovené prodejní ceny vstupenek za každou úspěšně zrealizovanou transakci prostřednictvím rezervačního vstupenkového systému </w:t>
      </w:r>
      <w:r>
        <w:lastRenderedPageBreak/>
        <w:t>Colosseum na prodejním místě Příkazníka.</w:t>
      </w:r>
    </w:p>
    <w:p w:rsidR="007940A5" w:rsidRDefault="00205693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68" w:lineRule="exact"/>
        <w:ind w:left="420" w:firstLine="0"/>
        <w:jc w:val="left"/>
      </w:pPr>
      <w:bookmarkStart w:id="10" w:name="bookmark9"/>
      <w:r>
        <w:t>Akce, u nichž není Příkazce pořadatelem</w:t>
      </w:r>
      <w:bookmarkEnd w:id="10"/>
    </w:p>
    <w:p w:rsidR="007940A5" w:rsidRDefault="00205693">
      <w:pPr>
        <w:pStyle w:val="Zkladntext20"/>
        <w:shd w:val="clear" w:color="auto" w:fill="auto"/>
        <w:spacing w:before="0" w:after="268"/>
        <w:ind w:left="760" w:firstLine="0"/>
        <w:jc w:val="both"/>
      </w:pPr>
      <w:r>
        <w:t xml:space="preserve">Provize je stanovena </w:t>
      </w:r>
      <w:r>
        <w:rPr>
          <w:rStyle w:val="Zkladntext2Tun"/>
        </w:rPr>
        <w:t xml:space="preserve">10 </w:t>
      </w:r>
      <w:r>
        <w:t>% (včetně DPH ve výši stanovené právními předpisy platnými v době zdanitelného plnění) z konečné Příkazcem stanovené prodejní ceny vstupenek za každou úspěšně zrealizovanou transakci prostřednictvím rezervačního vstupenkového systém</w:t>
      </w:r>
      <w:r>
        <w:t>u Colosseum na prodejním místě Příkazníka.</w:t>
      </w:r>
    </w:p>
    <w:p w:rsidR="007940A5" w:rsidRDefault="00205693">
      <w:pPr>
        <w:pStyle w:val="Zkladntext20"/>
        <w:shd w:val="clear" w:color="auto" w:fill="auto"/>
        <w:spacing w:before="0" w:after="256" w:line="259" w:lineRule="exact"/>
        <w:ind w:firstLine="0"/>
        <w:jc w:val="both"/>
      </w:pPr>
      <w:r>
        <w:t>Touto smlouvou dohodnutá odměna zahrnuje veškeré náklady Příkazníka na realizaci předmětu smlouvy.</w:t>
      </w:r>
    </w:p>
    <w:p w:rsidR="007940A5" w:rsidRDefault="00205693">
      <w:pPr>
        <w:pStyle w:val="Zkladntext20"/>
        <w:shd w:val="clear" w:color="auto" w:fill="auto"/>
        <w:spacing w:before="0" w:after="256" w:line="264" w:lineRule="exact"/>
        <w:ind w:firstLine="0"/>
        <w:jc w:val="both"/>
      </w:pPr>
      <w:r>
        <w:t>Příkazník si vyhrazuje právo stanovit na určenou dobu a/nebo určené tituly nabízených akcí provizi Příkazníkovi od</w:t>
      </w:r>
      <w:r>
        <w:t>chylně od provize stanovené v článku IV., bodu 1. této smlouvy. Jedná se zejména o charitativní akce.</w:t>
      </w:r>
    </w:p>
    <w:p w:rsidR="007940A5" w:rsidRDefault="00205693">
      <w:pPr>
        <w:pStyle w:val="Zkladntext20"/>
        <w:shd w:val="clear" w:color="auto" w:fill="auto"/>
        <w:spacing w:before="0" w:after="261"/>
        <w:ind w:firstLine="0"/>
        <w:jc w:val="both"/>
      </w:pPr>
      <w:r>
        <w:t>Provize za prodané vstupenky v případě zrušeného představení zůstává v plné výši Příkazníkovi pouze v případě, že tato skutečnost platí i ve vztahu Příkaz</w:t>
      </w:r>
      <w:r>
        <w:t>ce a pořadatele konkrétní akce.</w:t>
      </w:r>
    </w:p>
    <w:p w:rsidR="007940A5" w:rsidRDefault="00205693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before="0" w:line="268" w:lineRule="exact"/>
        <w:ind w:left="320"/>
        <w:jc w:val="both"/>
      </w:pPr>
      <w:bookmarkStart w:id="11" w:name="bookmark10"/>
      <w:r>
        <w:t>Vyúčtování</w:t>
      </w:r>
      <w:bookmarkEnd w:id="11"/>
    </w:p>
    <w:p w:rsidR="007940A5" w:rsidRDefault="00205693">
      <w:pPr>
        <w:pStyle w:val="Zkladntext20"/>
        <w:shd w:val="clear" w:color="auto" w:fill="auto"/>
        <w:spacing w:before="0" w:after="256" w:line="264" w:lineRule="exact"/>
        <w:ind w:left="320" w:firstLine="0"/>
        <w:jc w:val="both"/>
      </w:pPr>
      <w:r>
        <w:t>Vyúčtování prodejů vstupenek bude probíhat lx měsíčně s výjimkou prázdninových měsíců července a srpna, které mohou být vyúčtovány dohromady. Vyúčtování bude zasláno Příkazcem Příkazníkovi e-mailem nejpozději do 1</w:t>
      </w:r>
      <w:r>
        <w:t>0. dne následujícího kalendářního měsíce po kalendářním měsíci, ke kterému se tržby vztahují, na základě podkladů poskytnutých počítačovým systémem Colosseum. Částka k úhradě za vstupenky (odvod tržeb utržených Příkazníkem Příkazci) je ponížena o odměnu Př</w:t>
      </w:r>
      <w:r>
        <w:t>íkazníka. Toto vyúčtování bude Příkazníkovi podkladem pro odvod za Příkazce utržených tržeb. Toto vyúčtování zároveň slouží Příkazníkovi jako podklad k vystavení faktury.</w:t>
      </w:r>
    </w:p>
    <w:p w:rsidR="007940A5" w:rsidRDefault="00205693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290"/>
        </w:tabs>
        <w:spacing w:before="0"/>
        <w:ind w:left="320"/>
        <w:jc w:val="both"/>
      </w:pPr>
      <w:bookmarkStart w:id="12" w:name="bookmark11"/>
      <w:r>
        <w:t>Fakturační podmínky</w:t>
      </w:r>
      <w:bookmarkEnd w:id="12"/>
    </w:p>
    <w:p w:rsidR="007940A5" w:rsidRDefault="00205693">
      <w:pPr>
        <w:pStyle w:val="Zkladntext20"/>
        <w:shd w:val="clear" w:color="auto" w:fill="auto"/>
        <w:spacing w:before="0"/>
        <w:ind w:left="320" w:firstLine="0"/>
        <w:jc w:val="both"/>
      </w:pPr>
      <w:r>
        <w:t xml:space="preserve">Příkazník je povinen po obdržení vyúčtování vystavit Příkazci </w:t>
      </w:r>
      <w:r>
        <w:t>fakturu - daňový doklad na smluvní odměnu a zaslat ji Příkazci e-mailem. Dnem zdanitelného plnění faktury je poslední den měsíce, ke kterému se smluvní odměna za poskytované služby vztahuje.</w:t>
      </w:r>
    </w:p>
    <w:p w:rsidR="007940A5" w:rsidRDefault="00205693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290"/>
        </w:tabs>
        <w:spacing w:before="0"/>
        <w:ind w:left="320"/>
        <w:jc w:val="both"/>
      </w:pPr>
      <w:bookmarkStart w:id="13" w:name="bookmark12"/>
      <w:r>
        <w:t>Platební podmínky</w:t>
      </w:r>
      <w:bookmarkEnd w:id="13"/>
    </w:p>
    <w:p w:rsidR="007940A5" w:rsidRDefault="00205693">
      <w:pPr>
        <w:pStyle w:val="Zkladntext20"/>
        <w:shd w:val="clear" w:color="auto" w:fill="auto"/>
        <w:spacing w:before="0" w:after="261"/>
        <w:ind w:left="320" w:firstLine="0"/>
        <w:jc w:val="both"/>
      </w:pPr>
      <w:r>
        <w:t xml:space="preserve">Smluvní strany se dohodly, že vzájemné závazky </w:t>
      </w:r>
      <w:r>
        <w:t xml:space="preserve">a pohledávky vzniklé z prodeje vstupenek se započítávají. Utržené finanční prostředky je Příkazník povinen na základě vyúčtování (po odečtení jeho odměny) převést na bankovní účet Příkazníka, a to nejpozději do 20. dne následujícího kalendářního měsíce po </w:t>
      </w:r>
      <w:r>
        <w:t>kalendářním měsíci, za který bylo provedeno vyúčtování.</w:t>
      </w:r>
    </w:p>
    <w:p w:rsidR="007940A5" w:rsidRDefault="00205693">
      <w:pPr>
        <w:pStyle w:val="Nadpis30"/>
        <w:keepNext/>
        <w:keepLines/>
        <w:shd w:val="clear" w:color="auto" w:fill="auto"/>
        <w:spacing w:before="0" w:line="268" w:lineRule="exact"/>
        <w:ind w:left="4480" w:firstLine="0"/>
        <w:jc w:val="left"/>
      </w:pPr>
      <w:bookmarkStart w:id="14" w:name="bookmark13"/>
      <w:r>
        <w:t>V.</w:t>
      </w:r>
      <w:bookmarkEnd w:id="14"/>
    </w:p>
    <w:p w:rsidR="007940A5" w:rsidRDefault="00205693">
      <w:pPr>
        <w:pStyle w:val="Nadpis30"/>
        <w:keepNext/>
        <w:keepLines/>
        <w:shd w:val="clear" w:color="auto" w:fill="auto"/>
        <w:spacing w:before="0" w:after="259" w:line="268" w:lineRule="exact"/>
        <w:ind w:firstLine="0"/>
      </w:pPr>
      <w:bookmarkStart w:id="15" w:name="bookmark14"/>
      <w:r>
        <w:t>Smluvní pokuty</w:t>
      </w:r>
      <w:bookmarkEnd w:id="15"/>
    </w:p>
    <w:p w:rsidR="007940A5" w:rsidRDefault="00205693">
      <w:pPr>
        <w:pStyle w:val="Zkladntext20"/>
        <w:shd w:val="clear" w:color="auto" w:fill="auto"/>
        <w:spacing w:before="0" w:after="261"/>
        <w:ind w:firstLine="0"/>
        <w:jc w:val="both"/>
      </w:pPr>
      <w:r>
        <w:t>V případě prodlení Příkazníka s odvodem Příkazcových tržeb je Příkazce oprávněn požadovat smluvní pokutu ve výši 0,5 % z dlužné částky za každý, byť i započatý, den prodlení.</w:t>
      </w:r>
    </w:p>
    <w:p w:rsidR="007940A5" w:rsidRDefault="00205693">
      <w:pPr>
        <w:pStyle w:val="Nadpis30"/>
        <w:keepNext/>
        <w:keepLines/>
        <w:shd w:val="clear" w:color="auto" w:fill="auto"/>
        <w:spacing w:before="0" w:line="268" w:lineRule="exact"/>
        <w:ind w:left="4480" w:firstLine="0"/>
        <w:jc w:val="left"/>
      </w:pPr>
      <w:bookmarkStart w:id="16" w:name="bookmark15"/>
      <w:r>
        <w:t>VI.</w:t>
      </w:r>
      <w:bookmarkEnd w:id="16"/>
    </w:p>
    <w:p w:rsidR="007940A5" w:rsidRDefault="00205693">
      <w:pPr>
        <w:pStyle w:val="Nadpis30"/>
        <w:keepNext/>
        <w:keepLines/>
        <w:shd w:val="clear" w:color="auto" w:fill="auto"/>
        <w:spacing w:before="0" w:after="263" w:line="268" w:lineRule="exact"/>
        <w:ind w:firstLine="0"/>
      </w:pPr>
      <w:bookmarkStart w:id="17" w:name="bookmark16"/>
      <w:r>
        <w:t>Doba trvání smlouvy, ukončení smluvního vztahu</w:t>
      </w:r>
      <w:bookmarkEnd w:id="17"/>
    </w:p>
    <w:p w:rsidR="007940A5" w:rsidRDefault="00205693">
      <w:pPr>
        <w:pStyle w:val="Zkladntext20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64" w:lineRule="exact"/>
        <w:ind w:left="320" w:hanging="320"/>
        <w:jc w:val="both"/>
      </w:pPr>
      <w:r>
        <w:t>Smlouva se uzavírá na dobu neurčitou - a to ode dne jejího podpisu oprávněnými zástupci smluvních stran.</w:t>
      </w:r>
    </w:p>
    <w:p w:rsidR="007940A5" w:rsidRDefault="00205693">
      <w:pPr>
        <w:pStyle w:val="Zkladntext20"/>
        <w:numPr>
          <w:ilvl w:val="0"/>
          <w:numId w:val="4"/>
        </w:numPr>
        <w:shd w:val="clear" w:color="auto" w:fill="auto"/>
        <w:tabs>
          <w:tab w:val="left" w:pos="281"/>
        </w:tabs>
        <w:spacing w:before="0" w:after="0" w:line="264" w:lineRule="exact"/>
        <w:ind w:left="320" w:hanging="320"/>
        <w:jc w:val="both"/>
      </w:pPr>
      <w:r>
        <w:t xml:space="preserve">Smlouva zaniká v důsledku skutečností majících povahu vyšší moci znemožňujících splnění závazků </w:t>
      </w:r>
      <w:r>
        <w:t>přijatých touto smlouvou např. ztráty právní způsobilosti smluvních stran, živelné pohromy, politické události apod.</w:t>
      </w:r>
    </w:p>
    <w:p w:rsidR="007940A5" w:rsidRDefault="00205693">
      <w:pPr>
        <w:pStyle w:val="Zkladntext20"/>
        <w:numPr>
          <w:ilvl w:val="0"/>
          <w:numId w:val="4"/>
        </w:numPr>
        <w:shd w:val="clear" w:color="auto" w:fill="auto"/>
        <w:tabs>
          <w:tab w:val="left" w:pos="281"/>
        </w:tabs>
        <w:spacing w:before="0" w:after="0" w:line="264" w:lineRule="exact"/>
        <w:ind w:left="320" w:hanging="320"/>
        <w:jc w:val="both"/>
      </w:pPr>
      <w:r>
        <w:t>Smlouva může být ukončena písemnou dohodou obou smluvních stran.</w:t>
      </w:r>
    </w:p>
    <w:p w:rsidR="007940A5" w:rsidRDefault="00205693">
      <w:pPr>
        <w:pStyle w:val="Zkladntext20"/>
        <w:numPr>
          <w:ilvl w:val="0"/>
          <w:numId w:val="4"/>
        </w:numPr>
        <w:shd w:val="clear" w:color="auto" w:fill="auto"/>
        <w:tabs>
          <w:tab w:val="left" w:pos="287"/>
        </w:tabs>
        <w:spacing w:before="0" w:after="0"/>
        <w:ind w:left="340" w:hanging="340"/>
        <w:jc w:val="both"/>
      </w:pPr>
      <w:r>
        <w:t>Kterákoliv ze smluvních stran může odstoupit od smlouvy:</w:t>
      </w:r>
    </w:p>
    <w:p w:rsidR="007940A5" w:rsidRDefault="00205693">
      <w:pPr>
        <w:pStyle w:val="Zkladntext20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/>
        <w:ind w:left="780"/>
        <w:jc w:val="both"/>
      </w:pPr>
      <w:r>
        <w:lastRenderedPageBreak/>
        <w:t>v případě, že Pří</w:t>
      </w:r>
      <w:r>
        <w:t>kazník nebude schopen řádně provozovat a vést prodejní místa, nebo</w:t>
      </w:r>
    </w:p>
    <w:p w:rsidR="007940A5" w:rsidRDefault="00205693">
      <w:pPr>
        <w:pStyle w:val="Zkladntext20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/>
        <w:ind w:left="780"/>
        <w:jc w:val="both"/>
      </w:pPr>
      <w:r>
        <w:t>druhá smluvní strana poruší závažným způsobem své závazky, vyplývající z této smlouvy, a jestliže v případě odstranitelného porušení nezjedná nápravu do 10 dnů od doručení písemného upozorn</w:t>
      </w:r>
      <w:r>
        <w:t>ění druhé smluvní strany, které bude obsahovat popis porušení a požadavek na nápravu, nebo</w:t>
      </w:r>
    </w:p>
    <w:p w:rsidR="007940A5" w:rsidRDefault="00205693">
      <w:pPr>
        <w:pStyle w:val="Zkladntext20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/>
        <w:ind w:left="780"/>
        <w:jc w:val="both"/>
      </w:pPr>
      <w:r>
        <w:t>druhá strana se stane insolventní.</w:t>
      </w:r>
    </w:p>
    <w:p w:rsidR="007940A5" w:rsidRDefault="00205693">
      <w:pPr>
        <w:pStyle w:val="Zkladntext20"/>
        <w:numPr>
          <w:ilvl w:val="0"/>
          <w:numId w:val="4"/>
        </w:numPr>
        <w:shd w:val="clear" w:color="auto" w:fill="auto"/>
        <w:tabs>
          <w:tab w:val="left" w:pos="287"/>
        </w:tabs>
        <w:spacing w:before="0" w:after="261"/>
        <w:ind w:left="340" w:hanging="340"/>
        <w:jc w:val="both"/>
      </w:pPr>
      <w:r>
        <w:t>Každá ze smluvních stran je oprávněna ukončit tuto smlouvu výpovědí, i bez uvedení důvodu, s tříměsíční výpovědní dobou. Výpovědní</w:t>
      </w:r>
      <w:r>
        <w:t xml:space="preserve"> doba začíná běžet od prvního dne měsíce následujícího po doručení výpovědi druhé straně.</w:t>
      </w:r>
    </w:p>
    <w:p w:rsidR="007940A5" w:rsidRDefault="00205693">
      <w:pPr>
        <w:pStyle w:val="Nadpis30"/>
        <w:keepNext/>
        <w:keepLines/>
        <w:shd w:val="clear" w:color="auto" w:fill="auto"/>
        <w:spacing w:before="0" w:line="268" w:lineRule="exact"/>
        <w:ind w:left="4420" w:firstLine="0"/>
        <w:jc w:val="left"/>
      </w:pPr>
      <w:bookmarkStart w:id="18" w:name="bookmark17"/>
      <w:r>
        <w:t>VII.</w:t>
      </w:r>
      <w:bookmarkEnd w:id="18"/>
    </w:p>
    <w:p w:rsidR="007940A5" w:rsidRDefault="00205693">
      <w:pPr>
        <w:pStyle w:val="Nadpis30"/>
        <w:keepNext/>
        <w:keepLines/>
        <w:shd w:val="clear" w:color="auto" w:fill="auto"/>
        <w:spacing w:before="0" w:after="263" w:line="268" w:lineRule="exact"/>
        <w:ind w:firstLine="0"/>
      </w:pPr>
      <w:bookmarkStart w:id="19" w:name="bookmark18"/>
      <w:r>
        <w:t>Práva a povinnosti Příkazce</w:t>
      </w:r>
      <w:bookmarkEnd w:id="19"/>
    </w:p>
    <w:p w:rsidR="007940A5" w:rsidRDefault="00205693">
      <w:pPr>
        <w:pStyle w:val="Zkladntext20"/>
        <w:numPr>
          <w:ilvl w:val="0"/>
          <w:numId w:val="6"/>
        </w:numPr>
        <w:shd w:val="clear" w:color="auto" w:fill="auto"/>
        <w:tabs>
          <w:tab w:val="left" w:pos="287"/>
        </w:tabs>
        <w:spacing w:before="0" w:after="0" w:line="264" w:lineRule="exact"/>
        <w:ind w:left="340" w:hanging="340"/>
        <w:jc w:val="both"/>
      </w:pPr>
      <w:r>
        <w:t>Příkazce je povinen poskytnout Příkazníkovi nezbytnou součinnost při plnění předmětu této smlouvy.</w:t>
      </w:r>
    </w:p>
    <w:p w:rsidR="007940A5" w:rsidRDefault="00205693">
      <w:pPr>
        <w:pStyle w:val="Zkladntext20"/>
        <w:numPr>
          <w:ilvl w:val="0"/>
          <w:numId w:val="6"/>
        </w:numPr>
        <w:shd w:val="clear" w:color="auto" w:fill="auto"/>
        <w:tabs>
          <w:tab w:val="left" w:pos="287"/>
        </w:tabs>
        <w:spacing w:before="0" w:after="0" w:line="264" w:lineRule="exact"/>
        <w:ind w:left="340" w:hanging="340"/>
        <w:jc w:val="both"/>
      </w:pPr>
      <w:r>
        <w:t xml:space="preserve">Příkazce je povinen zajistit </w:t>
      </w:r>
      <w:r>
        <w:t>včasnou aktualizaci případných programových změn v rezervačním vstupenkovém systému Colosseum.</w:t>
      </w:r>
    </w:p>
    <w:p w:rsidR="007940A5" w:rsidRDefault="00205693">
      <w:pPr>
        <w:pStyle w:val="Zkladntext20"/>
        <w:numPr>
          <w:ilvl w:val="0"/>
          <w:numId w:val="6"/>
        </w:numPr>
        <w:shd w:val="clear" w:color="auto" w:fill="auto"/>
        <w:tabs>
          <w:tab w:val="left" w:pos="287"/>
        </w:tabs>
        <w:spacing w:before="0" w:after="314" w:line="264" w:lineRule="exact"/>
        <w:ind w:left="340" w:hanging="340"/>
        <w:jc w:val="both"/>
      </w:pPr>
      <w:r>
        <w:t>Příkazce je povinen dodržovat zákon číslo 101/2000 Sb., o ochraně osobních údajů v platném znění.</w:t>
      </w:r>
    </w:p>
    <w:p w:rsidR="007940A5" w:rsidRDefault="00205693">
      <w:pPr>
        <w:pStyle w:val="Zkladntext60"/>
        <w:shd w:val="clear" w:color="auto" w:fill="auto"/>
        <w:spacing w:before="0"/>
        <w:ind w:left="4420"/>
      </w:pPr>
      <w:r>
        <w:t>Vlil.</w:t>
      </w:r>
    </w:p>
    <w:p w:rsidR="007940A5" w:rsidRDefault="00205693">
      <w:pPr>
        <w:pStyle w:val="Nadpis30"/>
        <w:keepNext/>
        <w:keepLines/>
        <w:shd w:val="clear" w:color="auto" w:fill="auto"/>
        <w:spacing w:before="0" w:after="259" w:line="268" w:lineRule="exact"/>
        <w:ind w:firstLine="0"/>
      </w:pPr>
      <w:bookmarkStart w:id="20" w:name="bookmark19"/>
      <w:r>
        <w:t>Práva a povinnosti Příkazníka</w:t>
      </w:r>
      <w:bookmarkEnd w:id="20"/>
    </w:p>
    <w:p w:rsidR="007940A5" w:rsidRDefault="00205693">
      <w:pPr>
        <w:pStyle w:val="Zkladntext20"/>
        <w:numPr>
          <w:ilvl w:val="0"/>
          <w:numId w:val="7"/>
        </w:numPr>
        <w:shd w:val="clear" w:color="auto" w:fill="auto"/>
        <w:tabs>
          <w:tab w:val="left" w:pos="287"/>
        </w:tabs>
        <w:spacing w:before="0" w:after="0"/>
        <w:ind w:left="340" w:hanging="340"/>
        <w:jc w:val="both"/>
      </w:pPr>
      <w:r>
        <w:t xml:space="preserve">Příkazník je povinen </w:t>
      </w:r>
      <w:r>
        <w:t>zajistit kvalitu poskytovaných služeb, zejména s ohledem na podmínky této smlouvy.</w:t>
      </w:r>
    </w:p>
    <w:p w:rsidR="007940A5" w:rsidRDefault="00205693">
      <w:pPr>
        <w:pStyle w:val="Zkladntext20"/>
        <w:numPr>
          <w:ilvl w:val="0"/>
          <w:numId w:val="7"/>
        </w:numPr>
        <w:shd w:val="clear" w:color="auto" w:fill="auto"/>
        <w:tabs>
          <w:tab w:val="left" w:pos="287"/>
        </w:tabs>
        <w:spacing w:before="0" w:after="0"/>
        <w:ind w:left="340" w:hanging="340"/>
        <w:jc w:val="both"/>
      </w:pPr>
      <w:r>
        <w:t>Příkazník je povinen dodržovat zákon číslo 101/2000 Sb., o ochraně osobních údajů v platném znění.</w:t>
      </w:r>
    </w:p>
    <w:p w:rsidR="007940A5" w:rsidRDefault="00205693">
      <w:pPr>
        <w:pStyle w:val="Zkladntext20"/>
        <w:numPr>
          <w:ilvl w:val="0"/>
          <w:numId w:val="7"/>
        </w:numPr>
        <w:shd w:val="clear" w:color="auto" w:fill="auto"/>
        <w:tabs>
          <w:tab w:val="left" w:pos="287"/>
        </w:tabs>
        <w:spacing w:before="0" w:after="0"/>
        <w:ind w:left="340" w:hanging="340"/>
        <w:jc w:val="both"/>
      </w:pPr>
      <w:r>
        <w:t>Příkazník nesmí bez souhlasu příkazce postoupit svá práva a povinnosti ply</w:t>
      </w:r>
      <w:r>
        <w:t>noucí ze smlouvy třetí osobě.</w:t>
      </w:r>
    </w:p>
    <w:p w:rsidR="007940A5" w:rsidRDefault="00205693">
      <w:pPr>
        <w:pStyle w:val="Zkladntext20"/>
        <w:numPr>
          <w:ilvl w:val="0"/>
          <w:numId w:val="7"/>
        </w:numPr>
        <w:shd w:val="clear" w:color="auto" w:fill="auto"/>
        <w:tabs>
          <w:tab w:val="left" w:pos="287"/>
        </w:tabs>
        <w:spacing w:before="0" w:after="0"/>
        <w:ind w:left="340" w:hanging="340"/>
        <w:jc w:val="both"/>
      </w:pPr>
      <w:r>
        <w:t xml:space="preserve">Příkazník je oprávněn užívat rezervační vstupenkový systém Colosseum pouze v takové míře, která je nezbytná k řádnému plnění této smlouvy a není oprávněn do něj nijak zasahovat. Příkazník dále není oprávněn seznamovat s tímto </w:t>
      </w:r>
      <w:r>
        <w:t>systémem ani s jeho obsahem třetí osoby. Příkazník bere na vědomí, že rezervační vstupenkový systém Colosseum je chráněn autorskými právy dle zákona a nesmí jej žádným způsobem šířit, ani jinak zneužívat.</w:t>
      </w:r>
    </w:p>
    <w:p w:rsidR="007940A5" w:rsidRDefault="00205693">
      <w:pPr>
        <w:pStyle w:val="Zkladntext20"/>
        <w:numPr>
          <w:ilvl w:val="0"/>
          <w:numId w:val="7"/>
        </w:numPr>
        <w:shd w:val="clear" w:color="auto" w:fill="auto"/>
        <w:tabs>
          <w:tab w:val="left" w:pos="287"/>
        </w:tabs>
        <w:spacing w:before="0" w:after="0"/>
        <w:ind w:left="340" w:hanging="340"/>
        <w:jc w:val="both"/>
      </w:pPr>
      <w:r>
        <w:t>Příkazník nese veškerou odpovědnost za všechny úkon</w:t>
      </w:r>
      <w:r>
        <w:t xml:space="preserve">y provedené v rezervačním vstupenkovém systému Colosseum všemi osobami, které použijí pro přístup do systému přístupové údaje přidělené Příkazníkovi. Tuto odpovědnost nese i v případě zneužití přidělených přístupových jmen nebo hesel nepovolanými osobami. </w:t>
      </w:r>
      <w:r>
        <w:t>Přístupová jména a hesla nesmí sdělovat třetím osobám. Zavazuje se učinit taková opatření, která znemožní zneužití rezervačního vstupenkového systému neoprávněnými osobami. Za důsledky případného zneužití odpovídá prodejce.</w:t>
      </w:r>
    </w:p>
    <w:p w:rsidR="007940A5" w:rsidRDefault="00205693">
      <w:pPr>
        <w:pStyle w:val="Zkladntext20"/>
        <w:numPr>
          <w:ilvl w:val="0"/>
          <w:numId w:val="7"/>
        </w:numPr>
        <w:shd w:val="clear" w:color="auto" w:fill="auto"/>
        <w:tabs>
          <w:tab w:val="left" w:pos="287"/>
        </w:tabs>
        <w:spacing w:before="0" w:after="0"/>
        <w:ind w:left="340" w:hanging="340"/>
        <w:jc w:val="both"/>
      </w:pPr>
      <w:r>
        <w:t xml:space="preserve">Příkazník je povinen nakládat s </w:t>
      </w:r>
      <w:r>
        <w:t>předtisky vstupenek, dodanými Příkazcem, jako s ceninami a zabránit jejich možnému zneužití či ztrátě.</w:t>
      </w:r>
    </w:p>
    <w:p w:rsidR="007940A5" w:rsidRDefault="00205693">
      <w:pPr>
        <w:pStyle w:val="Zkladntext20"/>
        <w:numPr>
          <w:ilvl w:val="0"/>
          <w:numId w:val="7"/>
        </w:numPr>
        <w:shd w:val="clear" w:color="auto" w:fill="auto"/>
        <w:tabs>
          <w:tab w:val="left" w:pos="287"/>
        </w:tabs>
        <w:spacing w:before="0" w:after="261"/>
        <w:ind w:left="340" w:hanging="340"/>
        <w:jc w:val="both"/>
      </w:pPr>
      <w:r>
        <w:t>Příkazník je srozuměn s tím, že vstupenky, které prodá, nebude možné vrátit do rezervačního vstupenkového systému, ani je vyměnit za jiné vstupenky. Ve v</w:t>
      </w:r>
      <w:r>
        <w:t>ýjimečných případech, kdy bude zapotřebí vstupenky vrátit, je Příkazník povinen neprodleně kontaktovat osobu pověřenou poskytovatelem a dohodnout s ní možný postup. Takovéto případy se budou řešit individuálně. Veškeré stornované vstupenky pak Příkazník oz</w:t>
      </w:r>
      <w:r>
        <w:t>načí razítkem „storno" a odevzdá příkazci.</w:t>
      </w:r>
    </w:p>
    <w:p w:rsidR="007940A5" w:rsidRDefault="00205693">
      <w:pPr>
        <w:pStyle w:val="Nadpis30"/>
        <w:keepNext/>
        <w:keepLines/>
        <w:shd w:val="clear" w:color="auto" w:fill="auto"/>
        <w:spacing w:before="0" w:line="268" w:lineRule="exact"/>
        <w:ind w:left="4420" w:firstLine="0"/>
        <w:jc w:val="left"/>
      </w:pPr>
      <w:bookmarkStart w:id="21" w:name="bookmark20"/>
      <w:r>
        <w:t>IX.</w:t>
      </w:r>
      <w:bookmarkEnd w:id="21"/>
    </w:p>
    <w:p w:rsidR="007940A5" w:rsidRDefault="00205693">
      <w:pPr>
        <w:pStyle w:val="Nadpis30"/>
        <w:keepNext/>
        <w:keepLines/>
        <w:shd w:val="clear" w:color="auto" w:fill="auto"/>
        <w:spacing w:before="0" w:after="259" w:line="268" w:lineRule="exact"/>
        <w:ind w:firstLine="0"/>
      </w:pPr>
      <w:bookmarkStart w:id="22" w:name="bookmark21"/>
      <w:r>
        <w:t>Další ujednání</w:t>
      </w:r>
      <w:bookmarkEnd w:id="22"/>
    </w:p>
    <w:p w:rsidR="007940A5" w:rsidRDefault="00205693">
      <w:pPr>
        <w:pStyle w:val="Zkladntext20"/>
        <w:numPr>
          <w:ilvl w:val="0"/>
          <w:numId w:val="8"/>
        </w:numPr>
        <w:shd w:val="clear" w:color="auto" w:fill="auto"/>
        <w:tabs>
          <w:tab w:val="left" w:pos="287"/>
        </w:tabs>
        <w:spacing w:before="0" w:after="0"/>
        <w:ind w:left="340" w:hanging="340"/>
        <w:jc w:val="both"/>
      </w:pPr>
      <w:r>
        <w:t>Příkazník se zavazuje, že pracovníci určení ke spolupráci s Příkazcem se budou svědomitě věnovat plnění předmětu této smlouvy tak, aby zůstalo zachováno dobré jméno Příkazce.</w:t>
      </w:r>
      <w:r>
        <w:br w:type="page"/>
      </w:r>
    </w:p>
    <w:p w:rsidR="007940A5" w:rsidRDefault="00205693">
      <w:pPr>
        <w:pStyle w:val="Zkladntext20"/>
        <w:numPr>
          <w:ilvl w:val="0"/>
          <w:numId w:val="8"/>
        </w:numPr>
        <w:shd w:val="clear" w:color="auto" w:fill="auto"/>
        <w:tabs>
          <w:tab w:val="left" w:pos="305"/>
        </w:tabs>
        <w:spacing w:before="0" w:after="0" w:line="264" w:lineRule="exact"/>
        <w:ind w:left="300" w:hanging="300"/>
        <w:jc w:val="both"/>
      </w:pPr>
      <w:r>
        <w:lastRenderedPageBreak/>
        <w:t xml:space="preserve">Pracovníci </w:t>
      </w:r>
      <w:r>
        <w:t>Příkazce i Příkazníka jsou povinni zachovávat podmínku mlčenlivosti o všech skutečnostech týkajících se partnera, jeho činnosti, know-how, jeho obchodních partnerech, dosažených ekonomických a obchodních výsledcích a podobně.</w:t>
      </w:r>
    </w:p>
    <w:p w:rsidR="007940A5" w:rsidRDefault="00205693">
      <w:pPr>
        <w:pStyle w:val="Zkladntext20"/>
        <w:numPr>
          <w:ilvl w:val="0"/>
          <w:numId w:val="8"/>
        </w:numPr>
        <w:shd w:val="clear" w:color="auto" w:fill="auto"/>
        <w:tabs>
          <w:tab w:val="left" w:pos="305"/>
        </w:tabs>
        <w:spacing w:before="0" w:after="277" w:line="264" w:lineRule="exact"/>
        <w:ind w:left="300" w:hanging="300"/>
        <w:jc w:val="both"/>
      </w:pPr>
      <w:r>
        <w:t>Smlouva je platná a nabývá úči</w:t>
      </w:r>
      <w:r>
        <w:t>nnosti ode dne jejího podpisu oprávněnými zástupci smluvních stran.</w:t>
      </w:r>
    </w:p>
    <w:p w:rsidR="007940A5" w:rsidRDefault="00205693">
      <w:pPr>
        <w:pStyle w:val="Zkladntext50"/>
        <w:shd w:val="clear" w:color="auto" w:fill="auto"/>
        <w:spacing w:after="0"/>
        <w:ind w:left="20"/>
      </w:pPr>
      <w:r>
        <w:t>X.</w:t>
      </w:r>
    </w:p>
    <w:p w:rsidR="007940A5" w:rsidRDefault="00205693">
      <w:pPr>
        <w:pStyle w:val="Zkladntext50"/>
        <w:shd w:val="clear" w:color="auto" w:fill="auto"/>
        <w:spacing w:after="0"/>
        <w:ind w:left="20"/>
      </w:pPr>
      <w:r>
        <w:t>Závěrečná ustanovení</w:t>
      </w:r>
    </w:p>
    <w:p w:rsidR="007940A5" w:rsidRDefault="00205693">
      <w:pPr>
        <w:pStyle w:val="Zkladntext20"/>
        <w:numPr>
          <w:ilvl w:val="0"/>
          <w:numId w:val="9"/>
        </w:numPr>
        <w:shd w:val="clear" w:color="auto" w:fill="auto"/>
        <w:tabs>
          <w:tab w:val="left" w:pos="300"/>
        </w:tabs>
        <w:spacing w:before="0" w:after="0"/>
        <w:ind w:left="300" w:hanging="300"/>
        <w:jc w:val="both"/>
      </w:pPr>
      <w:r>
        <w:t>Smlouva je vyhotovena ve dvou exemplářích, z nichž každá ze smluvních stran obdrží jeden exemplář.</w:t>
      </w:r>
    </w:p>
    <w:p w:rsidR="007940A5" w:rsidRDefault="00205693">
      <w:pPr>
        <w:pStyle w:val="Zkladntext20"/>
        <w:numPr>
          <w:ilvl w:val="0"/>
          <w:numId w:val="9"/>
        </w:numPr>
        <w:shd w:val="clear" w:color="auto" w:fill="auto"/>
        <w:tabs>
          <w:tab w:val="left" w:pos="305"/>
        </w:tabs>
        <w:spacing w:before="0" w:after="0"/>
        <w:ind w:left="300" w:hanging="300"/>
        <w:jc w:val="both"/>
      </w:pPr>
      <w:r>
        <w:t>Smlouvu lze měnit či doplňovat pouze písemnými dodatky podepsaným</w:t>
      </w:r>
      <w:r>
        <w:t>i oprávněnými osobami obou smluvních stran.</w:t>
      </w:r>
    </w:p>
    <w:p w:rsidR="007940A5" w:rsidRDefault="00205693">
      <w:pPr>
        <w:pStyle w:val="Zkladntext20"/>
        <w:numPr>
          <w:ilvl w:val="0"/>
          <w:numId w:val="9"/>
        </w:numPr>
        <w:shd w:val="clear" w:color="auto" w:fill="auto"/>
        <w:tabs>
          <w:tab w:val="left" w:pos="305"/>
        </w:tabs>
        <w:spacing w:before="0" w:after="541"/>
        <w:ind w:left="300" w:hanging="300"/>
        <w:jc w:val="both"/>
      </w:pPr>
      <w:r>
        <w:t>Účastníci prohlašují, že tato smlouva byla sepsána podle jejich skutečné a svobodné vůle. Účastníci dále prohlašují, že si smlouvu před podpisem přečetli, s jejím obsahem souhlasí a na důkaz toho připojují své vl</w:t>
      </w:r>
      <w:r>
        <w:t>astnoruční podpisy.</w:t>
      </w:r>
    </w:p>
    <w:p w:rsidR="007940A5" w:rsidRDefault="00205693">
      <w:pPr>
        <w:pStyle w:val="Zkladntext20"/>
        <w:shd w:val="clear" w:color="auto" w:fill="auto"/>
        <w:spacing w:before="0" w:after="0" w:line="268" w:lineRule="exact"/>
        <w:ind w:left="300" w:hanging="3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9pt;margin-top:-7.9pt;width:53.75pt;height:10.55pt;z-index:-125829376;mso-wrap-distance-left:5pt;mso-wrap-distance-right:5pt;mso-wrap-distance-bottom:2.7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5pt;margin-top:-7.9pt;width:189.35pt;height:144.5pt;z-index:-125829375;mso-wrap-distance-left:5pt;mso-wrap-distance-right:51.85pt;mso-wrap-distance-bottom:20pt;mso-position-horizontal-relative:margin" wrapcoords="0 0 21600 0 21600 21600 0 21600 0 0" filled="f" stroked="f">
            <v:textbox style="mso-fit-shape-to-text:t" inset="0,0,0,0">
              <w:txbxContent>
                <w:p w:rsidR="007940A5" w:rsidRDefault="00205693">
                  <w:pPr>
                    <w:pStyle w:val="Titulekobrzku2"/>
                    <w:shd w:val="clear" w:color="auto" w:fill="auto"/>
                    <w:tabs>
                      <w:tab w:val="left" w:leader="dot" w:pos="1896"/>
                    </w:tabs>
                  </w:pPr>
                  <w:r>
                    <w:t>V Pardubicích dne</w:t>
                  </w:r>
                  <w:r>
                    <w:tab/>
                  </w:r>
                </w:p>
                <w:p w:rsidR="007940A5" w:rsidRDefault="0020569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"C:\\Users\\STEPAN~1\\AppData\\Local\\Temp\\ABBYY\\PDFTransformer\\12.00\\media\\image2.jpeg"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9pt;height:144.75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  <w:r>
        <w:t>V Pardubicích dne</w:t>
      </w:r>
    </w:p>
    <w:p w:rsidR="007940A5" w:rsidRDefault="00205693">
      <w:pPr>
        <w:pStyle w:val="Titulekobrzku0"/>
        <w:framePr w:h="302" w:hSpace="1738" w:wrap="notBeside" w:vAnchor="text" w:hAnchor="text" w:x="5367" w:y="1"/>
        <w:shd w:val="clear" w:color="auto" w:fill="auto"/>
      </w:pPr>
      <w:r>
        <w:t xml:space="preserve">TURISTICKÉ INFORMAČNÍ C0ITRUN PA&amp;USi </w:t>
      </w:r>
      <w:r>
        <w:rPr>
          <w:rStyle w:val="TitulekobrzkuArialNarrow85ptNetunKurzva"/>
        </w:rPr>
        <w:t xml:space="preserve">příspěvková organizace </w:t>
      </w:r>
      <w:r>
        <w:rPr>
          <w:rStyle w:val="Titulekobrzku75ptNetun"/>
        </w:rPr>
        <w:t xml:space="preserve">nám. </w:t>
      </w:r>
      <w:r>
        <w:rPr>
          <w:rStyle w:val="TitulekobrzkuArialNarrow75pt"/>
          <w:b/>
          <w:bCs/>
        </w:rPr>
        <w:t xml:space="preserve">Republiky </w:t>
      </w:r>
      <w:r>
        <w:rPr>
          <w:rStyle w:val="Titulekobrzku75ptNetun"/>
        </w:rPr>
        <w:t>1, 530 02 Pardubice IČ:06495001</w:t>
      </w:r>
    </w:p>
    <w:p w:rsidR="007940A5" w:rsidRDefault="00205693">
      <w:pPr>
        <w:framePr w:h="302" w:hSpace="1738" w:wrap="notBeside" w:vAnchor="text" w:hAnchor="text" w:x="5367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"C:\\Users\\STEPAN~1\\AppData\\Local\\Temp\\ABBYY\\PDFTransformer\\12.00\\medi</w:instrText>
      </w:r>
      <w:r>
        <w:instrText>a\\image3.jpeg"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99.75pt;height:15pt">
            <v:imagedata r:id="rId10" r:href="rId11"/>
          </v:shape>
        </w:pict>
      </w:r>
      <w:r>
        <w:fldChar w:fldCharType="end"/>
      </w:r>
    </w:p>
    <w:p w:rsidR="007940A5" w:rsidRDefault="007940A5">
      <w:pPr>
        <w:rPr>
          <w:sz w:val="2"/>
          <w:szCs w:val="2"/>
        </w:rPr>
      </w:pPr>
    </w:p>
    <w:p w:rsidR="007940A5" w:rsidRDefault="00205693">
      <w:pPr>
        <w:pStyle w:val="Zkladntext20"/>
        <w:shd w:val="clear" w:color="auto" w:fill="auto"/>
        <w:spacing w:before="135" w:after="0" w:line="274" w:lineRule="exact"/>
        <w:ind w:firstLine="0"/>
        <w:jc w:val="left"/>
      </w:pPr>
      <w:r>
        <w:t>Mgr. Marina Vančatová, Ph.D., ředitelka za Turistické informační centrum Pardubice</w:t>
      </w:r>
    </w:p>
    <w:sectPr w:rsidR="007940A5">
      <w:footerReference w:type="default" r:id="rId12"/>
      <w:headerReference w:type="first" r:id="rId13"/>
      <w:footerReference w:type="first" r:id="rId14"/>
      <w:pgSz w:w="11900" w:h="16840"/>
      <w:pgMar w:top="708" w:right="1402" w:bottom="1294" w:left="13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93" w:rsidRDefault="00205693">
      <w:r>
        <w:separator/>
      </w:r>
    </w:p>
  </w:endnote>
  <w:endnote w:type="continuationSeparator" w:id="0">
    <w:p w:rsidR="00205693" w:rsidRDefault="0020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A5" w:rsidRDefault="0020569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8.65pt;margin-top:786.15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40A5" w:rsidRDefault="0020569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30B6" w:rsidRPr="003930B6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A5" w:rsidRDefault="0020569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9pt;margin-top:785.7pt;width:4.1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40A5" w:rsidRDefault="0020569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30B6" w:rsidRPr="003930B6">
                  <w:rPr>
                    <w:rStyle w:val="ZhlavneboZpatCalibri105pt"/>
                    <w:b w:val="0"/>
                    <w:bCs w:val="0"/>
                    <w:noProof/>
                  </w:rPr>
                  <w:t>1</w:t>
                </w:r>
                <w:r>
                  <w:rPr>
                    <w:rStyle w:val="ZhlavneboZpatCalibri105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93" w:rsidRDefault="00205693"/>
  </w:footnote>
  <w:footnote w:type="continuationSeparator" w:id="0">
    <w:p w:rsidR="00205693" w:rsidRDefault="002056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A5" w:rsidRDefault="0020569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55pt;margin-top:10.95pt;width:13.45pt;height:14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40A5" w:rsidRDefault="0020569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1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92B"/>
    <w:multiLevelType w:val="multilevel"/>
    <w:tmpl w:val="298AE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B2E9B"/>
    <w:multiLevelType w:val="multilevel"/>
    <w:tmpl w:val="618CBA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5331C"/>
    <w:multiLevelType w:val="multilevel"/>
    <w:tmpl w:val="12EE82C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E35B8"/>
    <w:multiLevelType w:val="multilevel"/>
    <w:tmpl w:val="47D8A3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91156"/>
    <w:multiLevelType w:val="multilevel"/>
    <w:tmpl w:val="93D023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9D094E"/>
    <w:multiLevelType w:val="multilevel"/>
    <w:tmpl w:val="652A7D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746E83"/>
    <w:multiLevelType w:val="multilevel"/>
    <w:tmpl w:val="C5DE67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30273E"/>
    <w:multiLevelType w:val="multilevel"/>
    <w:tmpl w:val="617C679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5B76BF"/>
    <w:multiLevelType w:val="multilevel"/>
    <w:tmpl w:val="82A0AF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40A5"/>
    <w:rsid w:val="00205693"/>
    <w:rsid w:val="003930B6"/>
    <w:rsid w:val="007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4438B0E-BE1D-43ED-9D94-783DFE31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1pt">
    <w:name w:val="Záhlaví nebo Zápatí + 21 pt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Calibri105pt">
    <w:name w:val="Záhlaví nebo Zápatí + Calibri;10;5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ArialNarrow85ptNetunKurzva">
    <w:name w:val="Titulek obrázku + Arial Narrow;8;5 pt;Ne tučné;Kurzíva"/>
    <w:basedOn w:val="Titulekobrzku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75ptNetun">
    <w:name w:val="Titulek obrázku + 7;5 pt;Ne tučné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ArialNarrow75pt">
    <w:name w:val="Titulek obrázku + Arial Narrow;7;5 pt"/>
    <w:basedOn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 w:line="440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4" w:lineRule="exact"/>
    </w:pPr>
    <w:rPr>
      <w:rFonts w:ascii="Consolas" w:eastAsia="Consolas" w:hAnsi="Consolas" w:cs="Consolas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60" w:line="269" w:lineRule="exact"/>
      <w:ind w:hanging="320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00" w:after="260" w:line="269" w:lineRule="exact"/>
      <w:ind w:hanging="44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00" w:line="26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60" w:after="100" w:line="170" w:lineRule="exact"/>
      <w:jc w:val="center"/>
    </w:pPr>
    <w:rPr>
      <w:rFonts w:ascii="Candara" w:eastAsia="Candara" w:hAnsi="Candara" w:cs="Candara"/>
      <w:b/>
      <w:bCs/>
      <w:spacing w:val="10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60" w:after="100" w:line="196" w:lineRule="exact"/>
      <w:jc w:val="center"/>
    </w:pPr>
    <w:rPr>
      <w:rFonts w:ascii="Calibri" w:eastAsia="Calibri" w:hAnsi="Calibri" w:cs="Calibri"/>
      <w:b/>
      <w:bCs/>
      <w:spacing w:val="10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6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60" w:line="196" w:lineRule="exact"/>
    </w:pPr>
    <w:rPr>
      <w:rFonts w:ascii="Calibri" w:eastAsia="Calibri" w:hAnsi="Calibri" w:cs="Calibri"/>
      <w:b/>
      <w:bCs/>
      <w:spacing w:val="10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STEPAN~1/AppData/Local/Temp/ABBYY/PDFTransformer/12.00/media/image3.jp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../../STEPAN~1/AppData/Local/Temp/ABBYY/PDFTransformer/12.00/media/image2.jpe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7718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2018-04-09T06:55:00Z</dcterms:created>
  <dcterms:modified xsi:type="dcterms:W3CDTF">2018-04-09T06:56:00Z</dcterms:modified>
</cp:coreProperties>
</file>