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ED056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ED056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ED056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ED056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ED056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DE2BC9" w:rsidRDefault="00ED0561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D0561">
        <w:rPr>
          <w:b/>
          <w:snapToGrid w:val="0"/>
          <w:sz w:val="28"/>
          <w:szCs w:val="28"/>
        </w:rPr>
        <w:t>07 – 27/2018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C4E5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ED0561">
        <w:rPr>
          <w:rFonts w:ascii="Times New Roman" w:hAnsi="Times New Roman"/>
          <w:snapToGrid w:val="0"/>
          <w:sz w:val="24"/>
        </w:rPr>
        <w:t xml:space="preserve"> 13507081</w:t>
      </w:r>
    </w:p>
    <w:p w:rsidR="00226595" w:rsidRDefault="00ED0561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Statuární město Ostrava</w:t>
      </w:r>
    </w:p>
    <w:p w:rsidR="00ED0561" w:rsidRPr="00206D3F" w:rsidRDefault="00ED0561" w:rsidP="00F378C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Městský obvod Slezská Ostrava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F378CA">
        <w:rPr>
          <w:rFonts w:ascii="Times New Roman" w:hAnsi="Times New Roman"/>
          <w:b/>
          <w:snapToGrid w:val="0"/>
          <w:sz w:val="24"/>
        </w:rPr>
        <w:t>Ostrava – Slezská Ostrava, Těšínská 138/35, PSČ 710 16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F378CA">
        <w:rPr>
          <w:rFonts w:ascii="Times New Roman" w:hAnsi="Times New Roman"/>
          <w:b/>
          <w:snapToGrid w:val="0"/>
          <w:sz w:val="24"/>
        </w:rPr>
        <w:t xml:space="preserve"> MVDr. Barborou </w:t>
      </w:r>
      <w:proofErr w:type="spellStart"/>
      <w:r w:rsidR="00F378CA">
        <w:rPr>
          <w:rFonts w:ascii="Times New Roman" w:hAnsi="Times New Roman"/>
          <w:b/>
          <w:snapToGrid w:val="0"/>
          <w:sz w:val="24"/>
        </w:rPr>
        <w:t>Jelonkovou</w:t>
      </w:r>
      <w:proofErr w:type="spellEnd"/>
      <w:r w:rsidR="00F378CA">
        <w:rPr>
          <w:rFonts w:ascii="Times New Roman" w:hAnsi="Times New Roman"/>
          <w:b/>
          <w:snapToGrid w:val="0"/>
          <w:sz w:val="24"/>
        </w:rPr>
        <w:t>, starostkou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BC2809">
        <w:rPr>
          <w:rFonts w:ascii="Times New Roman" w:hAnsi="Times New Roman"/>
          <w:snapToGrid w:val="0"/>
          <w:sz w:val="24"/>
        </w:rPr>
        <w:t xml:space="preserve"> 00845451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C2809">
        <w:rPr>
          <w:rFonts w:ascii="Times New Roman" w:hAnsi="Times New Roman"/>
          <w:snapToGrid w:val="0"/>
          <w:sz w:val="24"/>
        </w:rPr>
        <w:t>00845451</w:t>
      </w:r>
    </w:p>
    <w:p w:rsidR="00226595" w:rsidRPr="00BC2809" w:rsidRDefault="00226595" w:rsidP="00BC2809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BC2809">
        <w:rPr>
          <w:rFonts w:ascii="Times New Roman" w:hAnsi="Times New Roman"/>
          <w:snapToGrid w:val="0"/>
          <w:sz w:val="24"/>
        </w:rPr>
        <w:t>Česká spořitelna, a.s.</w:t>
      </w:r>
    </w:p>
    <w:p w:rsidR="00226595" w:rsidRPr="00BC280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9C4E5E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047E30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BC2809">
        <w:rPr>
          <w:rFonts w:ascii="Times New Roman" w:hAnsi="Times New Roman"/>
          <w:snapToGrid w:val="0"/>
          <w:sz w:val="24"/>
        </w:rPr>
        <w:t>311428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BC2809">
        <w:rPr>
          <w:rFonts w:ascii="Times New Roman" w:hAnsi="Times New Roman"/>
          <w:snapToGrid w:val="0"/>
          <w:sz w:val="24"/>
        </w:rPr>
        <w:t xml:space="preserve"> 2132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BC2809" w:rsidRDefault="00226595" w:rsidP="00BC280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BC2809">
        <w:rPr>
          <w:rFonts w:ascii="Times New Roman" w:hAnsi="Times New Roman"/>
          <w:snapToGrid w:val="0"/>
          <w:sz w:val="24"/>
        </w:rPr>
        <w:t xml:space="preserve"> </w:t>
      </w:r>
      <w:r w:rsidRPr="00BC2809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BC2809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BC2809">
        <w:rPr>
          <w:rFonts w:ascii="Times New Roman" w:hAnsi="Times New Roman"/>
          <w:b/>
          <w:snapToGrid w:val="0"/>
          <w:sz w:val="24"/>
        </w:rPr>
        <w:t>nepožaduje kontrolu</w:t>
      </w:r>
      <w:r w:rsidRPr="00BC2809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BC2809" w:rsidRDefault="00226595" w:rsidP="00BC280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BC2809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BC2809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BC2809" w:rsidRDefault="00226595" w:rsidP="00BC280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BC2809">
        <w:rPr>
          <w:rFonts w:ascii="Times New Roman" w:hAnsi="Times New Roman"/>
          <w:sz w:val="24"/>
        </w:rPr>
        <w:t xml:space="preserve"> </w:t>
      </w:r>
      <w:r w:rsidRPr="00BC280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B76088" w:rsidRDefault="00226595" w:rsidP="00BC2809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BC2809" w:rsidRDefault="00226595" w:rsidP="00BC2809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BC2809">
        <w:rPr>
          <w:rFonts w:ascii="Times New Roman" w:hAnsi="Times New Roman"/>
          <w:snapToGrid w:val="0"/>
          <w:sz w:val="24"/>
        </w:rPr>
        <w:t>s průvodkou</w:t>
      </w:r>
      <w:r w:rsidRPr="00BC2809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BC2809" w:rsidRDefault="00226595" w:rsidP="00BC2809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BC2809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BC2809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BC2809" w:rsidRPr="003247F3" w:rsidRDefault="00BC2809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BC2809" w:rsidRDefault="00226595" w:rsidP="00BC280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BC2809">
        <w:rPr>
          <w:rFonts w:ascii="Times New Roman" w:hAnsi="Times New Roman"/>
          <w:sz w:val="24"/>
        </w:rPr>
        <w:t xml:space="preserve"> plátců vyinkasované platby</w:t>
      </w:r>
      <w:r w:rsidRPr="00BC2809">
        <w:rPr>
          <w:rFonts w:ascii="Times New Roman" w:hAnsi="Times New Roman"/>
          <w:sz w:val="24"/>
        </w:rPr>
        <w:t xml:space="preserve"> úhrnem vybraných plateb</w:t>
      </w:r>
      <w:r w:rsidRPr="00BC2809">
        <w:rPr>
          <w:rFonts w:ascii="Times New Roman" w:hAnsi="Times New Roman"/>
          <w:b/>
          <w:sz w:val="24"/>
        </w:rPr>
        <w:t xml:space="preserve">, </w:t>
      </w:r>
      <w:r w:rsidRPr="00BC2809">
        <w:rPr>
          <w:rFonts w:ascii="Times New Roman" w:hAnsi="Times New Roman"/>
          <w:sz w:val="24"/>
        </w:rPr>
        <w:t xml:space="preserve">a to </w:t>
      </w:r>
      <w:r w:rsidRPr="00BC2809">
        <w:rPr>
          <w:rFonts w:ascii="Times New Roman" w:hAnsi="Times New Roman"/>
          <w:b/>
          <w:sz w:val="24"/>
        </w:rPr>
        <w:t>k 20. dni daného měsíce a doúčtování</w:t>
      </w:r>
      <w:r w:rsidRPr="00BC2809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BC2809" w:rsidRPr="00BC2809">
        <w:rPr>
          <w:rFonts w:ascii="Times New Roman" w:hAnsi="Times New Roman"/>
          <w:snapToGrid w:val="0"/>
          <w:sz w:val="24"/>
        </w:rPr>
        <w:t>311428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BC2809">
        <w:rPr>
          <w:rFonts w:ascii="Times New Roman" w:hAnsi="Times New Roman"/>
          <w:snapToGrid w:val="0"/>
          <w:sz w:val="24"/>
        </w:rPr>
        <w:t xml:space="preserve"> 2132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AC2E0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Pr="00616025">
        <w:rPr>
          <w:rFonts w:ascii="Times New Roman" w:hAnsi="Times New Roman"/>
          <w:sz w:val="24"/>
          <w:szCs w:val="24"/>
        </w:rPr>
        <w:t xml:space="preserve">osob </w:t>
      </w:r>
      <w:r w:rsidRPr="00616025">
        <w:rPr>
          <w:rStyle w:val="upd"/>
          <w:rFonts w:ascii="Times New Roman" w:hAnsi="Times New Roman"/>
          <w:bCs/>
          <w:sz w:val="24"/>
          <w:szCs w:val="24"/>
        </w:rPr>
        <w:t xml:space="preserve">a evidence </w:t>
      </w:r>
      <w:proofErr w:type="spellStart"/>
      <w:r w:rsidRPr="00616025">
        <w:rPr>
          <w:rStyle w:val="upd"/>
          <w:rFonts w:ascii="Times New Roman" w:hAnsi="Times New Roman"/>
          <w:bCs/>
          <w:sz w:val="24"/>
          <w:szCs w:val="24"/>
        </w:rPr>
        <w:t>svěřenských</w:t>
      </w:r>
      <w:proofErr w:type="spellEnd"/>
      <w:r w:rsidRPr="00616025">
        <w:rPr>
          <w:rStyle w:val="upd"/>
          <w:rFonts w:ascii="Times New Roman" w:hAnsi="Times New Roman"/>
          <w:bCs/>
          <w:sz w:val="24"/>
          <w:szCs w:val="24"/>
        </w:rPr>
        <w:t xml:space="preserve">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BC2809" w:rsidRDefault="00226595" w:rsidP="00BC280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C2809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BC2809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BC2809">
        <w:rPr>
          <w:rFonts w:ascii="Times New Roman" w:hAnsi="Times New Roman"/>
          <w:snapToGrid w:val="0"/>
          <w:sz w:val="24"/>
        </w:rPr>
        <w:t xml:space="preserve">) </w:t>
      </w:r>
      <w:r w:rsidRPr="00BC2809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BC2809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BC2809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BC2809" w:rsidRDefault="00BC2809" w:rsidP="00BC2809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BC2809" w:rsidRPr="00BC2809" w:rsidRDefault="00BC2809" w:rsidP="00BC2809">
      <w:pPr>
        <w:pStyle w:val="Codstavec"/>
        <w:tabs>
          <w:tab w:val="left" w:pos="709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BC2809">
        <w:t xml:space="preserve">2.1.7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BC2809" w:rsidRDefault="00226595" w:rsidP="00BC2809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BC2809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102660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BC2809" w:rsidRPr="00102660">
        <w:rPr>
          <w:rFonts w:ascii="Times New Roman" w:hAnsi="Times New Roman"/>
          <w:b/>
          <w:snapToGrid w:val="0"/>
          <w:sz w:val="24"/>
        </w:rPr>
        <w:t>Statutární město Ostrava,</w:t>
      </w:r>
    </w:p>
    <w:p w:rsidR="00BC2809" w:rsidRPr="00102660" w:rsidRDefault="00BC2809" w:rsidP="00102660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102660">
        <w:rPr>
          <w:rFonts w:ascii="Times New Roman" w:hAnsi="Times New Roman"/>
          <w:b/>
          <w:snapToGrid w:val="0"/>
          <w:sz w:val="24"/>
        </w:rPr>
        <w:tab/>
        <w:t>Městský obvod Slezská Ostrava,</w:t>
      </w:r>
    </w:p>
    <w:p w:rsidR="00BC2809" w:rsidRPr="00102660" w:rsidRDefault="00BC2809" w:rsidP="00102660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102660">
        <w:rPr>
          <w:rFonts w:ascii="Times New Roman" w:hAnsi="Times New Roman"/>
          <w:b/>
          <w:snapToGrid w:val="0"/>
          <w:sz w:val="24"/>
        </w:rPr>
        <w:tab/>
        <w:t>Těšínská 138/35,</w:t>
      </w:r>
    </w:p>
    <w:p w:rsidR="00BC2809" w:rsidRPr="00102660" w:rsidRDefault="00BC2809" w:rsidP="00102660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102660">
        <w:rPr>
          <w:rFonts w:ascii="Times New Roman" w:hAnsi="Times New Roman"/>
          <w:b/>
          <w:snapToGrid w:val="0"/>
          <w:sz w:val="24"/>
        </w:rPr>
        <w:tab/>
        <w:t>710 16 Ostrava – Slezská Ostrava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102660" w:rsidRDefault="00102660" w:rsidP="00102660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102660" w:rsidRPr="003247F3" w:rsidRDefault="00102660" w:rsidP="00102660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102660" w:rsidRDefault="00226595" w:rsidP="00102660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10266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102660">
        <w:rPr>
          <w:rFonts w:ascii="Times New Roman" w:hAnsi="Times New Roman"/>
          <w:b/>
          <w:snapToGrid w:val="0"/>
          <w:sz w:val="24"/>
        </w:rPr>
        <w:t xml:space="preserve">LATIN2 </w:t>
      </w:r>
      <w:r w:rsidRPr="00102660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102660" w:rsidRDefault="00226595" w:rsidP="00102660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102660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8E23DB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E23DB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8E23DB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8E23DB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102660" w:rsidRPr="008E23DB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8E23DB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102660" w:rsidRPr="008E23DB">
        <w:rPr>
          <w:rFonts w:ascii="Times New Roman" w:hAnsi="Times New Roman"/>
          <w:b/>
          <w:snapToGrid w:val="0"/>
          <w:sz w:val="24"/>
          <w:szCs w:val="24"/>
        </w:rPr>
        <w:t xml:space="preserve"> 07 – 260/2010</w:t>
      </w:r>
      <w:r w:rsidRPr="008E23DB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102660" w:rsidRPr="008E23D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8E23DB" w:rsidRPr="008E23DB">
        <w:rPr>
          <w:rFonts w:ascii="Times New Roman" w:hAnsi="Times New Roman"/>
          <w:b/>
          <w:snapToGrid w:val="0"/>
          <w:sz w:val="24"/>
          <w:szCs w:val="24"/>
        </w:rPr>
        <w:t>16.9.2010</w:t>
      </w:r>
      <w:proofErr w:type="gramEnd"/>
      <w:r w:rsidRPr="008E23DB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8E23DB" w:rsidRDefault="008E23DB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8E23DB" w:rsidRDefault="008E23DB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8E23DB" w:rsidRDefault="008E23DB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8E23DB" w:rsidRDefault="008E23DB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8E23DB" w:rsidRPr="00BD4755" w:rsidRDefault="008E23DB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E45FF6" w:rsidRDefault="00E45FF6" w:rsidP="00E45FF6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7.10</w:t>
      </w:r>
      <w:r>
        <w:rPr>
          <w:rFonts w:ascii="Times New Roman" w:hAnsi="Times New Roman"/>
          <w:snapToGrid w:val="0"/>
          <w:sz w:val="24"/>
        </w:rPr>
        <w:tab/>
        <w:t xml:space="preserve">O uzavření této smlouvy rozhodla Rada </w:t>
      </w:r>
      <w:r w:rsidR="00D24B51">
        <w:rPr>
          <w:rFonts w:ascii="Times New Roman" w:hAnsi="Times New Roman"/>
          <w:snapToGrid w:val="0"/>
          <w:sz w:val="24"/>
        </w:rPr>
        <w:t>městského obvodu Slezská Ostrava na své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A356E4">
        <w:rPr>
          <w:rFonts w:ascii="Times New Roman" w:hAnsi="Times New Roman"/>
          <w:snapToGrid w:val="0"/>
          <w:sz w:val="24"/>
        </w:rPr>
        <w:t>78.</w:t>
      </w:r>
      <w:r>
        <w:rPr>
          <w:rFonts w:ascii="Times New Roman" w:hAnsi="Times New Roman"/>
          <w:snapToGrid w:val="0"/>
          <w:sz w:val="24"/>
        </w:rPr>
        <w:t xml:space="preserve"> schůzi konané dne </w:t>
      </w:r>
      <w:proofErr w:type="gramStart"/>
      <w:r w:rsidR="00A356E4">
        <w:rPr>
          <w:rFonts w:ascii="Times New Roman" w:hAnsi="Times New Roman"/>
          <w:snapToGrid w:val="0"/>
          <w:sz w:val="24"/>
        </w:rPr>
        <w:t>21.03.2018</w:t>
      </w:r>
      <w:proofErr w:type="gramEnd"/>
      <w:r>
        <w:rPr>
          <w:rFonts w:ascii="Times New Roman" w:hAnsi="Times New Roman"/>
          <w:snapToGrid w:val="0"/>
          <w:sz w:val="24"/>
        </w:rPr>
        <w:t xml:space="preserve">, č. usnesení </w:t>
      </w:r>
      <w:r w:rsidR="00A356E4">
        <w:rPr>
          <w:rFonts w:ascii="Times New Roman" w:hAnsi="Times New Roman"/>
          <w:snapToGrid w:val="0"/>
          <w:sz w:val="24"/>
        </w:rPr>
        <w:t>4495/RMOb-Sle/1418/78</w:t>
      </w:r>
      <w:r>
        <w:rPr>
          <w:rFonts w:ascii="Times New Roman" w:hAnsi="Times New Roman"/>
          <w:snapToGrid w:val="0"/>
          <w:sz w:val="24"/>
        </w:rPr>
        <w:t xml:space="preserve"> 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8E23DB">
        <w:rPr>
          <w:rFonts w:ascii="Times New Roman" w:hAnsi="Times New Roman"/>
          <w:sz w:val="24"/>
        </w:rPr>
        <w:t>Ostravě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8E23DB">
        <w:rPr>
          <w:rFonts w:ascii="Times New Roman" w:hAnsi="Times New Roman"/>
          <w:snapToGrid w:val="0"/>
          <w:sz w:val="24"/>
        </w:rPr>
        <w:t xml:space="preserve">MVDr. Barbora </w:t>
      </w:r>
      <w:proofErr w:type="spellStart"/>
      <w:r w:rsidR="008E23DB">
        <w:rPr>
          <w:rFonts w:ascii="Times New Roman" w:hAnsi="Times New Roman"/>
          <w:snapToGrid w:val="0"/>
          <w:sz w:val="24"/>
        </w:rPr>
        <w:t>Jelonková</w:t>
      </w:r>
      <w:proofErr w:type="spellEnd"/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8E23DB">
        <w:rPr>
          <w:rFonts w:ascii="Times New Roman" w:hAnsi="Times New Roman"/>
          <w:snapToGrid w:val="0"/>
          <w:sz w:val="24"/>
        </w:rPr>
        <w:tab/>
        <w:t>starostka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8E23DB" w:rsidRDefault="00226595" w:rsidP="009C4E5E">
      <w:pPr>
        <w:pStyle w:val="Codstavec"/>
        <w:tabs>
          <w:tab w:val="left" w:pos="567"/>
        </w:tabs>
        <w:spacing w:before="240"/>
        <w:ind w:firstLine="0"/>
        <w:rPr>
          <w:rStyle w:val="Hypertextovodkaz"/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9C4E5E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8E23DB" w:rsidRPr="0050779C" w:rsidRDefault="008E23DB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sectPr w:rsidR="008E23DB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ED0561">
      <w:rPr>
        <w:sz w:val="16"/>
      </w:rPr>
      <w:t>07 – 27/2018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9C4E5E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2660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303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069B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2AB1"/>
    <w:rsid w:val="004A0BEE"/>
    <w:rsid w:val="004B0D89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530A2"/>
    <w:rsid w:val="00664DD8"/>
    <w:rsid w:val="006817C3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23DB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C4E5E"/>
    <w:rsid w:val="009F6B5D"/>
    <w:rsid w:val="00A042C9"/>
    <w:rsid w:val="00A06CE4"/>
    <w:rsid w:val="00A136E3"/>
    <w:rsid w:val="00A21661"/>
    <w:rsid w:val="00A2571B"/>
    <w:rsid w:val="00A30FD0"/>
    <w:rsid w:val="00A34D9A"/>
    <w:rsid w:val="00A356E4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05"/>
    <w:rsid w:val="00AC2E25"/>
    <w:rsid w:val="00AC39EA"/>
    <w:rsid w:val="00AD30C9"/>
    <w:rsid w:val="00AD3F6A"/>
    <w:rsid w:val="00AD6FDA"/>
    <w:rsid w:val="00AE3610"/>
    <w:rsid w:val="00AE45FF"/>
    <w:rsid w:val="00AE7C39"/>
    <w:rsid w:val="00B01D01"/>
    <w:rsid w:val="00B0257D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09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24B51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5FF6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C5860"/>
    <w:rsid w:val="00ED0561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378CA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AC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AC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2418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2018-04-09T07:23:00Z</dcterms:created>
  <dcterms:modified xsi:type="dcterms:W3CDTF">2018-04-09T07:24:00Z</dcterms:modified>
</cp:coreProperties>
</file>