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C839DC" w:rsidRPr="00C839DC">
        <w:rPr>
          <w:rFonts w:ascii="Arial" w:hAnsi="Arial" w:cs="Arial"/>
          <w:bCs/>
          <w:sz w:val="22"/>
          <w:szCs w:val="22"/>
          <w:lang w:eastAsia="cs-CZ"/>
        </w:rPr>
        <w:t>SPU 129179/2018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4D096A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Římskokatolická farnost Velká nad Veličkou 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Sídlo:</w:t>
      </w:r>
      <w:r w:rsidR="004D096A">
        <w:rPr>
          <w:rFonts w:ascii="Arial" w:hAnsi="Arial" w:cs="Arial"/>
          <w:color w:val="000000"/>
          <w:sz w:val="22"/>
          <w:szCs w:val="22"/>
        </w:rPr>
        <w:t xml:space="preserve"> Velká nad Veličkou 97, 696 74 Velká nad Veličkou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IČO:</w:t>
      </w:r>
      <w:r w:rsidR="004D096A">
        <w:rPr>
          <w:rFonts w:ascii="Arial" w:hAnsi="Arial" w:cs="Arial"/>
          <w:color w:val="000000"/>
          <w:sz w:val="22"/>
          <w:szCs w:val="22"/>
        </w:rPr>
        <w:t xml:space="preserve"> 48842541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1C393C">
        <w:rPr>
          <w:rFonts w:ascii="Arial" w:hAnsi="Arial" w:cs="Arial"/>
          <w:color w:val="000000"/>
          <w:sz w:val="22"/>
          <w:szCs w:val="22"/>
        </w:rPr>
        <w:t>ThDr.</w:t>
      </w:r>
      <w:r w:rsidR="004D096A">
        <w:rPr>
          <w:rFonts w:ascii="Arial" w:hAnsi="Arial" w:cs="Arial"/>
          <w:color w:val="000000"/>
          <w:sz w:val="22"/>
          <w:szCs w:val="22"/>
        </w:rPr>
        <w:t xml:space="preserve"> Josef Vysloužil Ph.D., farář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4D096A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4D096A">
        <w:rPr>
          <w:rFonts w:ascii="Arial" w:hAnsi="Arial" w:cs="Arial"/>
          <w:b/>
          <w:color w:val="000000"/>
          <w:sz w:val="22"/>
          <w:szCs w:val="22"/>
        </w:rPr>
        <w:t>2 007 S 17/24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4D096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D096A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="004D096A">
        <w:rPr>
          <w:rFonts w:ascii="Arial" w:hAnsi="Arial" w:cs="Arial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4D096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138"/>
        <w:gridCol w:w="1130"/>
        <w:gridCol w:w="1843"/>
        <w:gridCol w:w="992"/>
      </w:tblGrid>
      <w:tr w:rsidR="001E55CE" w:rsidRPr="00302D09" w:rsidTr="004D096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4D096A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D096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Velká nad Veličkou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D096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Velká nad Veličkou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D096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D096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4D096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zastavěná plocha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4D096A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4D096A">
        <w:rPr>
          <w:rFonts w:ascii="Arial" w:hAnsi="Arial" w:cs="Arial"/>
          <w:color w:val="000000"/>
          <w:sz w:val="22"/>
          <w:szCs w:val="22"/>
        </w:rPr>
        <w:t>Jihomoravský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4D096A">
        <w:rPr>
          <w:rFonts w:ascii="Arial" w:hAnsi="Arial" w:cs="Arial"/>
          <w:color w:val="000000"/>
          <w:sz w:val="22"/>
          <w:szCs w:val="22"/>
        </w:rPr>
        <w:t>Hodonín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3B597A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nemovitosti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stanovená dohodou činí  </w:t>
      </w:r>
      <w:r>
        <w:rPr>
          <w:rFonts w:ascii="Arial" w:hAnsi="Arial" w:cs="Arial"/>
          <w:color w:val="000000"/>
          <w:sz w:val="22"/>
          <w:szCs w:val="22"/>
        </w:rPr>
        <w:t>186 270,-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B597A">
        <w:rPr>
          <w:rFonts w:ascii="Arial" w:hAnsi="Arial" w:cs="Arial"/>
          <w:color w:val="000000"/>
          <w:sz w:val="22"/>
          <w:szCs w:val="22"/>
        </w:rPr>
        <w:t xml:space="preserve">jednostoosmdesátšesttisícdvěstěsedmdesát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3B597A">
        <w:rPr>
          <w:rFonts w:ascii="Arial" w:hAnsi="Arial" w:cs="Arial"/>
          <w:color w:val="000000"/>
          <w:sz w:val="22"/>
          <w:szCs w:val="22"/>
        </w:rPr>
        <w:t>4 100,-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3B597A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597A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</w:t>
      </w:r>
      <w:r w:rsidR="003B597A">
        <w:rPr>
          <w:rFonts w:ascii="Arial" w:hAnsi="Arial" w:cs="Arial"/>
          <w:color w:val="000000"/>
          <w:sz w:val="22"/>
          <w:szCs w:val="22"/>
        </w:rPr>
        <w:t>vlastníkem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nemovité věci: </w:t>
      </w:r>
    </w:p>
    <w:p w:rsidR="003B597A" w:rsidRDefault="003B597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1E55CE" w:rsidRPr="008C22BE" w:rsidRDefault="003B597A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276"/>
        <w:gridCol w:w="1418"/>
        <w:gridCol w:w="1417"/>
        <w:gridCol w:w="992"/>
      </w:tblGrid>
      <w:tr w:rsidR="001E55CE" w:rsidRPr="00302D09" w:rsidTr="003B597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B597A" w:rsidRPr="00302D09" w:rsidTr="003B597A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B597A" w:rsidRPr="00134FB6" w:rsidRDefault="003B597A" w:rsidP="003B597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Velká nad Veličkou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3B597A" w:rsidRPr="00134FB6" w:rsidRDefault="003B597A" w:rsidP="003B597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Velká nad Veličkou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597A" w:rsidRPr="00134FB6" w:rsidRDefault="003B597A" w:rsidP="003B597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597A" w:rsidRPr="00134FB6" w:rsidRDefault="003B597A" w:rsidP="003B597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2994/342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597A" w:rsidRPr="00134FB6" w:rsidRDefault="003B597A" w:rsidP="003B597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97A" w:rsidRPr="00134FB6" w:rsidRDefault="003B597A" w:rsidP="003B597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2007</w:t>
            </w:r>
          </w:p>
        </w:tc>
      </w:tr>
    </w:tbl>
    <w:p w:rsidR="003B597A" w:rsidRPr="00134FB6" w:rsidRDefault="001E55CE" w:rsidP="003B597A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zapsaného </w:t>
      </w:r>
      <w:r w:rsidR="003B597A">
        <w:rPr>
          <w:rFonts w:ascii="Arial" w:hAnsi="Arial" w:cs="Arial"/>
          <w:color w:val="000000"/>
          <w:sz w:val="22"/>
          <w:szCs w:val="22"/>
        </w:rPr>
        <w:t xml:space="preserve">na výše uvedeném </w:t>
      </w:r>
      <w:r w:rsidRPr="00134FB6">
        <w:rPr>
          <w:rFonts w:ascii="Arial" w:hAnsi="Arial" w:cs="Arial"/>
          <w:color w:val="000000"/>
          <w:sz w:val="22"/>
          <w:szCs w:val="22"/>
        </w:rPr>
        <w:t>LV u Katastrálního úřadu pro </w:t>
      </w:r>
      <w:r w:rsidR="003B597A">
        <w:rPr>
          <w:rFonts w:ascii="Arial" w:hAnsi="Arial" w:cs="Arial"/>
          <w:color w:val="000000"/>
          <w:sz w:val="22"/>
          <w:szCs w:val="22"/>
        </w:rPr>
        <w:t>Jihomoravský kraj</w:t>
      </w:r>
      <w:r w:rsidR="003B597A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3B597A">
        <w:rPr>
          <w:rFonts w:ascii="Arial" w:hAnsi="Arial" w:cs="Arial"/>
          <w:color w:val="000000"/>
          <w:sz w:val="22"/>
          <w:szCs w:val="22"/>
        </w:rPr>
        <w:t>Hodonín</w:t>
      </w:r>
    </w:p>
    <w:p w:rsidR="003B597A" w:rsidRDefault="003B597A" w:rsidP="003B59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</w:p>
    <w:p w:rsidR="001E55CE" w:rsidRPr="00134FB6" w:rsidRDefault="001E55CE" w:rsidP="003B59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3B597A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nemovitost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>
        <w:rPr>
          <w:rFonts w:ascii="Arial" w:hAnsi="Arial" w:cs="Arial"/>
          <w:color w:val="000000"/>
          <w:sz w:val="22"/>
          <w:szCs w:val="22"/>
        </w:rPr>
        <w:t xml:space="preserve">5 770,-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B597A">
        <w:rPr>
          <w:rFonts w:ascii="Arial" w:hAnsi="Arial" w:cs="Arial"/>
          <w:color w:val="000000"/>
          <w:sz w:val="22"/>
          <w:szCs w:val="22"/>
        </w:rPr>
        <w:t>pěttisícsedmsetsedmdesát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B597A" w:rsidRPr="00134FB6" w:rsidRDefault="003B597A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3B597A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597A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směňované nemovitosti </w:t>
      </w:r>
      <w:r w:rsidR="003B597A">
        <w:rPr>
          <w:rFonts w:ascii="Arial" w:hAnsi="Arial" w:cs="Arial"/>
          <w:sz w:val="22"/>
          <w:szCs w:val="22"/>
        </w:rPr>
        <w:t>uvedené</w:t>
      </w:r>
      <w:r w:rsidRPr="00134FB6">
        <w:rPr>
          <w:rFonts w:ascii="Arial" w:hAnsi="Arial" w:cs="Arial"/>
          <w:sz w:val="22"/>
          <w:szCs w:val="22"/>
        </w:rPr>
        <w:t xml:space="preserve"> v čl. I bude nabyvatel,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3B597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B597A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3B597A">
        <w:rPr>
          <w:rFonts w:ascii="Arial" w:hAnsi="Arial" w:cs="Arial"/>
          <w:sz w:val="22"/>
          <w:szCs w:val="22"/>
        </w:rPr>
        <w:t>180 500,-</w:t>
      </w:r>
      <w:r w:rsidR="00A41B7C">
        <w:rPr>
          <w:rFonts w:ascii="Arial" w:hAnsi="Arial" w:cs="Arial"/>
          <w:sz w:val="22"/>
          <w:szCs w:val="22"/>
        </w:rPr>
        <w:t xml:space="preserve">  Kč (slovy: jednostoosmdesáttisícpětset 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A41B7C">
        <w:rPr>
          <w:rFonts w:ascii="Arial" w:hAnsi="Arial" w:cs="Arial"/>
          <w:sz w:val="22"/>
          <w:szCs w:val="22"/>
        </w:rPr>
        <w:t>č. ú. </w:t>
      </w:r>
      <w:r w:rsidR="00A41B7C" w:rsidRPr="00A41B7C">
        <w:rPr>
          <w:rFonts w:ascii="Arial" w:hAnsi="Arial" w:cs="Arial"/>
          <w:color w:val="000000"/>
          <w:sz w:val="22"/>
          <w:szCs w:val="22"/>
          <w:lang w:eastAsia="cs-CZ"/>
        </w:rPr>
        <w:t>110015-3723001/0710</w:t>
      </w:r>
      <w:r w:rsidR="00A41B7C">
        <w:rPr>
          <w:rFonts w:ascii="Arial" w:hAnsi="Arial" w:cs="Arial"/>
          <w:sz w:val="22"/>
          <w:szCs w:val="22"/>
        </w:rPr>
        <w:t>, variabilní symbol 2007481724</w:t>
      </w:r>
      <w:r w:rsidRPr="00A41B7C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A41B7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41B7C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A41B7C">
      <w:pPr>
        <w:numPr>
          <w:ilvl w:val="0"/>
          <w:numId w:val="5"/>
        </w:numPr>
        <w:tabs>
          <w:tab w:val="clear" w:pos="1161"/>
          <w:tab w:val="left" w:pos="-4962"/>
          <w:tab w:val="num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 w:rsidR="00A41B7C">
        <w:rPr>
          <w:rFonts w:ascii="Arial" w:hAnsi="Arial" w:cs="Arial"/>
          <w:sz w:val="22"/>
          <w:szCs w:val="22"/>
        </w:rPr>
        <w:t>ní a vytyčování hranic pozemku</w:t>
      </w:r>
      <w:r w:rsidRPr="00FC0FB6">
        <w:rPr>
          <w:rFonts w:ascii="Arial" w:hAnsi="Arial" w:cs="Arial"/>
          <w:sz w:val="22"/>
          <w:szCs w:val="22"/>
        </w:rPr>
        <w:t>.</w:t>
      </w:r>
    </w:p>
    <w:p w:rsidR="00A41B7C" w:rsidRPr="00A41B7C" w:rsidRDefault="00A41B7C" w:rsidP="00A41B7C">
      <w:pPr>
        <w:tabs>
          <w:tab w:val="left" w:pos="-4962"/>
        </w:tabs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FC0FB6" w:rsidP="00A41B7C">
      <w:pPr>
        <w:tabs>
          <w:tab w:val="left" w:pos="426"/>
        </w:tabs>
        <w:ind w:left="1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FC0FB6">
        <w:rPr>
          <w:rFonts w:ascii="Arial" w:hAnsi="Arial" w:cs="Arial"/>
          <w:color w:val="000000"/>
          <w:sz w:val="22"/>
          <w:szCs w:val="22"/>
        </w:rPr>
        <w:tab/>
      </w:r>
      <w:r w:rsidR="00A41B7C">
        <w:rPr>
          <w:rFonts w:ascii="Arial" w:hAnsi="Arial" w:cs="Arial"/>
          <w:color w:val="000000"/>
          <w:sz w:val="22"/>
          <w:szCs w:val="22"/>
        </w:rPr>
        <w:t>Na s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měňované nemovitosti </w:t>
      </w:r>
      <w:r w:rsidR="00A41B7C">
        <w:rPr>
          <w:rFonts w:ascii="Arial" w:hAnsi="Arial" w:cs="Arial"/>
          <w:color w:val="000000"/>
          <w:sz w:val="22"/>
          <w:szCs w:val="22"/>
        </w:rPr>
        <w:t>nejsou uzavřeny písemné nájemní smlouvy</w:t>
      </w:r>
      <w:r w:rsidRPr="00FC0FB6">
        <w:rPr>
          <w:rFonts w:ascii="Arial" w:hAnsi="Arial" w:cs="Arial"/>
          <w:color w:val="000000"/>
          <w:sz w:val="22"/>
          <w:szCs w:val="22"/>
        </w:rPr>
        <w:t>.</w:t>
      </w:r>
    </w:p>
    <w:p w:rsidR="00FC0FB6" w:rsidRPr="00A41B7C" w:rsidRDefault="00FC0FB6" w:rsidP="00FC0FB6">
      <w:pPr>
        <w:tabs>
          <w:tab w:val="left" w:pos="709"/>
        </w:tabs>
        <w:jc w:val="both"/>
        <w:rPr>
          <w:rFonts w:ascii="Arial" w:hAnsi="Arial" w:cs="Arial"/>
          <w:sz w:val="12"/>
          <w:szCs w:val="12"/>
        </w:rPr>
      </w:pPr>
    </w:p>
    <w:p w:rsidR="00FC0FB6" w:rsidRPr="00FC0FB6" w:rsidRDefault="00A41B7C" w:rsidP="00A41B7C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A41B7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41B7C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A41B7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41B7C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A41B7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A41B7C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A41B7C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A41B7C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A41B7C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A41B7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A41B7C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A41B7C">
        <w:rPr>
          <w:rFonts w:ascii="Arial" w:hAnsi="Arial" w:cs="Arial"/>
          <w:sz w:val="22"/>
          <w:szCs w:val="22"/>
        </w:rPr>
        <w:t>3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A41B7C">
        <w:rPr>
          <w:rFonts w:ascii="Arial" w:hAnsi="Arial" w:cs="Arial"/>
          <w:sz w:val="22"/>
          <w:szCs w:val="22"/>
        </w:rPr>
        <w:t xml:space="preserve">1 </w:t>
      </w:r>
      <w:r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E7474F" w:rsidRPr="00A41B7C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A41B7C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A41B7C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A41B7C" w:rsidRPr="00B43F73" w:rsidRDefault="00A41B7C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A41B7C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41B7C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A41B7C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A41B7C">
        <w:rPr>
          <w:rFonts w:ascii="Arial" w:hAnsi="Arial" w:cs="Arial"/>
          <w:b/>
          <w:color w:val="000000"/>
          <w:sz w:val="22"/>
          <w:szCs w:val="22"/>
        </w:rPr>
        <w:t>I</w:t>
      </w:r>
      <w:r w:rsidRPr="00A41B7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1C393C">
        <w:rPr>
          <w:rFonts w:ascii="Arial" w:hAnsi="Arial" w:cs="Arial"/>
          <w:b/>
          <w:i/>
          <w:sz w:val="22"/>
          <w:szCs w:val="22"/>
        </w:rPr>
        <w:t>ThDr.</w:t>
      </w:r>
      <w:r w:rsidR="00F11D1E">
        <w:rPr>
          <w:rFonts w:ascii="Arial" w:hAnsi="Arial" w:cs="Arial"/>
          <w:b/>
          <w:i/>
          <w:sz w:val="22"/>
          <w:szCs w:val="22"/>
        </w:rPr>
        <w:t xml:space="preserve"> Josef Vysloužil, Ph.D.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F11D1E">
        <w:rPr>
          <w:rFonts w:ascii="Arial" w:hAnsi="Arial" w:cs="Arial"/>
          <w:sz w:val="22"/>
          <w:szCs w:val="22"/>
        </w:rPr>
        <w:tab/>
        <w:t>farář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CB6BAB">
        <w:rPr>
          <w:rFonts w:ascii="Arial" w:hAnsi="Arial" w:cs="Arial"/>
          <w:sz w:val="22"/>
          <w:szCs w:val="22"/>
        </w:rPr>
        <w:tab/>
        <w:t>Římskokatolick</w:t>
      </w:r>
      <w:r w:rsidR="00F11D1E">
        <w:rPr>
          <w:rFonts w:ascii="Arial" w:hAnsi="Arial" w:cs="Arial"/>
          <w:sz w:val="22"/>
          <w:szCs w:val="22"/>
        </w:rPr>
        <w:t>á farnost</w:t>
      </w:r>
      <w:r w:rsidR="00CB6BAB">
        <w:rPr>
          <w:rFonts w:ascii="Arial" w:hAnsi="Arial" w:cs="Arial"/>
          <w:sz w:val="22"/>
          <w:szCs w:val="22"/>
        </w:rPr>
        <w:t xml:space="preserve"> Velká nad Veličkou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Default="00CB6BAB" w:rsidP="00E7474F">
      <w:pPr>
        <w:spacing w:before="120"/>
        <w:jc w:val="both"/>
        <w:rPr>
          <w:rFonts w:ascii="Arial" w:hAnsi="Arial" w:cs="Arial"/>
        </w:rPr>
      </w:pPr>
    </w:p>
    <w:p w:rsidR="00CB6BAB" w:rsidRPr="00302D09" w:rsidRDefault="00CB6BAB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sectPr w:rsidR="003D7018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6A" w:rsidRDefault="004D096A">
      <w:r>
        <w:separator/>
      </w:r>
    </w:p>
  </w:endnote>
  <w:endnote w:type="continuationSeparator" w:id="0">
    <w:p w:rsidR="004D096A" w:rsidRDefault="004D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6A" w:rsidRDefault="004D096A">
      <w:r>
        <w:separator/>
      </w:r>
    </w:p>
  </w:footnote>
  <w:footnote w:type="continuationSeparator" w:id="0">
    <w:p w:rsidR="004D096A" w:rsidRDefault="004D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6A"/>
    <w:rsid w:val="00036038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393C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B597A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096A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1B7C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39DC"/>
    <w:rsid w:val="00C859D4"/>
    <w:rsid w:val="00CB6BAB"/>
    <w:rsid w:val="00CD348C"/>
    <w:rsid w:val="00CD732A"/>
    <w:rsid w:val="00CE0135"/>
    <w:rsid w:val="00CE1F3A"/>
    <w:rsid w:val="00CF02FD"/>
    <w:rsid w:val="00D02956"/>
    <w:rsid w:val="00D23882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11D1E"/>
    <w:rsid w:val="00F36A2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7A09A-8E42-44DB-8DCD-05809984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12_201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FA3F-5DC4-4953-AAD7-F0A0AF5E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SS_smlouva_12_2017</Template>
  <TotalTime>1</TotalTime>
  <Pages>3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2018-03-14T07:57:00Z</cp:lastPrinted>
  <dcterms:created xsi:type="dcterms:W3CDTF">2018-04-09T06:13:00Z</dcterms:created>
  <dcterms:modified xsi:type="dcterms:W3CDTF">2018-04-09T06:13:00Z</dcterms:modified>
</cp:coreProperties>
</file>