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082BA3E5" w14:textId="77777777" w:rsidR="00A55268" w:rsidRPr="00A55268" w:rsidRDefault="00A55268" w:rsidP="00A5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5268">
        <w:rPr>
          <w:rFonts w:ascii="Times New Roman" w:hAnsi="Times New Roman" w:cs="Times New Roman"/>
          <w:sz w:val="24"/>
          <w:szCs w:val="24"/>
        </w:rPr>
        <w:t>Základní škola, Praha 10, Brigádníků 14/510, příspěvková organizace</w:t>
      </w:r>
    </w:p>
    <w:p w14:paraId="085F8CAF" w14:textId="77777777" w:rsidR="00A55268" w:rsidRPr="00A55268" w:rsidRDefault="00BE742B" w:rsidP="00A5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A55268" w:rsidRPr="00A55268">
        <w:rPr>
          <w:rFonts w:ascii="Times New Roman" w:hAnsi="Times New Roman" w:cs="Times New Roman"/>
          <w:sz w:val="24"/>
          <w:szCs w:val="24"/>
        </w:rPr>
        <w:t>Praha - Strašnice, Brigádníků 510/14, PSČ 10000</w:t>
      </w:r>
    </w:p>
    <w:p w14:paraId="31D3C546" w14:textId="40A26785" w:rsidR="000E084F" w:rsidRPr="009745D4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="000D357C" w:rsidRPr="009745D4">
        <w:rPr>
          <w:rFonts w:ascii="Times New Roman" w:hAnsi="Times New Roman" w:cs="Times New Roman"/>
          <w:sz w:val="24"/>
          <w:szCs w:val="24"/>
        </w:rPr>
        <w:tab/>
      </w:r>
      <w:r w:rsidR="00A55268" w:rsidRPr="00A55268">
        <w:rPr>
          <w:rFonts w:ascii="Times New Roman" w:hAnsi="Times New Roman" w:cs="Times New Roman"/>
          <w:sz w:val="24"/>
          <w:szCs w:val="24"/>
        </w:rPr>
        <w:t>47611898</w:t>
      </w:r>
    </w:p>
    <w:p w14:paraId="2443DAA2" w14:textId="2DBC70D4" w:rsidR="00BE742B" w:rsidRPr="00AD2556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9745D4">
        <w:rPr>
          <w:rFonts w:ascii="Times New Roman" w:hAnsi="Times New Roman" w:cs="Times New Roman"/>
          <w:sz w:val="24"/>
          <w:szCs w:val="24"/>
        </w:rPr>
        <w:t>:</w:t>
      </w:r>
      <w:r w:rsidR="00037A18" w:rsidRPr="009745D4">
        <w:rPr>
          <w:rFonts w:ascii="Times New Roman" w:hAnsi="Times New Roman" w:cs="Times New Roman"/>
          <w:sz w:val="24"/>
          <w:szCs w:val="24"/>
        </w:rPr>
        <w:tab/>
      </w:r>
      <w:r w:rsidR="00A55268">
        <w:rPr>
          <w:rFonts w:ascii="Times New Roman" w:hAnsi="Times New Roman" w:cs="Times New Roman"/>
          <w:sz w:val="24"/>
          <w:szCs w:val="24"/>
        </w:rPr>
        <w:t>Polanská Alena</w:t>
      </w:r>
      <w:r w:rsidR="009E7D70">
        <w:rPr>
          <w:rFonts w:ascii="Times New Roman" w:hAnsi="Times New Roman" w:cs="Times New Roman"/>
          <w:sz w:val="24"/>
          <w:szCs w:val="24"/>
        </w:rPr>
        <w:t>, ředitel</w:t>
      </w:r>
      <w:r w:rsidR="00A55268">
        <w:rPr>
          <w:rFonts w:ascii="Times New Roman" w:hAnsi="Times New Roman" w:cs="Times New Roman"/>
          <w:sz w:val="24"/>
          <w:szCs w:val="24"/>
        </w:rPr>
        <w:t>ka</w:t>
      </w:r>
      <w:r w:rsidR="009E7D70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2D67882D" w:rsidR="00AD2556" w:rsidRPr="009E7D70" w:rsidRDefault="00CA53E2" w:rsidP="009E7D70">
      <w:pPr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350F53">
        <w:rPr>
          <w:rFonts w:ascii="Times New Roman" w:hAnsi="Times New Roman" w:cs="Times New Roman"/>
          <w:sz w:val="24"/>
          <w:szCs w:val="24"/>
        </w:rPr>
        <w:t>37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 xml:space="preserve">II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9745D4">
        <w:rPr>
          <w:rFonts w:ascii="Times New Roman" w:hAnsi="Times New Roman" w:cs="Times New Roman"/>
          <w:sz w:val="24"/>
          <w:szCs w:val="24"/>
        </w:rPr>
        <w:t>„</w:t>
      </w:r>
      <w:r w:rsidR="00A55268">
        <w:rPr>
          <w:rFonts w:ascii="Arial" w:eastAsia="Times New Roman" w:hAnsi="Arial" w:cs="Arial"/>
          <w:color w:val="000000"/>
          <w:shd w:val="clear" w:color="auto" w:fill="FFFFFF"/>
        </w:rPr>
        <w:t>Zábava s přírodou</w:t>
      </w:r>
      <w:r w:rsidR="009745D4" w:rsidRPr="009E7D70">
        <w:rPr>
          <w:rFonts w:ascii="Times New Roman" w:hAnsi="Times New Roman" w:cs="Times New Roman"/>
          <w:sz w:val="24"/>
          <w:szCs w:val="24"/>
        </w:rPr>
        <w:t>“.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B45CA82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7591A5B3" w14:textId="77777777" w:rsidR="00683E6D" w:rsidRDefault="00683E6D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4426C8D4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A55268">
        <w:rPr>
          <w:rFonts w:ascii="Times New Roman" w:hAnsi="Times New Roman" w:cs="Times New Roman"/>
          <w:sz w:val="24"/>
          <w:szCs w:val="24"/>
        </w:rPr>
        <w:t xml:space="preserve">166.254 Kč včetně DPH (slovy: stošedesátšestticícdvěstěpadesátčtyři Kč). </w:t>
      </w:r>
      <w:r w:rsidR="00A37F25">
        <w:rPr>
          <w:rFonts w:ascii="Times New Roman" w:hAnsi="Times New Roman" w:cs="Times New Roman"/>
          <w:sz w:val="24"/>
          <w:szCs w:val="24"/>
        </w:rPr>
        <w:t xml:space="preserve">Tato odměna je splatná průběžně v následujících krocích: </w:t>
      </w:r>
    </w:p>
    <w:p w14:paraId="18542B2D" w14:textId="11E5FA8C" w:rsidR="00A37F25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7753A152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55268">
        <w:rPr>
          <w:rFonts w:ascii="Times New Roman" w:hAnsi="Times New Roman" w:cs="Times New Roman"/>
          <w:sz w:val="24"/>
          <w:szCs w:val="24"/>
        </w:rPr>
        <w:t>5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40743ED1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A55268">
        <w:rPr>
          <w:rFonts w:ascii="Times New Roman" w:hAnsi="Times New Roman" w:cs="Times New Roman"/>
          <w:sz w:val="24"/>
          <w:szCs w:val="24"/>
        </w:rPr>
        <w:t>5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51F42AE1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4C0597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77F63E5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4C0597">
              <w:rPr>
                <w:rFonts w:ascii="Times New Roman" w:hAnsi="Times New Roman" w:cs="Times New Roman"/>
                <w:sz w:val="24"/>
                <w:szCs w:val="24"/>
              </w:rPr>
              <w:t>28.3.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3999873E" w:rsidR="00787E47" w:rsidRDefault="00A55268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Polanská Alena</w:t>
            </w:r>
          </w:p>
          <w:p w14:paraId="7D9DC7BE" w14:textId="07CAA7EB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Základní škola </w:t>
            </w:r>
            <w:r w:rsidR="00A55268">
              <w:rPr>
                <w:rFonts w:ascii="Times New Roman" w:hAnsi="Times New Roman" w:cs="Times New Roman"/>
                <w:sz w:val="24"/>
                <w:szCs w:val="24"/>
              </w:rPr>
              <w:t>Brigádníků</w:t>
            </w: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33CE14C" w14:textId="77777777" w:rsidR="00A55268" w:rsidRPr="00A55268" w:rsidRDefault="00A55268" w:rsidP="00A5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55268">
        <w:rPr>
          <w:rFonts w:ascii="Times New Roman" w:hAnsi="Times New Roman" w:cs="Times New Roman"/>
          <w:sz w:val="24"/>
          <w:szCs w:val="24"/>
        </w:rPr>
        <w:t>Základní škola, Praha 10, Brigádníků 14/510, příspěvková organizace</w:t>
      </w:r>
    </w:p>
    <w:p w14:paraId="719BE025" w14:textId="77777777" w:rsidR="00A55268" w:rsidRPr="00A55268" w:rsidRDefault="00A55268" w:rsidP="00A5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Se sídlem: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A55268">
        <w:rPr>
          <w:rFonts w:ascii="Times New Roman" w:hAnsi="Times New Roman" w:cs="Times New Roman"/>
          <w:sz w:val="24"/>
          <w:szCs w:val="24"/>
        </w:rPr>
        <w:t>Praha - Strašnice, Brigádníků 510/14, PSČ 10000</w:t>
      </w:r>
    </w:p>
    <w:p w14:paraId="03F2ECD9" w14:textId="77777777" w:rsidR="00A55268" w:rsidRPr="009745D4" w:rsidRDefault="00A55268" w:rsidP="00A5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IČ: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9745D4">
        <w:rPr>
          <w:rFonts w:ascii="Times New Roman" w:hAnsi="Times New Roman" w:cs="Times New Roman"/>
          <w:sz w:val="24"/>
          <w:szCs w:val="24"/>
        </w:rPr>
        <w:tab/>
      </w:r>
      <w:r w:rsidRPr="00A55268">
        <w:rPr>
          <w:rFonts w:ascii="Times New Roman" w:hAnsi="Times New Roman" w:cs="Times New Roman"/>
          <w:sz w:val="24"/>
          <w:szCs w:val="24"/>
        </w:rPr>
        <w:t>47611898</w:t>
      </w:r>
    </w:p>
    <w:p w14:paraId="1974E89F" w14:textId="77777777" w:rsidR="00A55268" w:rsidRPr="00AD2556" w:rsidRDefault="00A55268" w:rsidP="00A5526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745D4">
        <w:rPr>
          <w:rFonts w:ascii="Times New Roman" w:hAnsi="Times New Roman" w:cs="Times New Roman"/>
          <w:sz w:val="24"/>
          <w:szCs w:val="24"/>
        </w:rPr>
        <w:t>Jednající osoba:</w:t>
      </w:r>
      <w:r w:rsidRPr="009745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Polanská Alena, ředitelka školy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06784EA2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A55268">
        <w:rPr>
          <w:rFonts w:ascii="Times New Roman" w:hAnsi="Times New Roman" w:cs="Times New Roman"/>
          <w:sz w:val="24"/>
          <w:szCs w:val="24"/>
        </w:rPr>
        <w:t>Polanská Alena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</w:t>
      </w: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0897678A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</w:t>
      </w:r>
      <w:r w:rsidR="004C0597">
        <w:rPr>
          <w:rFonts w:ascii="Times New Roman" w:hAnsi="Times New Roman" w:cs="Times New Roman"/>
          <w:sz w:val="24"/>
          <w:szCs w:val="24"/>
        </w:rPr>
        <w:t>: 28.3.2018</w:t>
      </w:r>
      <w:bookmarkStart w:id="0" w:name="_GoBack"/>
      <w:bookmarkEnd w:id="0"/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C0597"/>
    <w:rsid w:val="004C68D4"/>
    <w:rsid w:val="004D673A"/>
    <w:rsid w:val="004F4997"/>
    <w:rsid w:val="00515F8B"/>
    <w:rsid w:val="005535B0"/>
    <w:rsid w:val="005652F3"/>
    <w:rsid w:val="005B22ED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8291A694-997F-4430-9B9B-F62069EF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6CBC6-4699-4B11-BCBC-8F2AF9A9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2052</Words>
  <Characters>12112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Alena Polanská</cp:lastModifiedBy>
  <cp:revision>8</cp:revision>
  <cp:lastPrinted>2018-04-08T11:13:00Z</cp:lastPrinted>
  <dcterms:created xsi:type="dcterms:W3CDTF">2016-12-13T21:10:00Z</dcterms:created>
  <dcterms:modified xsi:type="dcterms:W3CDTF">2018-04-09T07:57:00Z</dcterms:modified>
</cp:coreProperties>
</file>