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304E24">
        <w:rPr>
          <w:sz w:val="28"/>
          <w:szCs w:val="28"/>
        </w:rPr>
        <w:t>20180119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304E24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B83512" w:rsidRPr="005F201A" w:rsidRDefault="00304E2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</w:r>
      <w:r w:rsidR="009A143F">
        <w:rPr>
          <w:i w:val="0"/>
          <w:sz w:val="22"/>
          <w:szCs w:val="22"/>
        </w:rPr>
        <w:t>xxx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9A143F">
        <w:rPr>
          <w:i w:val="0"/>
          <w:sz w:val="22"/>
          <w:szCs w:val="22"/>
        </w:rPr>
        <w:t>xxx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dále jen „dodavatel“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304E24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Český hydrometeorologický ústav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304E24">
        <w:rPr>
          <w:bCs w:val="0"/>
          <w:i w:val="0"/>
          <w:sz w:val="22"/>
          <w:szCs w:val="22"/>
        </w:rPr>
        <w:t>Na Šabatce 2050/17, 143 06 Praha 4</w:t>
      </w:r>
    </w:p>
    <w:p w:rsidR="00923C6B" w:rsidRPr="005F201A" w:rsidRDefault="00923C6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 xml:space="preserve">Statutární orgán: </w:t>
      </w:r>
      <w:r>
        <w:rPr>
          <w:bCs w:val="0"/>
          <w:i w:val="0"/>
          <w:sz w:val="22"/>
          <w:szCs w:val="22"/>
        </w:rPr>
        <w:tab/>
        <w:t>Mgr. Mark Rieder, ředitel ČHMÚ</w:t>
      </w:r>
    </w:p>
    <w:p w:rsidR="0012562B" w:rsidRDefault="00304E24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IČ</w:t>
      </w:r>
      <w:r w:rsidR="0012562B" w:rsidRPr="005F201A">
        <w:rPr>
          <w:bCs w:val="0"/>
          <w:i w:val="0"/>
          <w:sz w:val="22"/>
          <w:szCs w:val="22"/>
        </w:rPr>
        <w:t xml:space="preserve">O: </w:t>
      </w:r>
      <w:r w:rsidR="0012562B" w:rsidRPr="005F201A">
        <w:rPr>
          <w:bCs w:val="0"/>
          <w:i w:val="0"/>
          <w:sz w:val="22"/>
          <w:szCs w:val="22"/>
        </w:rPr>
        <w:tab/>
      </w:r>
      <w:r w:rsidR="0012562B" w:rsidRPr="005F201A">
        <w:rPr>
          <w:bCs w:val="0"/>
          <w:i w:val="0"/>
          <w:sz w:val="22"/>
          <w:szCs w:val="22"/>
        </w:rPr>
        <w:tab/>
      </w:r>
      <w:r w:rsidR="0012562B"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00020699</w:t>
      </w:r>
    </w:p>
    <w:p w:rsidR="00304E24" w:rsidRDefault="00304E24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  <w:t>CZ00020699</w:t>
      </w:r>
    </w:p>
    <w:p w:rsidR="00304E24" w:rsidRPr="00304E24" w:rsidRDefault="00304E24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sz w:val="22"/>
          <w:szCs w:val="22"/>
        </w:rPr>
      </w:pPr>
      <w:r w:rsidRPr="00304E24">
        <w:rPr>
          <w:b w:val="0"/>
          <w:bCs w:val="0"/>
          <w:i w:val="0"/>
          <w:sz w:val="22"/>
          <w:szCs w:val="22"/>
        </w:rPr>
        <w:t>(plátce DPH, ale při výkonu této činnosti není dle vl. nař. č. 96/1953 Sb. osobou povinnou k dani podle § 5 odst. 3, zák. č. 235/2004 Sb.)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9A143F">
        <w:rPr>
          <w:bCs w:val="0"/>
          <w:i w:val="0"/>
          <w:sz w:val="22"/>
          <w:szCs w:val="22"/>
        </w:rPr>
        <w:t>xxxx</w:t>
      </w:r>
    </w:p>
    <w:p w:rsidR="00304E24" w:rsidRPr="005F201A" w:rsidRDefault="00304E24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9A143F">
        <w:rPr>
          <w:bCs w:val="0"/>
          <w:i w:val="0"/>
          <w:sz w:val="22"/>
          <w:szCs w:val="22"/>
        </w:rPr>
        <w:t>xxxx</w:t>
      </w:r>
    </w:p>
    <w:p w:rsidR="00111E67" w:rsidRDefault="00111E67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DB1E04" w:rsidRDefault="00DB1E0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</w:p>
    <w:p w:rsidR="00C44DC0" w:rsidRDefault="00C44DC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DB1E04" w:rsidRPr="00DB1E04" w:rsidRDefault="00DB1E04" w:rsidP="00DB1E04"/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C02A70" w:rsidRDefault="0012562B" w:rsidP="00AA419D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C02A70">
        <w:rPr>
          <w:b w:val="0"/>
          <w:i w:val="0"/>
          <w:sz w:val="22"/>
          <w:szCs w:val="22"/>
        </w:rPr>
        <w:t xml:space="preserve"> </w:t>
      </w:r>
      <w:r w:rsidR="00A45131">
        <w:rPr>
          <w:b w:val="0"/>
          <w:i w:val="0"/>
          <w:sz w:val="22"/>
          <w:szCs w:val="22"/>
        </w:rPr>
        <w:t>A</w:t>
      </w:r>
      <w:r w:rsidR="00D20723" w:rsidRPr="00517977">
        <w:rPr>
          <w:b w:val="0"/>
          <w:i w:val="0"/>
          <w:sz w:val="22"/>
          <w:szCs w:val="22"/>
        </w:rPr>
        <w:t xml:space="preserve">KV pro </w:t>
      </w:r>
      <w:r w:rsidR="00A45131">
        <w:rPr>
          <w:b w:val="0"/>
          <w:i w:val="0"/>
          <w:sz w:val="22"/>
          <w:szCs w:val="22"/>
        </w:rPr>
        <w:t>5</w:t>
      </w:r>
      <w:r w:rsidR="00D20723" w:rsidRPr="00517977">
        <w:rPr>
          <w:b w:val="0"/>
          <w:i w:val="0"/>
          <w:sz w:val="22"/>
          <w:szCs w:val="22"/>
        </w:rPr>
        <w:t xml:space="preserve"> uživatel</w:t>
      </w:r>
      <w:r w:rsidR="00A45131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A45131">
        <w:rPr>
          <w:b w:val="0"/>
          <w:i w:val="0"/>
          <w:sz w:val="22"/>
          <w:szCs w:val="22"/>
        </w:rPr>
        <w:t xml:space="preserve">souvisejících modulů </w:t>
      </w:r>
      <w:r w:rsidR="003572B9" w:rsidRPr="00517977">
        <w:rPr>
          <w:b w:val="0"/>
          <w:i w:val="0"/>
          <w:sz w:val="22"/>
          <w:szCs w:val="22"/>
        </w:rPr>
        <w:t>Portaro</w:t>
      </w:r>
      <w:r w:rsidR="00A45131">
        <w:rPr>
          <w:b w:val="0"/>
          <w:i w:val="0"/>
          <w:sz w:val="22"/>
          <w:szCs w:val="22"/>
        </w:rPr>
        <w:t xml:space="preserve"> a Revize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12562B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907105">
        <w:rPr>
          <w:b w:val="0"/>
          <w:i w:val="0"/>
          <w:sz w:val="22"/>
          <w:szCs w:val="22"/>
        </w:rPr>
        <w:t xml:space="preserve">ckého SW Verbis verze </w:t>
      </w:r>
      <w:r w:rsidR="00A45131">
        <w:rPr>
          <w:b w:val="0"/>
          <w:i w:val="0"/>
          <w:sz w:val="22"/>
          <w:szCs w:val="22"/>
        </w:rPr>
        <w:t>A</w:t>
      </w:r>
      <w:r w:rsidR="00907105">
        <w:rPr>
          <w:b w:val="0"/>
          <w:i w:val="0"/>
          <w:sz w:val="22"/>
          <w:szCs w:val="22"/>
        </w:rPr>
        <w:t xml:space="preserve">KV pro </w:t>
      </w:r>
      <w:r w:rsidR="00A45131">
        <w:rPr>
          <w:b w:val="0"/>
          <w:i w:val="0"/>
          <w:sz w:val="22"/>
          <w:szCs w:val="22"/>
        </w:rPr>
        <w:t>5</w:t>
      </w:r>
      <w:r w:rsidR="00CA1495">
        <w:rPr>
          <w:b w:val="0"/>
          <w:i w:val="0"/>
          <w:sz w:val="22"/>
          <w:szCs w:val="22"/>
        </w:rPr>
        <w:t xml:space="preserve"> uživatelů</w:t>
      </w:r>
      <w:r w:rsidR="00A45131">
        <w:rPr>
          <w:b w:val="0"/>
          <w:i w:val="0"/>
          <w:sz w:val="22"/>
          <w:szCs w:val="22"/>
        </w:rPr>
        <w:t xml:space="preserve">, </w:t>
      </w:r>
      <w:r w:rsidR="00907105">
        <w:rPr>
          <w:b w:val="0"/>
          <w:i w:val="0"/>
          <w:sz w:val="22"/>
          <w:szCs w:val="22"/>
        </w:rPr>
        <w:t>Portaro</w:t>
      </w:r>
      <w:r w:rsidR="00A45131">
        <w:rPr>
          <w:b w:val="0"/>
          <w:i w:val="0"/>
          <w:sz w:val="22"/>
          <w:szCs w:val="22"/>
        </w:rPr>
        <w:t xml:space="preserve"> a Revize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C02A70">
      <w:pPr>
        <w:pStyle w:val="Normlnodsazen"/>
        <w:numPr>
          <w:ilvl w:val="0"/>
          <w:numId w:val="3"/>
        </w:numPr>
        <w:spacing w:after="60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 služby programátora v množství </w:t>
      </w:r>
      <w:r w:rsidR="00A45131">
        <w:rPr>
          <w:rFonts w:cs="Arial"/>
          <w:bCs/>
          <w:iCs/>
          <w:color w:val="000000"/>
          <w:sz w:val="22"/>
          <w:szCs w:val="22"/>
        </w:rPr>
        <w:t>4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DB1E04" w:rsidRPr="00C44DC0" w:rsidRDefault="0012562B" w:rsidP="00C44DC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</w:t>
      </w:r>
      <w:r w:rsidR="00326231">
        <w:rPr>
          <w:b w:val="0"/>
          <w:i w:val="0"/>
          <w:sz w:val="22"/>
          <w:szCs w:val="22"/>
        </w:rPr>
        <w:t>í</w:t>
      </w:r>
      <w:r w:rsidRPr="00517977">
        <w:rPr>
          <w:b w:val="0"/>
          <w:i w:val="0"/>
          <w:sz w:val="22"/>
          <w:szCs w:val="22"/>
        </w:rPr>
        <w:t xml:space="preserve"> databáze z IP adresy</w:t>
      </w:r>
      <w:r w:rsidR="003E0244">
        <w:rPr>
          <w:b w:val="0"/>
          <w:i w:val="0"/>
          <w:sz w:val="22"/>
          <w:szCs w:val="22"/>
        </w:rPr>
        <w:t xml:space="preserve"> </w:t>
      </w:r>
      <w:bookmarkStart w:id="1" w:name="_GoBack"/>
      <w:bookmarkEnd w:id="1"/>
      <w:r w:rsidR="003E0244">
        <w:rPr>
          <w:b w:val="0"/>
          <w:i w:val="0"/>
          <w:sz w:val="22"/>
          <w:szCs w:val="22"/>
        </w:rPr>
        <w:t>xxxx</w:t>
      </w:r>
      <w:r w:rsidRPr="00517977">
        <w:rPr>
          <w:b w:val="0"/>
          <w:i w:val="0"/>
          <w:sz w:val="22"/>
          <w:szCs w:val="22"/>
        </w:rPr>
        <w:t>).</w:t>
      </w:r>
    </w:p>
    <w:p w:rsidR="00517977" w:rsidRDefault="00760737" w:rsidP="003C4E2F">
      <w:pPr>
        <w:pStyle w:val="Nadpis1"/>
        <w:spacing w:before="240" w:after="0"/>
      </w:pPr>
      <w:r>
        <w:lastRenderedPageBreak/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>tj. na dobu určitou od 1.</w:t>
      </w:r>
      <w:r w:rsidR="00726DCE">
        <w:rPr>
          <w:i w:val="0"/>
          <w:sz w:val="22"/>
          <w:szCs w:val="22"/>
        </w:rPr>
        <w:t xml:space="preserve"> </w:t>
      </w:r>
      <w:r w:rsidR="00A45131">
        <w:rPr>
          <w:i w:val="0"/>
          <w:sz w:val="22"/>
          <w:szCs w:val="22"/>
        </w:rPr>
        <w:t>1</w:t>
      </w:r>
      <w:r w:rsidR="003D169B" w:rsidRPr="00517977">
        <w:rPr>
          <w:i w:val="0"/>
          <w:sz w:val="22"/>
          <w:szCs w:val="22"/>
        </w:rPr>
        <w:t>.</w:t>
      </w:r>
      <w:r w:rsidR="00726DCE">
        <w:rPr>
          <w:i w:val="0"/>
          <w:sz w:val="22"/>
          <w:szCs w:val="22"/>
        </w:rPr>
        <w:t xml:space="preserve"> </w:t>
      </w:r>
      <w:r w:rsidR="003D169B" w:rsidRPr="00517977">
        <w:rPr>
          <w:i w:val="0"/>
          <w:sz w:val="22"/>
          <w:szCs w:val="22"/>
        </w:rPr>
        <w:t>2018</w:t>
      </w:r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726DCE">
        <w:rPr>
          <w:i w:val="0"/>
          <w:sz w:val="22"/>
          <w:szCs w:val="22"/>
        </w:rPr>
        <w:t xml:space="preserve"> </w:t>
      </w:r>
      <w:r w:rsidR="00A45131">
        <w:rPr>
          <w:i w:val="0"/>
          <w:sz w:val="22"/>
          <w:szCs w:val="22"/>
        </w:rPr>
        <w:t>12</w:t>
      </w:r>
      <w:r w:rsidR="00907105">
        <w:rPr>
          <w:i w:val="0"/>
          <w:sz w:val="22"/>
          <w:szCs w:val="22"/>
        </w:rPr>
        <w:t>.</w:t>
      </w:r>
      <w:r w:rsidR="00726DCE">
        <w:rPr>
          <w:i w:val="0"/>
          <w:sz w:val="22"/>
          <w:szCs w:val="22"/>
        </w:rPr>
        <w:t xml:space="preserve"> </w:t>
      </w:r>
      <w:r w:rsidR="00907105">
        <w:rPr>
          <w:i w:val="0"/>
          <w:sz w:val="22"/>
          <w:szCs w:val="22"/>
        </w:rPr>
        <w:t>202</w:t>
      </w:r>
      <w:r w:rsidR="00A45131">
        <w:rPr>
          <w:i w:val="0"/>
          <w:sz w:val="22"/>
          <w:szCs w:val="22"/>
        </w:rPr>
        <w:t>0</w:t>
      </w:r>
      <w:r w:rsidR="00330234">
        <w:rPr>
          <w:i w:val="0"/>
          <w:sz w:val="22"/>
          <w:szCs w:val="22"/>
        </w:rPr>
        <w:t>.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907105">
        <w:rPr>
          <w:i w:val="0"/>
          <w:sz w:val="22"/>
          <w:szCs w:val="22"/>
        </w:rPr>
        <w:t xml:space="preserve"> pověřen/a</w:t>
      </w:r>
      <w:r w:rsidR="00330234">
        <w:rPr>
          <w:i w:val="0"/>
          <w:sz w:val="22"/>
          <w:szCs w:val="22"/>
        </w:rPr>
        <w:t xml:space="preserve"> </w:t>
      </w:r>
      <w:r w:rsidR="009A143F">
        <w:rPr>
          <w:i w:val="0"/>
          <w:sz w:val="22"/>
          <w:szCs w:val="22"/>
        </w:rPr>
        <w:t xml:space="preserve">xxxx </w:t>
      </w:r>
      <w:r w:rsidR="00517977">
        <w:rPr>
          <w:i w:val="0"/>
          <w:sz w:val="22"/>
          <w:szCs w:val="22"/>
        </w:rPr>
        <w:t>telefon:</w:t>
      </w:r>
      <w:r w:rsidR="009A143F">
        <w:rPr>
          <w:i w:val="0"/>
          <w:sz w:val="22"/>
          <w:szCs w:val="22"/>
        </w:rPr>
        <w:t xml:space="preserve"> xxxx</w:t>
      </w:r>
      <w:r w:rsidR="00517977">
        <w:rPr>
          <w:i w:val="0"/>
          <w:sz w:val="22"/>
          <w:szCs w:val="22"/>
        </w:rPr>
        <w:t>,</w:t>
      </w:r>
      <w:r w:rsidR="00726DCE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>email</w:t>
      </w:r>
      <w:r w:rsidR="009A143F">
        <w:rPr>
          <w:i w:val="0"/>
          <w:sz w:val="22"/>
          <w:szCs w:val="22"/>
        </w:rPr>
        <w:t xml:space="preserve"> xxxx.</w:t>
      </w:r>
      <w:r w:rsidR="00330234">
        <w:rPr>
          <w:i w:val="0"/>
          <w:sz w:val="22"/>
          <w:szCs w:val="22"/>
        </w:rPr>
        <w:t>.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DB1E04" w:rsidRDefault="00DB1E04" w:rsidP="00DB1E0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</w:p>
    <w:p w:rsidR="00C44DC0" w:rsidRDefault="00C44DC0" w:rsidP="00DB1E0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</w:p>
    <w:p w:rsidR="00760737" w:rsidRDefault="00760737" w:rsidP="00760737">
      <w:pPr>
        <w:pStyle w:val="Nadpis1"/>
        <w:spacing w:before="240" w:after="0"/>
      </w:pPr>
      <w:r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</w:t>
      </w:r>
      <w:r w:rsidR="00907105">
        <w:rPr>
          <w:i w:val="0"/>
          <w:sz w:val="22"/>
          <w:szCs w:val="22"/>
        </w:rPr>
        <w:t xml:space="preserve"> za předmět</w:t>
      </w:r>
      <w:r w:rsidR="00CA1495">
        <w:rPr>
          <w:i w:val="0"/>
          <w:sz w:val="22"/>
          <w:szCs w:val="22"/>
        </w:rPr>
        <w:t xml:space="preserve"> plnění dle bodu I.1</w:t>
      </w:r>
      <w:r w:rsidRPr="00760737">
        <w:rPr>
          <w:i w:val="0"/>
          <w:sz w:val="22"/>
          <w:szCs w:val="22"/>
        </w:rPr>
        <w:t xml:space="preserve"> po dobu platnosti smlouvy </w:t>
      </w:r>
      <w:r w:rsidR="003D169B" w:rsidRPr="00760737">
        <w:rPr>
          <w:i w:val="0"/>
          <w:sz w:val="22"/>
          <w:szCs w:val="22"/>
        </w:rPr>
        <w:t xml:space="preserve">činí </w:t>
      </w:r>
      <w:r w:rsidR="00217D58">
        <w:rPr>
          <w:i w:val="0"/>
          <w:sz w:val="22"/>
          <w:szCs w:val="22"/>
        </w:rPr>
        <w:t>69</w:t>
      </w:r>
      <w:r w:rsidR="00CA1495">
        <w:rPr>
          <w:i w:val="0"/>
          <w:sz w:val="22"/>
          <w:szCs w:val="22"/>
        </w:rPr>
        <w:t xml:space="preserve"> </w:t>
      </w:r>
      <w:r w:rsidR="00217D58">
        <w:rPr>
          <w:i w:val="0"/>
          <w:sz w:val="22"/>
          <w:szCs w:val="22"/>
        </w:rPr>
        <w:t>645</w:t>
      </w:r>
      <w:r w:rsidR="00886CC9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07105" w:rsidRPr="00907105" w:rsidRDefault="00907105" w:rsidP="00907105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</w:t>
      </w:r>
      <w:r w:rsidR="009A25A0" w:rsidRPr="00760737">
        <w:rPr>
          <w:i w:val="0"/>
          <w:sz w:val="22"/>
          <w:szCs w:val="22"/>
        </w:rPr>
        <w:t>ena za jeden r</w:t>
      </w:r>
      <w:r w:rsidR="003D169B" w:rsidRPr="00760737">
        <w:rPr>
          <w:i w:val="0"/>
          <w:sz w:val="22"/>
          <w:szCs w:val="22"/>
        </w:rPr>
        <w:t>ok platnosti smlouvy</w:t>
      </w:r>
      <w:r w:rsidR="00886CC9">
        <w:rPr>
          <w:i w:val="0"/>
          <w:sz w:val="22"/>
          <w:szCs w:val="22"/>
        </w:rPr>
        <w:t xml:space="preserve"> dle bodu I.1 činí 23 215</w:t>
      </w:r>
      <w:r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="009A25A0"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760737">
        <w:rPr>
          <w:i w:val="0"/>
          <w:sz w:val="22"/>
          <w:szCs w:val="22"/>
        </w:rPr>
        <w:t>4</w:t>
      </w:r>
      <w:r w:rsidRPr="00760737">
        <w:rPr>
          <w:i w:val="0"/>
          <w:sz w:val="22"/>
          <w:szCs w:val="22"/>
        </w:rPr>
        <w:t>90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výši. Cestovní náklady dodavatele, v případě servisu na pracovišti odběratele, jsou fakturovány zvlášť, a to za každou servisní návštěvu dle platného ceníku dodavatele.</w:t>
      </w:r>
    </w:p>
    <w:p w:rsidR="00DB1E04" w:rsidRDefault="00DB1E04" w:rsidP="00DB1E04"/>
    <w:p w:rsidR="00C44DC0" w:rsidRPr="00DB1E04" w:rsidRDefault="00C44DC0" w:rsidP="00DB1E04"/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07105">
        <w:rPr>
          <w:i w:val="0"/>
          <w:sz w:val="22"/>
          <w:szCs w:val="22"/>
        </w:rPr>
        <w:t>adí platbu podle čl. III.</w:t>
      </w:r>
      <w:r w:rsidR="009A25A0" w:rsidRPr="00760737">
        <w:rPr>
          <w:i w:val="0"/>
          <w:sz w:val="22"/>
          <w:szCs w:val="22"/>
        </w:rPr>
        <w:t> 2</w:t>
      </w:r>
      <w:r w:rsidRPr="00760737">
        <w:rPr>
          <w:i w:val="0"/>
          <w:sz w:val="22"/>
          <w:szCs w:val="22"/>
        </w:rPr>
        <w:t> této smlouvy na základě faktury</w:t>
      </w:r>
      <w:r w:rsidR="00907105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 xml:space="preserve">(řádného účetního dokladu) vystavené dodavatelem. Dodavatel vystaví fakturu se lhůtou splatnosti </w:t>
      </w:r>
      <w:r w:rsidR="00923C6B">
        <w:rPr>
          <w:i w:val="0"/>
          <w:sz w:val="22"/>
          <w:szCs w:val="22"/>
        </w:rPr>
        <w:t>30</w:t>
      </w:r>
      <w:r w:rsidR="00923C6B" w:rsidRP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dnů. Faktura bud</w:t>
      </w:r>
      <w:r w:rsidR="00907105">
        <w:rPr>
          <w:i w:val="0"/>
          <w:sz w:val="22"/>
          <w:szCs w:val="22"/>
        </w:rPr>
        <w:t>e vystavena nejpozději do 14</w:t>
      </w:r>
      <w:r w:rsidR="00CA1495">
        <w:rPr>
          <w:i w:val="0"/>
          <w:sz w:val="22"/>
          <w:szCs w:val="22"/>
        </w:rPr>
        <w:t xml:space="preserve"> dnů od podpisu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0,1% z fakturované ceny za každý den prodlení.</w:t>
      </w:r>
    </w:p>
    <w:p w:rsidR="003C4E2F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Při nedodržení termínů ze strany dodavatele se snižuje cena dodávky o 0,1% za každý den prodlení.</w:t>
      </w:r>
    </w:p>
    <w:p w:rsidR="00DB1E04" w:rsidRDefault="00DB1E04" w:rsidP="00DB1E04"/>
    <w:p w:rsidR="00C44DC0" w:rsidRDefault="00C44DC0" w:rsidP="00DB1E04"/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Záruční doba na veškeré dodávky systému podle této smlouvy činí 24 měsíců od data převzetí odběratelem (data vydání verze).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lastRenderedPageBreak/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CA1495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693642" w:rsidRDefault="00693642">
      <w:pPr>
        <w:ind w:left="0"/>
        <w:rPr>
          <w:sz w:val="22"/>
          <w:szCs w:val="22"/>
        </w:rPr>
      </w:pPr>
    </w:p>
    <w:p w:rsidR="00DB1E04" w:rsidRDefault="00DB1E04" w:rsidP="00DB1E0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44DC0" w:rsidRDefault="00C44DC0" w:rsidP="00DB1E0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DB1E04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V případě, že bude při plnění předmětu smlouvy docházet ke zpracování oso</w:t>
      </w:r>
      <w:r w:rsidR="009E142A">
        <w:rPr>
          <w:b w:val="0"/>
          <w:i w:val="0"/>
          <w:iCs w:val="0"/>
          <w:color w:val="auto"/>
          <w:sz w:val="22"/>
          <w:szCs w:val="22"/>
        </w:rPr>
        <w:t xml:space="preserve">bních údajů, je tato smlouva </w:t>
      </w:r>
      <w:r w:rsidRPr="00F979E3">
        <w:rPr>
          <w:b w:val="0"/>
          <w:i w:val="0"/>
          <w:iCs w:val="0"/>
          <w:color w:val="auto"/>
          <w:sz w:val="22"/>
          <w:szCs w:val="22"/>
        </w:rPr>
        <w:t>zároveň smlouvou o zpracování osobních údajů ve smyslu § 6 zákona č. 101/2000 Sb., o ochraně osobních údajů a o změně některých zákonů, ve znění pozdějších předpisů (dále jen „ZOOÚ“). Dodavatel má pro účely ochrany osobních údajů postavení zpracovatele ve smyslu ZOOÚ.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je povinen při plnění předmětu smlouvy dodržovat právní předpisy týkající se ochrany osobních údajů, zejména:</w:t>
      </w:r>
    </w:p>
    <w:p w:rsidR="00F979E3" w:rsidRPr="00AA419D" w:rsidRDefault="00F979E3" w:rsidP="00AA419D">
      <w:pPr>
        <w:pStyle w:val="Odstavecseseznamem"/>
        <w:keepNext/>
        <w:numPr>
          <w:ilvl w:val="0"/>
          <w:numId w:val="11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714" w:hanging="357"/>
        <w:outlineLvl w:val="2"/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</w:pPr>
      <w:r w:rsidRPr="00AA419D">
        <w:rPr>
          <w:b w:val="0"/>
          <w:i w:val="0"/>
          <w:iCs w:val="0"/>
          <w:color w:val="auto"/>
          <w:sz w:val="22"/>
          <w:szCs w:val="22"/>
        </w:rPr>
        <w:t xml:space="preserve">zákon č. 101/2000 Sb., </w:t>
      </w:r>
      <w:r w:rsidRPr="00AA419D"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  <w:t>o ochraně osobních údajů a o změně některých zákonů, v platném znění, případně zákon, který jej v budoucnu nahradí,</w:t>
      </w:r>
    </w:p>
    <w:p w:rsidR="00F979E3" w:rsidRPr="00AA419D" w:rsidRDefault="00F979E3" w:rsidP="00AA419D">
      <w:pPr>
        <w:pStyle w:val="Odstavecseseznamem"/>
        <w:numPr>
          <w:ilvl w:val="0"/>
          <w:numId w:val="11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714" w:hanging="357"/>
        <w:contextualSpacing w:val="0"/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</w:pPr>
      <w:r w:rsidRPr="00AA419D"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  <w:t>nařízení Evropského parlamentu a Rady EU 2016/679 ze dne 27. dubna 2016 o ochraně fyzických osob v souvislosti se zpracováním osobních údajů a o volném pohybu těchto údajů (obecné nařízení o ochraně osobních údajů), dále jen „GDPR“, které nabude účinnosti 25. května 2018.</w:t>
      </w:r>
      <w:r w:rsidR="00BE505B"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  <w:t xml:space="preserve"> 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lastRenderedPageBreak/>
        <w:t>Dodavatel je oprávněn zpracovávat osobní údaje v rozsahu nezbytně nutném pro plnění této smlouvy, za tímto účelem je oprávněn osobní údaje zejména ukládat na nosiče informací, upravovat, uchovávat po dobu nezbytnou k uplatnění práv dodavatele vyplývajících z této smlouvy, předávat zpracované osobních údaje objednateli, osobní údaje likvidovat.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rFonts w:cs="Times New Roman"/>
          <w:b w:val="0"/>
          <w:bCs w:val="0"/>
          <w:i w:val="0"/>
          <w:iCs w:val="0"/>
          <w:color w:val="auto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 xml:space="preserve">Dodavatel učiní v souladu s platnými právními předpisy dostatečná organizační a technická opatření zabraňující přístupu neoprávněných osob k osobním údajům  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jeho zaměstnanci byli v souladu s platnými právními předpisy poučeni o povinnosti mlčenlivosti a o možných následcích pro případ porušení této povinnosti.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písemnosti a jiné hmotné nosiče informací, které obsahují osobní údaje, byly uchovávány pouze v uzamykatelných místnostech.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písemnosti a jiné hmotné nosiče informací, které obsahují citlivé údaje, byly uchovávány v uzamykatelných skříních umístěných v uzamykatelných místnostech.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elektronické datové soubory obsahující osobní údaje byly uchovávány v paměti počítače pouze:</w:t>
      </w:r>
    </w:p>
    <w:p w:rsidR="00F979E3" w:rsidRPr="00AA419D" w:rsidRDefault="00F979E3" w:rsidP="00AA419D">
      <w:pPr>
        <w:pStyle w:val="Odstavecseseznamem"/>
        <w:numPr>
          <w:ilvl w:val="0"/>
          <w:numId w:val="12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714" w:hanging="357"/>
        <w:rPr>
          <w:b w:val="0"/>
          <w:bCs w:val="0"/>
          <w:i w:val="0"/>
          <w:iCs w:val="0"/>
          <w:color w:val="auto"/>
          <w:sz w:val="22"/>
          <w:szCs w:val="18"/>
        </w:rPr>
      </w:pPr>
      <w:r w:rsidRPr="00AA419D">
        <w:rPr>
          <w:b w:val="0"/>
          <w:bCs w:val="0"/>
          <w:i w:val="0"/>
          <w:iCs w:val="0"/>
          <w:color w:val="auto"/>
          <w:sz w:val="22"/>
          <w:szCs w:val="18"/>
        </w:rPr>
        <w:t>je-li přístup k takovýmto souborům chráněn heslem,</w:t>
      </w:r>
    </w:p>
    <w:p w:rsidR="00F979E3" w:rsidRPr="00AA419D" w:rsidRDefault="00F979E3" w:rsidP="00AA419D">
      <w:pPr>
        <w:pStyle w:val="Odstavecseseznamem"/>
        <w:numPr>
          <w:ilvl w:val="0"/>
          <w:numId w:val="12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714" w:hanging="357"/>
        <w:contextualSpacing w:val="0"/>
        <w:rPr>
          <w:b w:val="0"/>
          <w:bCs w:val="0"/>
          <w:i w:val="0"/>
          <w:iCs w:val="0"/>
          <w:color w:val="auto"/>
          <w:sz w:val="22"/>
          <w:szCs w:val="18"/>
        </w:rPr>
      </w:pPr>
      <w:r w:rsidRPr="00AA419D">
        <w:rPr>
          <w:b w:val="0"/>
          <w:bCs w:val="0"/>
          <w:i w:val="0"/>
          <w:iCs w:val="0"/>
          <w:color w:val="auto"/>
          <w:sz w:val="22"/>
          <w:szCs w:val="18"/>
        </w:rPr>
        <w:t>je-li přístup k užívání počítače, v jehož paměti jsou tyto soubory umístěny, chráněn heslem.</w:t>
      </w:r>
    </w:p>
    <w:p w:rsidR="00C06DAA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>
        <w:rPr>
          <w:b w:val="0"/>
          <w:i w:val="0"/>
          <w:iCs w:val="0"/>
          <w:color w:val="auto"/>
          <w:sz w:val="22"/>
          <w:szCs w:val="22"/>
        </w:rPr>
        <w:t>Je-li pro účel kontroly správnéh</w:t>
      </w:r>
      <w:r w:rsidRPr="00F979E3">
        <w:rPr>
          <w:b w:val="0"/>
          <w:i w:val="0"/>
          <w:iCs w:val="0"/>
          <w:color w:val="auto"/>
          <w:sz w:val="22"/>
          <w:szCs w:val="22"/>
        </w:rPr>
        <w:t>o fungování díla, odstranění vady nebo další vývoj</w:t>
      </w:r>
      <w:r w:rsidR="00326231">
        <w:rPr>
          <w:b w:val="0"/>
          <w:i w:val="0"/>
          <w:iCs w:val="0"/>
          <w:color w:val="auto"/>
          <w:sz w:val="22"/>
          <w:szCs w:val="22"/>
        </w:rPr>
        <w:t>e</w:t>
      </w:r>
      <w:r w:rsidRPr="00F979E3">
        <w:rPr>
          <w:b w:val="0"/>
          <w:i w:val="0"/>
          <w:iCs w:val="0"/>
          <w:color w:val="auto"/>
          <w:sz w:val="22"/>
          <w:szCs w:val="22"/>
        </w:rPr>
        <w:t xml:space="preserve"> díla nezbytné poskytnout dodavateli kopii databází, souborů nebo nosičů údajů obsahujících </w:t>
      </w:r>
      <w:r>
        <w:rPr>
          <w:b w:val="0"/>
          <w:i w:val="0"/>
          <w:iCs w:val="0"/>
          <w:color w:val="auto"/>
          <w:sz w:val="22"/>
          <w:szCs w:val="22"/>
        </w:rPr>
        <w:t>jakékoliv údaje z činnosti odběratele</w:t>
      </w:r>
      <w:r w:rsidRPr="00F979E3">
        <w:rPr>
          <w:b w:val="0"/>
          <w:i w:val="0"/>
          <w:iCs w:val="0"/>
          <w:color w:val="auto"/>
          <w:sz w:val="22"/>
          <w:szCs w:val="22"/>
        </w:rPr>
        <w:t>, je dodavatel povinen s takovými údaji nakládat tak, aby nedošlo k jejich úniku či zneužití.</w:t>
      </w:r>
    </w:p>
    <w:p w:rsidR="00BE505B" w:rsidRDefault="00BE505B" w:rsidP="00DC1B7E">
      <w:pPr>
        <w:keepNext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/>
        <w:outlineLvl w:val="2"/>
        <w:rPr>
          <w:b w:val="0"/>
          <w:i w:val="0"/>
          <w:iCs w:val="0"/>
          <w:color w:val="auto"/>
          <w:sz w:val="22"/>
          <w:szCs w:val="22"/>
        </w:rPr>
      </w:pPr>
    </w:p>
    <w:p w:rsidR="00C44DC0" w:rsidRDefault="00C44DC0" w:rsidP="00DC1B7E">
      <w:pPr>
        <w:keepNext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/>
        <w:outlineLvl w:val="2"/>
        <w:rPr>
          <w:b w:val="0"/>
          <w:i w:val="0"/>
          <w:iCs w:val="0"/>
          <w:color w:val="auto"/>
          <w:sz w:val="22"/>
          <w:szCs w:val="22"/>
        </w:rPr>
      </w:pPr>
    </w:p>
    <w:p w:rsidR="00BE505B" w:rsidRPr="00DC1B7E" w:rsidRDefault="00BE505B" w:rsidP="00DC1B7E">
      <w:pPr>
        <w:keepNext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0"/>
        <w:jc w:val="center"/>
        <w:outlineLvl w:val="2"/>
        <w:rPr>
          <w:i w:val="0"/>
          <w:iCs w:val="0"/>
          <w:color w:val="auto"/>
          <w:sz w:val="22"/>
          <w:szCs w:val="22"/>
        </w:rPr>
      </w:pPr>
      <w:r>
        <w:rPr>
          <w:i w:val="0"/>
          <w:iCs w:val="0"/>
          <w:color w:val="auto"/>
          <w:sz w:val="22"/>
          <w:szCs w:val="22"/>
        </w:rPr>
        <w:t>Č</w:t>
      </w:r>
      <w:r w:rsidRPr="00BE505B">
        <w:rPr>
          <w:i w:val="0"/>
          <w:iCs w:val="0"/>
          <w:color w:val="auto"/>
          <w:sz w:val="22"/>
          <w:szCs w:val="22"/>
        </w:rPr>
        <w:t>lánek VI</w:t>
      </w:r>
      <w:r w:rsidRPr="00DC1B7E">
        <w:rPr>
          <w:i w:val="0"/>
          <w:iCs w:val="0"/>
          <w:color w:val="auto"/>
          <w:sz w:val="22"/>
          <w:szCs w:val="22"/>
        </w:rPr>
        <w:t>I.</w:t>
      </w:r>
    </w:p>
    <w:p w:rsidR="00BE505B" w:rsidRPr="00585581" w:rsidRDefault="00BE505B" w:rsidP="00DC1B7E">
      <w:pPr>
        <w:keepNext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0"/>
        <w:jc w:val="center"/>
        <w:outlineLvl w:val="2"/>
        <w:rPr>
          <w:bCs w:val="0"/>
          <w:i w:val="0"/>
          <w:iCs w:val="0"/>
          <w:color w:val="auto"/>
          <w:sz w:val="24"/>
          <w:szCs w:val="24"/>
        </w:rPr>
      </w:pPr>
      <w:r w:rsidRPr="00585581">
        <w:rPr>
          <w:bCs w:val="0"/>
          <w:i w:val="0"/>
          <w:iCs w:val="0"/>
          <w:color w:val="auto"/>
          <w:sz w:val="22"/>
          <w:szCs w:val="22"/>
        </w:rPr>
        <w:t>Doložka ve smyslu ustanovení § 4 odst. 2 zákona č. 181/2014  sb., o kybernetické bezpečnosti, ve znění pozdějších předpisů</w:t>
      </w:r>
    </w:p>
    <w:p w:rsidR="00BE505B" w:rsidRPr="00DC1B7E" w:rsidRDefault="00BE505B" w:rsidP="00BE505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line="276" w:lineRule="auto"/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E505B" w:rsidRPr="00DC1B7E" w:rsidRDefault="00BE505B" w:rsidP="00DC1B7E">
      <w:pPr>
        <w:pStyle w:val="Odstavecseseznamem"/>
        <w:widowControl w:val="0"/>
        <w:numPr>
          <w:ilvl w:val="0"/>
          <w:numId w:val="16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</w:pPr>
      <w:r w:rsidRPr="00DC1B7E">
        <w:rPr>
          <w:b w:val="0"/>
          <w:bCs w:val="0"/>
          <w:i w:val="0"/>
          <w:iCs w:val="0"/>
          <w:color w:val="auto"/>
          <w:sz w:val="22"/>
          <w:szCs w:val="22"/>
        </w:rPr>
        <w:t>Smluvní strany berou na vědomí, že informační systém poskytovatele informací ČHMÚ (dále  jen „</w:t>
      </w:r>
      <w:r w:rsidRPr="00DC1B7E">
        <w:rPr>
          <w:b w:val="0"/>
          <w:bCs w:val="0"/>
          <w:iCs w:val="0"/>
          <w:color w:val="auto"/>
          <w:sz w:val="22"/>
          <w:szCs w:val="22"/>
        </w:rPr>
        <w:t>ČHMÚ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</w:rPr>
        <w:t xml:space="preserve">“) podléhá zákonu č. 181/2014 Sb., o kybernetické bezpečnosti, v platném znění a s ním související vyhlášky, zejm. vyhláška č.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>316/2014 Sb., o kybernetické bezpečnosti, který je v předmětném</w:t>
      </w:r>
      <w:r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 smluvním vztahu jako odběratel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 a  na základě  zákonných důvodů se stává osobou  povinnou dle ustanovení § 3 odst. c), dále </w:t>
      </w:r>
    </w:p>
    <w:p w:rsidR="00BE505B" w:rsidRPr="00DC1B7E" w:rsidRDefault="00BE505B" w:rsidP="00BE505B">
      <w:pPr>
        <w:widowControl w:val="0"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ind w:left="360"/>
        <w:contextualSpacing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E505B" w:rsidRPr="00DC1B7E" w:rsidRDefault="00BE505B" w:rsidP="00DC1B7E">
      <w:pPr>
        <w:pStyle w:val="Odstavecseseznamem"/>
        <w:widowControl w:val="0"/>
        <w:numPr>
          <w:ilvl w:val="0"/>
          <w:numId w:val="16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>dodavatel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</w:rPr>
        <w:t>je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 povinen při užívání a čerpáních jakýchkoliv informací, dat, podkladů, zejm. o cílech a smluvním vztahu k veřejné zakázce a jejího plnění, o informačních systémech, personálním zabezpečení, vnitřní struktuře organizace a o skutečnostech, které se vztahují k bezpečnostním a technickým opatřením, kdy se stává příjemcem a uživatelem těchto informací, jako chráněných informací, ve smyslu ustanovení § 1730 zákona č. </w:t>
      </w:r>
      <w:r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89/2012 Sb., občanský zákoník,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dodržovat zákonné předpisy pro oblast kybernetické bezpečnosti, interní předpisy ČHMÚ a počínat si při svém jednání tak,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</w:rPr>
        <w:t>aby nedocházelo k porušování bezpečnostních opatření, nebyla snižována a poškozována bezpečnostní image ČHMÚ a důvěryhodnost těchto zdrojů a nenastalo  k neoprávněnému zásahu do  sítí a informačních systémů ČHMÚ s následkem jejich poškození,  dále</w:t>
      </w:r>
    </w:p>
    <w:p w:rsidR="00BE505B" w:rsidRPr="00DC1B7E" w:rsidRDefault="00BE505B" w:rsidP="00BE505B">
      <w:pPr>
        <w:widowControl w:val="0"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ind w:left="360"/>
        <w:contextualSpacing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E505B" w:rsidRPr="00DC1B7E" w:rsidRDefault="00BE505B" w:rsidP="00DC1B7E">
      <w:pPr>
        <w:pStyle w:val="Odstavecseseznamem"/>
        <w:widowControl w:val="0"/>
        <w:numPr>
          <w:ilvl w:val="0"/>
          <w:numId w:val="16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>dodavatel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 bere na vědomí, že chráněné informace jsou součástí i obchodní tajemství ve smyslu ustanovení § 504 zákona č. </w:t>
      </w:r>
      <w:r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89/2012 Sb., občanský zákoník,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 xml:space="preserve">zejm. listinné a elektronické podklady, finanční přehledy a cenové mapy, zdroje a s poskytnutými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lastRenderedPageBreak/>
        <w:t xml:space="preserve">zdroji je povinen nakládat tak, jako by byly označovány za důvěrné, dále není oprávněn je užívat i zprostředkovaně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</w:rPr>
        <w:t>ke komerčním účelům, modifikovat a zcizovat. S užitím chráněných informací nepřechází ani na třetí osoby vlastnictví k autorským a průmyslovým právům, pokud není stanovené jinak, dále</w:t>
      </w:r>
    </w:p>
    <w:p w:rsidR="00BE505B" w:rsidRPr="00DC1B7E" w:rsidRDefault="00BE505B" w:rsidP="00BE505B">
      <w:pPr>
        <w:widowControl w:val="0"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ind w:left="360"/>
        <w:contextualSpacing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E505B" w:rsidRPr="00DC1B7E" w:rsidRDefault="00BE505B" w:rsidP="00DC1B7E">
      <w:pPr>
        <w:pStyle w:val="Odstavecseseznamem"/>
        <w:widowControl w:val="0"/>
        <w:numPr>
          <w:ilvl w:val="0"/>
          <w:numId w:val="16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dodavatel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</w:rPr>
        <w:t xml:space="preserve">bere na vědomí, že zákonem určený Úřad, je oprávněn vykonávat kontrolu a dohled nad dodržováním ustanovení v oblasti kybernetické bezpečnosti a smluvní strany jsou povinny být součinné v případě provádění státního dohledu a při provádění auditů procesů, dále </w:t>
      </w:r>
    </w:p>
    <w:p w:rsidR="00BE505B" w:rsidRPr="00DC1B7E" w:rsidRDefault="00BE505B" w:rsidP="00BE505B">
      <w:pPr>
        <w:widowControl w:val="0"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ind w:left="360"/>
        <w:contextualSpacing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E505B" w:rsidRDefault="00BE505B" w:rsidP="00DC1B7E">
      <w:pPr>
        <w:pStyle w:val="Odstavecseseznamem"/>
        <w:widowControl w:val="0"/>
        <w:numPr>
          <w:ilvl w:val="0"/>
          <w:numId w:val="16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rPr>
          <w:b w:val="0"/>
          <w:bCs w:val="0"/>
          <w:i w:val="0"/>
          <w:iCs w:val="0"/>
          <w:color w:val="auto"/>
          <w:sz w:val="22"/>
          <w:szCs w:val="22"/>
        </w:rPr>
      </w:pPr>
      <w:r w:rsidRPr="00DC1B7E">
        <w:rPr>
          <w:b w:val="0"/>
          <w:bCs w:val="0"/>
          <w:i w:val="0"/>
          <w:iCs w:val="0"/>
          <w:color w:val="auto"/>
          <w:sz w:val="22"/>
          <w:szCs w:val="22"/>
        </w:rPr>
        <w:t>v případě porušení zákona v oblasti kybernetické bezpeč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nosti jednáním ze strany dodavatele, je odběratel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</w:rPr>
        <w:t xml:space="preserve"> oprávněn požadovat finanční náhradu škody ve výši správního deliktu za každé porušení dle zákona o kybernetické bezpečnosti, který bude pravomocně udělen dle příslušného zákona daného  Úřadu  dle odst.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4 a byl způsobem zaviněn dodavatelem </w:t>
      </w:r>
      <w:r w:rsidRPr="00DC1B7E">
        <w:rPr>
          <w:b w:val="0"/>
          <w:bCs w:val="0"/>
          <w:i w:val="0"/>
          <w:iCs w:val="0"/>
          <w:color w:val="auto"/>
          <w:sz w:val="22"/>
          <w:szCs w:val="22"/>
          <w:lang w:eastAsia="zh-CN" w:bidi="hi-IN"/>
        </w:rPr>
        <w:t>a to i v případě, že třetí osoby jednají v jeho zastoupení.</w:t>
      </w:r>
    </w:p>
    <w:p w:rsidR="00C44DC0" w:rsidRPr="00C44DC0" w:rsidRDefault="00C44DC0" w:rsidP="00C44DC0">
      <w:pPr>
        <w:pStyle w:val="Odstavecseseznamem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C44DC0" w:rsidRDefault="00C44DC0" w:rsidP="00C44DC0">
      <w:pPr>
        <w:widowControl w:val="0"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C44DC0" w:rsidRPr="00C44DC0" w:rsidRDefault="00C44DC0" w:rsidP="00C44DC0">
      <w:pPr>
        <w:widowControl w:val="0"/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 w:rsidR="00BE505B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DB1E04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DB1E04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DB1E04" w:rsidRPr="00DB1E04" w:rsidRDefault="00DB1E04" w:rsidP="00DB1E04">
      <w:pPr>
        <w:pStyle w:val="Odstavecseseznamem"/>
        <w:numPr>
          <w:ilvl w:val="0"/>
          <w:numId w:val="1"/>
        </w:numPr>
        <w:rPr>
          <w:rFonts w:cstheme="minorHAnsi"/>
          <w:b w:val="0"/>
          <w:i w:val="0"/>
          <w:sz w:val="22"/>
          <w:szCs w:val="22"/>
        </w:rPr>
      </w:pPr>
      <w:r w:rsidRPr="00DB1E04">
        <w:rPr>
          <w:rFonts w:cstheme="minorHAnsi"/>
          <w:b w:val="0"/>
          <w:i w:val="0"/>
          <w:sz w:val="22"/>
          <w:szCs w:val="22"/>
        </w:rPr>
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</w:r>
    </w:p>
    <w:p w:rsidR="0012562B" w:rsidRPr="00DB1E04" w:rsidRDefault="0012562B" w:rsidP="00DB1E04">
      <w:pPr>
        <w:pStyle w:val="Nadpis3"/>
        <w:numPr>
          <w:ilvl w:val="1"/>
          <w:numId w:val="13"/>
        </w:numPr>
        <w:spacing w:after="60"/>
        <w:rPr>
          <w:i w:val="0"/>
          <w:sz w:val="22"/>
          <w:szCs w:val="22"/>
        </w:rPr>
      </w:pPr>
      <w:r w:rsidRPr="00DB1E04">
        <w:rPr>
          <w:i w:val="0"/>
          <w:sz w:val="22"/>
          <w:szCs w:val="22"/>
        </w:rPr>
        <w:t>Tato smlouva nabývá platnosti a účinnosti dnem jejího podpisu smluvními stranami.</w:t>
      </w:r>
    </w:p>
    <w:p w:rsidR="0012562B" w:rsidRPr="00DB1E04" w:rsidRDefault="0012562B" w:rsidP="00DB1E04">
      <w:pPr>
        <w:pStyle w:val="Nadpis3"/>
        <w:numPr>
          <w:ilvl w:val="1"/>
          <w:numId w:val="13"/>
        </w:numPr>
        <w:spacing w:after="60"/>
        <w:rPr>
          <w:i w:val="0"/>
          <w:sz w:val="22"/>
          <w:szCs w:val="22"/>
        </w:rPr>
      </w:pPr>
      <w:r w:rsidRPr="00DB1E04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DB1E04" w:rsidRDefault="0012562B" w:rsidP="00DB1E04">
      <w:pPr>
        <w:pStyle w:val="Nadpis3"/>
        <w:numPr>
          <w:ilvl w:val="1"/>
          <w:numId w:val="14"/>
        </w:numPr>
        <w:spacing w:after="60"/>
        <w:rPr>
          <w:i w:val="0"/>
          <w:sz w:val="22"/>
          <w:szCs w:val="22"/>
        </w:rPr>
      </w:pPr>
      <w:r w:rsidRPr="00DB1E04">
        <w:rPr>
          <w:i w:val="0"/>
          <w:sz w:val="22"/>
          <w:szCs w:val="22"/>
        </w:rPr>
        <w:t xml:space="preserve">Tato smlouva je pořízena ve </w:t>
      </w:r>
      <w:r w:rsidR="00907105" w:rsidRPr="00DB1E04">
        <w:rPr>
          <w:i w:val="0"/>
          <w:sz w:val="22"/>
          <w:szCs w:val="22"/>
        </w:rPr>
        <w:t>dvou</w:t>
      </w:r>
      <w:r w:rsidRPr="00DB1E04">
        <w:rPr>
          <w:i w:val="0"/>
          <w:sz w:val="22"/>
          <w:szCs w:val="22"/>
        </w:rPr>
        <w:t xml:space="preserve"> stejnopisech s platností originálu, z nichž dodavatel</w:t>
      </w:r>
      <w:r w:rsidR="00907105" w:rsidRPr="00DB1E04">
        <w:rPr>
          <w:i w:val="0"/>
          <w:sz w:val="22"/>
          <w:szCs w:val="22"/>
        </w:rPr>
        <w:t xml:space="preserve"> i odběratel obdrží po jednom vyhotovení</w:t>
      </w:r>
      <w:r w:rsidRPr="00DB1E04">
        <w:rPr>
          <w:i w:val="0"/>
          <w:sz w:val="22"/>
          <w:szCs w:val="22"/>
        </w:rPr>
        <w:t>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B1E04" w:rsidRDefault="00DB1E04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7A7D4A" w:rsidRDefault="007A7D4A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B1E04" w:rsidRDefault="00DB1E04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B1E04" w:rsidRDefault="00DB1E04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CA1495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V Pra</w:t>
      </w:r>
      <w:r w:rsidR="00326231">
        <w:rPr>
          <w:b w:val="0"/>
          <w:bCs w:val="0"/>
          <w:i w:val="0"/>
          <w:iCs w:val="0"/>
          <w:color w:val="auto"/>
          <w:sz w:val="22"/>
          <w:szCs w:val="22"/>
        </w:rPr>
        <w:t>z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e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  <w:r w:rsidR="00DB1E04">
        <w:rPr>
          <w:b w:val="0"/>
          <w:bCs w:val="0"/>
          <w:i w:val="0"/>
          <w:iCs w:val="0"/>
          <w:color w:val="auto"/>
          <w:sz w:val="22"/>
          <w:szCs w:val="22"/>
        </w:rPr>
        <w:t xml:space="preserve">                                                                         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>V Pardubicích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B1E04" w:rsidRDefault="00DB1E04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B1E04" w:rsidRDefault="00DB1E04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907105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DB1E04">
        <w:rPr>
          <w:b w:val="0"/>
          <w:bCs w:val="0"/>
          <w:i w:val="0"/>
          <w:iCs w:val="0"/>
          <w:color w:val="auto"/>
          <w:sz w:val="22"/>
          <w:szCs w:val="22"/>
        </w:rPr>
        <w:t xml:space="preserve">...............                                               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DB1E04">
        <w:rPr>
          <w:b w:val="0"/>
          <w:bCs w:val="0"/>
          <w:i w:val="0"/>
          <w:iCs w:val="0"/>
          <w:color w:val="auto"/>
          <w:sz w:val="22"/>
          <w:szCs w:val="22"/>
        </w:rPr>
        <w:t>............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</w:t>
      </w:r>
      <w:r w:rsidR="00DB1E04">
        <w:rPr>
          <w:b w:val="0"/>
          <w:bCs w:val="0"/>
          <w:i w:val="0"/>
          <w:iCs w:val="0"/>
          <w:color w:val="auto"/>
          <w:sz w:val="22"/>
          <w:szCs w:val="22"/>
        </w:rPr>
        <w:t>................</w:t>
      </w:r>
    </w:p>
    <w:p w:rsidR="00B83512" w:rsidRDefault="00DB1E04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Mgr. Mark Rieder                                                                  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111E67" w:rsidRDefault="00111E6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111E67" w:rsidRDefault="00111E6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111E67" w:rsidRDefault="00111E67" w:rsidP="00DC1B7E">
      <w:pPr>
        <w:keepNext/>
        <w:spacing w:line="276" w:lineRule="auto"/>
        <w:jc w:val="left"/>
        <w:outlineLvl w:val="0"/>
        <w:rPr>
          <w:rFonts w:ascii="Calibri" w:hAnsi="Calibri"/>
          <w:b w:val="0"/>
          <w:kern w:val="28"/>
          <w:sz w:val="24"/>
          <w:szCs w:val="24"/>
        </w:rPr>
      </w:pPr>
    </w:p>
    <w:p w:rsidR="00111E67" w:rsidRDefault="00111E67" w:rsidP="00DC1B7E">
      <w:pPr>
        <w:keepNext/>
        <w:spacing w:line="276" w:lineRule="auto"/>
        <w:jc w:val="left"/>
        <w:outlineLvl w:val="0"/>
        <w:rPr>
          <w:rFonts w:ascii="Calibri" w:hAnsi="Calibri"/>
          <w:b w:val="0"/>
          <w:kern w:val="28"/>
          <w:sz w:val="24"/>
          <w:szCs w:val="24"/>
        </w:rPr>
      </w:pPr>
    </w:p>
    <w:p w:rsidR="00111E67" w:rsidRPr="00111E67" w:rsidRDefault="00111E67" w:rsidP="00DC1B7E">
      <w:pPr>
        <w:keepNext/>
        <w:spacing w:line="276" w:lineRule="auto"/>
        <w:jc w:val="left"/>
        <w:outlineLvl w:val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111E67" w:rsidRPr="00111E67" w:rsidSect="00DB1E04"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D2" w:rsidRDefault="00BE43D2" w:rsidP="007A7D4A">
      <w:r>
        <w:separator/>
      </w:r>
    </w:p>
  </w:endnote>
  <w:endnote w:type="continuationSeparator" w:id="0">
    <w:p w:rsidR="00BE43D2" w:rsidRDefault="00BE43D2" w:rsidP="007A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D2" w:rsidRDefault="00BE43D2" w:rsidP="007A7D4A">
      <w:r>
        <w:separator/>
      </w:r>
    </w:p>
  </w:footnote>
  <w:footnote w:type="continuationSeparator" w:id="0">
    <w:p w:rsidR="00BE43D2" w:rsidRDefault="00BE43D2" w:rsidP="007A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763"/>
    <w:multiLevelType w:val="multilevel"/>
    <w:tmpl w:val="5EB0F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EB276B9"/>
    <w:multiLevelType w:val="hybridMultilevel"/>
    <w:tmpl w:val="529EF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14D"/>
    <w:multiLevelType w:val="hybridMultilevel"/>
    <w:tmpl w:val="B5669342"/>
    <w:lvl w:ilvl="0" w:tplc="C7B05C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60E"/>
    <w:multiLevelType w:val="hybridMultilevel"/>
    <w:tmpl w:val="A5206798"/>
    <w:lvl w:ilvl="0" w:tplc="0BE83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443"/>
    <w:multiLevelType w:val="hybridMultilevel"/>
    <w:tmpl w:val="DADE3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9">
    <w:nsid w:val="2D6545A8"/>
    <w:multiLevelType w:val="hybridMultilevel"/>
    <w:tmpl w:val="8EF0FF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ED2E7B"/>
    <w:multiLevelType w:val="multilevel"/>
    <w:tmpl w:val="4E88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001"/>
    <w:multiLevelType w:val="multilevel"/>
    <w:tmpl w:val="A2E6C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11"/>
  </w:num>
  <w:num w:numId="10">
    <w:abstractNumId w:val="1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  <w:num w:numId="1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wF8t9hjSvnOqXjpyer9nLqwHO4=" w:salt="rhI1SwJJKopnCm+vSV0RNw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18"/>
    <w:rsid w:val="000741EE"/>
    <w:rsid w:val="000C443D"/>
    <w:rsid w:val="00111E67"/>
    <w:rsid w:val="0012562B"/>
    <w:rsid w:val="00127226"/>
    <w:rsid w:val="00154D56"/>
    <w:rsid w:val="0019101A"/>
    <w:rsid w:val="001B0835"/>
    <w:rsid w:val="00217D58"/>
    <w:rsid w:val="00304E24"/>
    <w:rsid w:val="00306F8B"/>
    <w:rsid w:val="00326231"/>
    <w:rsid w:val="00330234"/>
    <w:rsid w:val="003572B9"/>
    <w:rsid w:val="00357D91"/>
    <w:rsid w:val="00381022"/>
    <w:rsid w:val="003C4E2F"/>
    <w:rsid w:val="003D169B"/>
    <w:rsid w:val="003E0244"/>
    <w:rsid w:val="003E4B3C"/>
    <w:rsid w:val="003F49A2"/>
    <w:rsid w:val="003F5A2C"/>
    <w:rsid w:val="0041730B"/>
    <w:rsid w:val="0042377F"/>
    <w:rsid w:val="00466E2F"/>
    <w:rsid w:val="004A01EA"/>
    <w:rsid w:val="004E4DA1"/>
    <w:rsid w:val="00517977"/>
    <w:rsid w:val="0056611B"/>
    <w:rsid w:val="00585581"/>
    <w:rsid w:val="005A3CCE"/>
    <w:rsid w:val="005D27B7"/>
    <w:rsid w:val="005E1537"/>
    <w:rsid w:val="005F201A"/>
    <w:rsid w:val="006054DD"/>
    <w:rsid w:val="00676C3C"/>
    <w:rsid w:val="00693642"/>
    <w:rsid w:val="00694D09"/>
    <w:rsid w:val="006E5742"/>
    <w:rsid w:val="00717F58"/>
    <w:rsid w:val="00726DCE"/>
    <w:rsid w:val="00732CDE"/>
    <w:rsid w:val="00760737"/>
    <w:rsid w:val="007A7D4A"/>
    <w:rsid w:val="00850A7A"/>
    <w:rsid w:val="0085228C"/>
    <w:rsid w:val="0087504A"/>
    <w:rsid w:val="00886CC9"/>
    <w:rsid w:val="00907105"/>
    <w:rsid w:val="00923C6B"/>
    <w:rsid w:val="00932242"/>
    <w:rsid w:val="00986935"/>
    <w:rsid w:val="009A143F"/>
    <w:rsid w:val="009A25A0"/>
    <w:rsid w:val="009E142A"/>
    <w:rsid w:val="00A4344B"/>
    <w:rsid w:val="00A45131"/>
    <w:rsid w:val="00A52BC1"/>
    <w:rsid w:val="00AA419D"/>
    <w:rsid w:val="00B36B3D"/>
    <w:rsid w:val="00B6642C"/>
    <w:rsid w:val="00B83512"/>
    <w:rsid w:val="00BA0088"/>
    <w:rsid w:val="00BA460C"/>
    <w:rsid w:val="00BE43D2"/>
    <w:rsid w:val="00BE505B"/>
    <w:rsid w:val="00C02A70"/>
    <w:rsid w:val="00C06DAA"/>
    <w:rsid w:val="00C44DC0"/>
    <w:rsid w:val="00C557A9"/>
    <w:rsid w:val="00CA1495"/>
    <w:rsid w:val="00CD480A"/>
    <w:rsid w:val="00D20723"/>
    <w:rsid w:val="00D22D80"/>
    <w:rsid w:val="00D319AD"/>
    <w:rsid w:val="00D56518"/>
    <w:rsid w:val="00DB1E04"/>
    <w:rsid w:val="00DC1B7E"/>
    <w:rsid w:val="00DF7E94"/>
    <w:rsid w:val="00E02B94"/>
    <w:rsid w:val="00E30544"/>
    <w:rsid w:val="00E37A9E"/>
    <w:rsid w:val="00E37B99"/>
    <w:rsid w:val="00E744F9"/>
    <w:rsid w:val="00EF6B7C"/>
    <w:rsid w:val="00F44B04"/>
    <w:rsid w:val="00F65436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419D"/>
    <w:pPr>
      <w:ind w:left="720"/>
      <w:contextualSpacing/>
    </w:pPr>
  </w:style>
  <w:style w:type="paragraph" w:styleId="Revize">
    <w:name w:val="Revision"/>
    <w:hidden/>
    <w:uiPriority w:val="99"/>
    <w:semiHidden/>
    <w:rsid w:val="00694D09"/>
    <w:rPr>
      <w:rFonts w:ascii="Arial" w:hAnsi="Arial" w:cs="Arial"/>
      <w:b/>
      <w:bCs/>
      <w:i/>
      <w:iCs/>
      <w:color w:val="000000"/>
    </w:rPr>
  </w:style>
  <w:style w:type="paragraph" w:styleId="Zkladntext2">
    <w:name w:val="Body Text 2"/>
    <w:basedOn w:val="Normln"/>
    <w:link w:val="Zkladntext2Char"/>
    <w:semiHidden/>
    <w:unhideWhenUsed/>
    <w:rsid w:val="00111E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11E67"/>
    <w:rPr>
      <w:rFonts w:ascii="Arial" w:hAnsi="Arial" w:cs="Arial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419D"/>
    <w:pPr>
      <w:ind w:left="720"/>
      <w:contextualSpacing/>
    </w:pPr>
  </w:style>
  <w:style w:type="paragraph" w:styleId="Revize">
    <w:name w:val="Revision"/>
    <w:hidden/>
    <w:uiPriority w:val="99"/>
    <w:semiHidden/>
    <w:rsid w:val="00694D09"/>
    <w:rPr>
      <w:rFonts w:ascii="Arial" w:hAnsi="Arial" w:cs="Arial"/>
      <w:b/>
      <w:bCs/>
      <w:i/>
      <w:iCs/>
      <w:color w:val="000000"/>
    </w:rPr>
  </w:style>
  <w:style w:type="paragraph" w:styleId="Zkladntext2">
    <w:name w:val="Body Text 2"/>
    <w:basedOn w:val="Normln"/>
    <w:link w:val="Zkladntext2Char"/>
    <w:semiHidden/>
    <w:unhideWhenUsed/>
    <w:rsid w:val="00111E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11E67"/>
    <w:rPr>
      <w:rFonts w:ascii="Arial" w:hAnsi="Arial" w:cs="Arial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1686</Words>
  <Characters>9950</Characters>
  <Application>Microsoft Office Word</Application>
  <DocSecurity>8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Tibitanzlova</cp:lastModifiedBy>
  <cp:revision>6</cp:revision>
  <cp:lastPrinted>2018-04-09T07:28:00Z</cp:lastPrinted>
  <dcterms:created xsi:type="dcterms:W3CDTF">2018-04-09T07:30:00Z</dcterms:created>
  <dcterms:modified xsi:type="dcterms:W3CDTF">2018-04-09T07:33:00Z</dcterms:modified>
</cp:coreProperties>
</file>