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01" w:rsidRPr="00F93BBD" w:rsidRDefault="00092601" w:rsidP="00092601">
      <w:pPr>
        <w:pStyle w:val="Nadpis1"/>
        <w:numPr>
          <w:ilvl w:val="0"/>
          <w:numId w:val="0"/>
        </w:numPr>
        <w:spacing w:after="120"/>
        <w:rPr>
          <w:rFonts w:ascii="Arial" w:hAnsi="Arial"/>
          <w:b w:val="0"/>
          <w:sz w:val="32"/>
          <w:szCs w:val="32"/>
        </w:rPr>
      </w:pPr>
      <w:bookmarkStart w:id="0" w:name="_Hlk509491604"/>
      <w:r>
        <w:rPr>
          <w:rFonts w:ascii="Arial" w:hAnsi="Arial"/>
          <w:sz w:val="32"/>
          <w:szCs w:val="32"/>
        </w:rPr>
        <w:t>S</w:t>
      </w:r>
      <w:r w:rsidRPr="00F93BBD">
        <w:rPr>
          <w:rFonts w:ascii="Arial" w:hAnsi="Arial"/>
          <w:sz w:val="32"/>
          <w:szCs w:val="32"/>
        </w:rPr>
        <w:t>mlouv</w:t>
      </w:r>
      <w:r>
        <w:rPr>
          <w:rFonts w:ascii="Arial" w:hAnsi="Arial"/>
          <w:sz w:val="32"/>
          <w:szCs w:val="32"/>
        </w:rPr>
        <w:t>a</w:t>
      </w:r>
      <w:r w:rsidRPr="00F93BBD">
        <w:rPr>
          <w:rFonts w:ascii="Arial" w:hAnsi="Arial"/>
          <w:sz w:val="32"/>
          <w:szCs w:val="32"/>
        </w:rPr>
        <w:t xml:space="preserve"> o poskytování poradenských služeb</w:t>
      </w:r>
    </w:p>
    <w:p w:rsidR="00092601" w:rsidRDefault="00092601" w:rsidP="00092601">
      <w:pPr>
        <w:jc w:val="both"/>
        <w:rPr>
          <w:rFonts w:ascii="Arial" w:hAnsi="Arial"/>
          <w:sz w:val="22"/>
        </w:rPr>
      </w:pPr>
    </w:p>
    <w:p w:rsidR="00092601" w:rsidRDefault="00092601" w:rsidP="00092601">
      <w:pPr>
        <w:jc w:val="both"/>
        <w:rPr>
          <w:rFonts w:ascii="Arial" w:hAnsi="Arial"/>
          <w:sz w:val="22"/>
        </w:rPr>
      </w:pPr>
    </w:p>
    <w:p w:rsidR="00092601" w:rsidRPr="007854F6" w:rsidRDefault="00092601" w:rsidP="00092601">
      <w:pPr>
        <w:spacing w:line="276" w:lineRule="auto"/>
        <w:jc w:val="both"/>
        <w:rPr>
          <w:rFonts w:ascii="Arial" w:eastAsia="SimSun" w:hAnsi="Arial" w:cs="Arial"/>
          <w:b/>
          <w:sz w:val="22"/>
          <w:szCs w:val="22"/>
        </w:rPr>
      </w:pPr>
      <w:r w:rsidRPr="007854F6">
        <w:rPr>
          <w:rFonts w:ascii="Arial" w:eastAsia="SimSun" w:hAnsi="Arial" w:cs="Arial"/>
          <w:b/>
          <w:sz w:val="22"/>
          <w:szCs w:val="22"/>
        </w:rPr>
        <w:t>BDO Advisory s.r.o.</w:t>
      </w:r>
    </w:p>
    <w:p w:rsidR="00092601" w:rsidRDefault="00092601" w:rsidP="00092601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Se sídlem Karolinská 661/4, 186 00 Praha 8</w:t>
      </w:r>
    </w:p>
    <w:p w:rsidR="00092601" w:rsidRDefault="00092601" w:rsidP="00092601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IČ: 272 44 784</w:t>
      </w:r>
    </w:p>
    <w:p w:rsidR="00092601" w:rsidRPr="00E72228" w:rsidRDefault="00092601" w:rsidP="00092601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zapsaná do obchodního rejstříku vedeného Městským soudem v Praze, spisová značka C 107235, jednající panem Radovanem </w:t>
      </w:r>
      <w:proofErr w:type="spellStart"/>
      <w:r>
        <w:rPr>
          <w:rFonts w:ascii="Arial" w:eastAsia="SimSun" w:hAnsi="Arial" w:cs="Arial"/>
          <w:sz w:val="22"/>
          <w:szCs w:val="22"/>
        </w:rPr>
        <w:t>Haukem</w:t>
      </w:r>
      <w:proofErr w:type="spellEnd"/>
      <w:r>
        <w:rPr>
          <w:rFonts w:ascii="Arial" w:eastAsia="SimSun" w:hAnsi="Arial" w:cs="Arial"/>
          <w:sz w:val="22"/>
          <w:szCs w:val="22"/>
        </w:rPr>
        <w:t>, jednatelem</w:t>
      </w:r>
    </w:p>
    <w:p w:rsidR="00092601" w:rsidRDefault="00092601" w:rsidP="00092601">
      <w:pPr>
        <w:jc w:val="both"/>
        <w:rPr>
          <w:rFonts w:ascii="Arial" w:eastAsia="SimSun" w:hAnsi="Arial" w:cs="Arial"/>
          <w:sz w:val="22"/>
          <w:szCs w:val="22"/>
        </w:rPr>
      </w:pPr>
    </w:p>
    <w:p w:rsidR="00092601" w:rsidRPr="00E72228" w:rsidRDefault="00092601" w:rsidP="00092601">
      <w:pPr>
        <w:jc w:val="both"/>
        <w:rPr>
          <w:rFonts w:ascii="Arial" w:eastAsia="SimSun" w:hAnsi="Arial" w:cs="Arial"/>
          <w:sz w:val="22"/>
          <w:szCs w:val="22"/>
        </w:rPr>
      </w:pPr>
      <w:r w:rsidRPr="00E72228">
        <w:rPr>
          <w:rFonts w:ascii="Arial" w:eastAsia="SimSun" w:hAnsi="Arial" w:cs="Arial"/>
          <w:sz w:val="22"/>
          <w:szCs w:val="22"/>
        </w:rPr>
        <w:t>dále jen „</w:t>
      </w:r>
      <w:r w:rsidRPr="00E72228">
        <w:rPr>
          <w:rFonts w:ascii="Arial" w:eastAsia="SimSun" w:hAnsi="Arial" w:cs="Arial"/>
          <w:b/>
          <w:bCs/>
          <w:sz w:val="22"/>
          <w:szCs w:val="22"/>
        </w:rPr>
        <w:t>Poradce</w:t>
      </w:r>
      <w:r w:rsidRPr="00E72228">
        <w:rPr>
          <w:rFonts w:ascii="Arial" w:eastAsia="SimSun" w:hAnsi="Arial" w:cs="Arial"/>
          <w:sz w:val="22"/>
          <w:szCs w:val="22"/>
        </w:rPr>
        <w:t>”</w:t>
      </w:r>
    </w:p>
    <w:p w:rsidR="00092601" w:rsidRPr="00E10EC9" w:rsidRDefault="00092601" w:rsidP="00092601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</w:p>
    <w:p w:rsidR="00092601" w:rsidRDefault="00092601" w:rsidP="00092601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 w:rsidRPr="00E10EC9">
        <w:rPr>
          <w:rFonts w:ascii="Arial" w:eastAsia="SimSun" w:hAnsi="Arial" w:cs="Arial"/>
          <w:sz w:val="22"/>
          <w:szCs w:val="22"/>
        </w:rPr>
        <w:t>a</w:t>
      </w:r>
    </w:p>
    <w:p w:rsidR="00092601" w:rsidRPr="00E10EC9" w:rsidRDefault="00092601" w:rsidP="00092601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</w:p>
    <w:p w:rsidR="00092601" w:rsidRPr="0069569E" w:rsidRDefault="00092601" w:rsidP="00092601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9569E">
        <w:rPr>
          <w:rFonts w:ascii="Arial" w:hAnsi="Arial" w:cs="Arial"/>
          <w:b/>
          <w:color w:val="000000"/>
          <w:sz w:val="22"/>
          <w:szCs w:val="22"/>
        </w:rPr>
        <w:t>Denní a týdenní stacionář Jihlava,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p.o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092601" w:rsidRPr="0069569E" w:rsidRDefault="00092601" w:rsidP="0009260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569E">
        <w:rPr>
          <w:rFonts w:ascii="Arial" w:hAnsi="Arial" w:cs="Arial"/>
          <w:color w:val="000000"/>
          <w:sz w:val="22"/>
          <w:szCs w:val="22"/>
        </w:rPr>
        <w:t>Královský vršek 1106/9, 586 01 Jihlava</w:t>
      </w:r>
    </w:p>
    <w:p w:rsidR="00092601" w:rsidRPr="006317B1" w:rsidRDefault="00092601" w:rsidP="00092601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317B1">
        <w:rPr>
          <w:rFonts w:ascii="Arial" w:hAnsi="Arial" w:cs="Arial"/>
          <w:color w:val="000000"/>
          <w:sz w:val="22"/>
          <w:szCs w:val="22"/>
        </w:rPr>
        <w:t xml:space="preserve">IČ: </w:t>
      </w:r>
      <w:r w:rsidRPr="0069569E">
        <w:rPr>
          <w:rFonts w:ascii="Arial" w:hAnsi="Arial" w:cs="Arial"/>
          <w:color w:val="000000"/>
          <w:sz w:val="22"/>
          <w:szCs w:val="22"/>
        </w:rPr>
        <w:t>00400858</w:t>
      </w:r>
    </w:p>
    <w:p w:rsidR="00092601" w:rsidRDefault="00092601" w:rsidP="00092601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 w:rsidRPr="006317B1">
        <w:rPr>
          <w:rFonts w:ascii="Arial" w:eastAsia="SimSun" w:hAnsi="Arial" w:cs="Arial"/>
          <w:sz w:val="22"/>
          <w:szCs w:val="22"/>
        </w:rPr>
        <w:t xml:space="preserve">zastoupen </w:t>
      </w:r>
      <w:r w:rsidRPr="0069569E">
        <w:rPr>
          <w:rFonts w:ascii="Arial" w:eastAsia="SimSun" w:hAnsi="Arial" w:cs="Arial"/>
          <w:sz w:val="22"/>
          <w:szCs w:val="22"/>
        </w:rPr>
        <w:t>Mgr. Ev</w:t>
      </w:r>
      <w:r>
        <w:rPr>
          <w:rFonts w:ascii="Arial" w:eastAsia="SimSun" w:hAnsi="Arial" w:cs="Arial"/>
          <w:sz w:val="22"/>
          <w:szCs w:val="22"/>
        </w:rPr>
        <w:t>ou</w:t>
      </w:r>
      <w:r w:rsidRPr="0069569E">
        <w:rPr>
          <w:rFonts w:ascii="Arial" w:eastAsia="SimSun" w:hAnsi="Arial" w:cs="Arial"/>
          <w:sz w:val="22"/>
          <w:szCs w:val="22"/>
        </w:rPr>
        <w:t xml:space="preserve"> Pohořel</w:t>
      </w:r>
      <w:r>
        <w:rPr>
          <w:rFonts w:ascii="Arial" w:eastAsia="SimSun" w:hAnsi="Arial" w:cs="Arial"/>
          <w:sz w:val="22"/>
          <w:szCs w:val="22"/>
        </w:rPr>
        <w:t>ou</w:t>
      </w:r>
      <w:r w:rsidRPr="006317B1">
        <w:rPr>
          <w:rFonts w:ascii="Arial" w:eastAsia="SimSun" w:hAnsi="Arial" w:cs="Arial"/>
          <w:sz w:val="22"/>
          <w:szCs w:val="22"/>
        </w:rPr>
        <w:t>, ředitelkou</w:t>
      </w:r>
    </w:p>
    <w:p w:rsidR="00092601" w:rsidRDefault="00092601" w:rsidP="00092601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</w:p>
    <w:p w:rsidR="00092601" w:rsidRPr="00801574" w:rsidRDefault="00092601" w:rsidP="00092601">
      <w:pPr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 w:rsidRPr="00E10EC9">
        <w:rPr>
          <w:rFonts w:ascii="Arial" w:eastAsia="SimSun" w:hAnsi="Arial" w:cs="Arial"/>
          <w:sz w:val="22"/>
          <w:szCs w:val="22"/>
        </w:rPr>
        <w:t>dále jen „</w:t>
      </w:r>
      <w:r w:rsidRPr="00E10EC9">
        <w:rPr>
          <w:rFonts w:ascii="Arial" w:eastAsia="SimSun" w:hAnsi="Arial" w:cs="Arial"/>
          <w:b/>
          <w:sz w:val="22"/>
          <w:szCs w:val="22"/>
        </w:rPr>
        <w:t>Klient</w:t>
      </w:r>
      <w:r w:rsidRPr="00E10EC9">
        <w:rPr>
          <w:rFonts w:ascii="Arial" w:eastAsia="SimSun" w:hAnsi="Arial" w:cs="Arial"/>
          <w:sz w:val="22"/>
          <w:szCs w:val="22"/>
        </w:rPr>
        <w:t>“</w:t>
      </w:r>
    </w:p>
    <w:p w:rsidR="00092601" w:rsidRDefault="00092601" w:rsidP="00092601">
      <w:pPr>
        <w:jc w:val="both"/>
        <w:rPr>
          <w:rFonts w:ascii="Arial" w:hAnsi="Arial"/>
          <w:sz w:val="22"/>
        </w:rPr>
      </w:pPr>
    </w:p>
    <w:p w:rsidR="00092601" w:rsidRDefault="00092601" w:rsidP="00092601">
      <w:pPr>
        <w:jc w:val="both"/>
        <w:rPr>
          <w:rFonts w:ascii="Arial" w:hAnsi="Arial"/>
          <w:sz w:val="22"/>
        </w:rPr>
      </w:pPr>
    </w:p>
    <w:p w:rsidR="00092601" w:rsidRDefault="00092601" w:rsidP="00092601">
      <w:pPr>
        <w:spacing w:before="60" w:after="60"/>
        <w:jc w:val="both"/>
        <w:rPr>
          <w:rFonts w:ascii="Arial" w:hAnsi="Arial"/>
          <w:b/>
          <w:sz w:val="22"/>
        </w:rPr>
      </w:pPr>
      <w:r w:rsidRPr="002B61DA">
        <w:rPr>
          <w:rFonts w:ascii="Arial" w:hAnsi="Arial"/>
          <w:sz w:val="22"/>
        </w:rPr>
        <w:t>Poradce a Klient (dále společně jen “Smluvní strany“) uzavírají tuto Smlouvu o poradenské činnosti (dále jen “Smlouva“) ve smyslu ustanovení § 1 746 odst. 2. zákona č. 89/2012 Sb., občanský zákoník, ve znění pozdějších předpisů (dále jen “Občanský zákoník“)</w:t>
      </w:r>
    </w:p>
    <w:p w:rsidR="00092601" w:rsidRDefault="00092601" w:rsidP="00092601">
      <w:pPr>
        <w:spacing w:before="60" w:after="60"/>
        <w:jc w:val="both"/>
        <w:rPr>
          <w:rFonts w:ascii="Arial" w:hAnsi="Arial"/>
          <w:b/>
          <w:sz w:val="22"/>
        </w:rPr>
      </w:pPr>
    </w:p>
    <w:p w:rsidR="00092601" w:rsidRDefault="00092601" w:rsidP="00092601">
      <w:pPr>
        <w:spacing w:before="60" w:after="60"/>
        <w:jc w:val="both"/>
        <w:rPr>
          <w:rFonts w:ascii="Arial" w:hAnsi="Arial"/>
          <w:b/>
          <w:sz w:val="22"/>
        </w:rPr>
      </w:pPr>
    </w:p>
    <w:p w:rsidR="00092601" w:rsidRDefault="00092601" w:rsidP="00092601">
      <w:pPr>
        <w:spacing w:before="60"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Článek I.</w:t>
      </w:r>
    </w:p>
    <w:p w:rsidR="00092601" w:rsidRPr="00AA5A04" w:rsidRDefault="00092601" w:rsidP="00092601">
      <w:pPr>
        <w:spacing w:before="60"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Předmět Smlouvy</w:t>
      </w:r>
    </w:p>
    <w:p w:rsidR="00092601" w:rsidRPr="004F3CEB" w:rsidRDefault="00092601" w:rsidP="00092601">
      <w:pPr>
        <w:pStyle w:val="Zkladntext2"/>
        <w:spacing w:before="60" w:after="60"/>
        <w:ind w:left="540" w:hanging="540"/>
      </w:pPr>
      <w:r>
        <w:t>1.</w:t>
      </w:r>
      <w:r>
        <w:tab/>
      </w:r>
      <w:r w:rsidRPr="004F3CEB">
        <w:t xml:space="preserve">Poradce se zavazuje za podmínek stanovených touto Smlouvou zajistit pro Klienta činnosti v oblastech specifikovaných dále v čl. II. této Smlouvy. </w:t>
      </w:r>
    </w:p>
    <w:p w:rsidR="00092601" w:rsidRDefault="00092601" w:rsidP="00092601">
      <w:pPr>
        <w:pStyle w:val="Zkladntext2"/>
        <w:spacing w:before="60" w:after="60"/>
        <w:ind w:left="540" w:hanging="540"/>
      </w:pPr>
      <w:r w:rsidRPr="004F3CEB">
        <w:t>2.</w:t>
      </w:r>
      <w:r w:rsidRPr="004F3CEB">
        <w:tab/>
        <w:t>Klient se zavazuje zaplatit Poradci za jím provedené činnosti</w:t>
      </w:r>
      <w:r w:rsidRPr="00E64D4B">
        <w:t xml:space="preserve"> </w:t>
      </w:r>
      <w:r w:rsidRPr="004F3CEB">
        <w:t xml:space="preserve">podle této Smlouvy, odměnu stanovenou dále v čl. IV. této Smlouvy a poskytovat Poradci veškerou součinnost potřebnou pro výkon </w:t>
      </w:r>
      <w:r w:rsidRPr="009A391B">
        <w:t>sjednané činnosti podle této smlouvy.</w:t>
      </w:r>
    </w:p>
    <w:p w:rsidR="00092601" w:rsidRDefault="00092601" w:rsidP="00092601">
      <w:pPr>
        <w:pStyle w:val="Zkladntext2"/>
        <w:spacing w:before="60" w:after="60"/>
        <w:ind w:left="504" w:hanging="504"/>
      </w:pPr>
      <w:r>
        <w:t xml:space="preserve">3.   </w:t>
      </w:r>
      <w:r w:rsidRPr="004F3CEB">
        <w:t>Poradce prohlašuje, že je odborně způsobilou osobou k výkonu sjednaných činností podle této smlouvy, má odborné znalosti práva a</w:t>
      </w:r>
      <w:r w:rsidRPr="00E64D4B">
        <w:t xml:space="preserve"> praxi v</w:t>
      </w:r>
      <w:r w:rsidRPr="009A391B">
        <w:t> oblasti ochrany osobních údajů a je schopen zajistit plnění úkolů konkrétně jmenovaného pověřence pro ochranu osobních údajů.</w:t>
      </w:r>
      <w:r>
        <w:t xml:space="preserve"> </w:t>
      </w:r>
    </w:p>
    <w:p w:rsidR="00092601" w:rsidRDefault="00092601" w:rsidP="00092601">
      <w:pPr>
        <w:spacing w:before="60" w:after="60"/>
        <w:rPr>
          <w:rFonts w:ascii="Arial" w:hAnsi="Arial"/>
          <w:b/>
          <w:sz w:val="22"/>
        </w:rPr>
      </w:pPr>
    </w:p>
    <w:p w:rsidR="00092601" w:rsidRDefault="00092601" w:rsidP="00092601">
      <w:pPr>
        <w:spacing w:before="60" w:after="60"/>
        <w:ind w:left="540" w:hanging="540"/>
        <w:jc w:val="center"/>
        <w:rPr>
          <w:rFonts w:ascii="Arial" w:hAnsi="Arial"/>
          <w:b/>
          <w:sz w:val="22"/>
        </w:rPr>
      </w:pPr>
    </w:p>
    <w:p w:rsidR="00092601" w:rsidRDefault="00092601" w:rsidP="00092601">
      <w:pPr>
        <w:spacing w:before="60" w:after="60"/>
        <w:ind w:left="540" w:hanging="54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Článek II.</w:t>
      </w:r>
    </w:p>
    <w:p w:rsidR="00092601" w:rsidRPr="00AA5A04" w:rsidRDefault="00092601" w:rsidP="00092601">
      <w:pPr>
        <w:spacing w:before="60" w:after="60"/>
        <w:ind w:left="540" w:hanging="54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Poskytované služby</w:t>
      </w:r>
    </w:p>
    <w:p w:rsidR="00092601" w:rsidRDefault="00092601" w:rsidP="00092601">
      <w:pPr>
        <w:pStyle w:val="Zkladntextodsazen3"/>
        <w:numPr>
          <w:ilvl w:val="0"/>
          <w:numId w:val="4"/>
        </w:numPr>
        <w:tabs>
          <w:tab w:val="clear" w:pos="720"/>
          <w:tab w:val="num" w:pos="567"/>
        </w:tabs>
        <w:spacing w:before="60" w:after="60"/>
        <w:ind w:left="567" w:hanging="567"/>
      </w:pPr>
      <w:r w:rsidRPr="007854F6">
        <w:t>Poradce se zavazuje poskytovat, dle této Smlouvy, Klientovi</w:t>
      </w:r>
      <w:r w:rsidRPr="007C1BA3">
        <w:t xml:space="preserve"> </w:t>
      </w:r>
      <w:r>
        <w:t>služby související s </w:t>
      </w:r>
      <w:r w:rsidRPr="004F3CEB">
        <w:t>dodržováním Obecného nařízení o ochraně osobních údajů (dále také „</w:t>
      </w:r>
      <w:r w:rsidRPr="00E64D4B">
        <w:t>GDPR</w:t>
      </w:r>
      <w:r w:rsidRPr="009A391B">
        <w:t>“), které vstoupilo v platnost dne 24. května 2016 a vnitrostátních právních předpisů na ochranu osobních údajů, a to zejména</w:t>
      </w:r>
      <w:r>
        <w:t> činností</w:t>
      </w:r>
      <w:r w:rsidRPr="007C1BA3">
        <w:t xml:space="preserve"> „Pověř</w:t>
      </w:r>
      <w:r>
        <w:t xml:space="preserve">ence na ochranu osobních údajů“ </w:t>
      </w:r>
      <w:r w:rsidRPr="007C1BA3">
        <w:t>s cílem monitorování souladu s Obecným nařízením o ochraně osobních údajů (GDPR)</w:t>
      </w:r>
      <w:r>
        <w:t>, a to v rozsahu:</w:t>
      </w:r>
    </w:p>
    <w:p w:rsidR="00092601" w:rsidRPr="00DD390F" w:rsidRDefault="00092601" w:rsidP="00092601">
      <w:pPr>
        <w:pStyle w:val="Zkladntextodsazen3"/>
        <w:spacing w:before="60" w:after="60"/>
        <w:ind w:left="567" w:firstLine="0"/>
      </w:pPr>
    </w:p>
    <w:p w:rsidR="00092601" w:rsidRPr="007C1BA3" w:rsidRDefault="00092601" w:rsidP="00092601">
      <w:pPr>
        <w:pStyle w:val="Zkladntextodsazen3"/>
        <w:numPr>
          <w:ilvl w:val="5"/>
          <w:numId w:val="4"/>
        </w:numPr>
        <w:tabs>
          <w:tab w:val="clear" w:pos="4860"/>
          <w:tab w:val="num" w:pos="1418"/>
        </w:tabs>
        <w:spacing w:before="60" w:after="60"/>
        <w:ind w:left="1418" w:hanging="425"/>
      </w:pPr>
      <w:r w:rsidRPr="007C1BA3">
        <w:lastRenderedPageBreak/>
        <w:t xml:space="preserve">poskytování informací a poradenství </w:t>
      </w:r>
      <w:r>
        <w:t xml:space="preserve">klientovi i jeho </w:t>
      </w:r>
      <w:r w:rsidRPr="007C1BA3">
        <w:t>zaměstnancům, kteří provádějí zpracová</w:t>
      </w:r>
      <w:r>
        <w:t>ní osobních údajů, o jejich povinnostech</w:t>
      </w:r>
      <w:r w:rsidRPr="004808C1">
        <w:t>;</w:t>
      </w:r>
      <w:r w:rsidRPr="007C1BA3">
        <w:t xml:space="preserve"> </w:t>
      </w:r>
    </w:p>
    <w:p w:rsidR="00092601" w:rsidRPr="007C1BA3" w:rsidRDefault="00092601" w:rsidP="00092601">
      <w:pPr>
        <w:pStyle w:val="Zkladntextodsazen3"/>
        <w:numPr>
          <w:ilvl w:val="5"/>
          <w:numId w:val="4"/>
        </w:numPr>
        <w:tabs>
          <w:tab w:val="clear" w:pos="4860"/>
          <w:tab w:val="num" w:pos="1418"/>
        </w:tabs>
        <w:spacing w:before="60" w:after="60"/>
        <w:ind w:left="1418" w:hanging="425"/>
      </w:pPr>
      <w:r>
        <w:t xml:space="preserve">průběžné </w:t>
      </w:r>
      <w:r w:rsidRPr="007C1BA3">
        <w:t xml:space="preserve">monitorování souladu </w:t>
      </w:r>
      <w:r>
        <w:t xml:space="preserve">Klienta </w:t>
      </w:r>
      <w:r w:rsidRPr="007C1BA3">
        <w:t xml:space="preserve">s nařízením GDPR v oblasti ochrany </w:t>
      </w:r>
      <w:r>
        <w:t xml:space="preserve">osobních </w:t>
      </w:r>
      <w:r w:rsidRPr="007C1BA3">
        <w:t xml:space="preserve">údajů a s koncepcemi </w:t>
      </w:r>
      <w:r>
        <w:t>klienta</w:t>
      </w:r>
      <w:r w:rsidRPr="007C1BA3">
        <w:t xml:space="preserve"> v oblasti ochrany osobních údajů, včetně rozdělení odpovědnosti, zvyšování povědomí a odborné přípravy pracovníků </w:t>
      </w:r>
      <w:r>
        <w:t xml:space="preserve">Klienta </w:t>
      </w:r>
      <w:r w:rsidRPr="007C1BA3">
        <w:t>zapojených do operací zpracov</w:t>
      </w:r>
      <w:r>
        <w:t>ání osobních údajů</w:t>
      </w:r>
      <w:r w:rsidRPr="004808C1">
        <w:t>;</w:t>
      </w:r>
    </w:p>
    <w:p w:rsidR="00092601" w:rsidRPr="007C1BA3" w:rsidRDefault="00092601" w:rsidP="00092601">
      <w:pPr>
        <w:pStyle w:val="Zkladntextodsazen3"/>
        <w:numPr>
          <w:ilvl w:val="5"/>
          <w:numId w:val="4"/>
        </w:numPr>
        <w:tabs>
          <w:tab w:val="clear" w:pos="4860"/>
          <w:tab w:val="num" w:pos="1418"/>
        </w:tabs>
        <w:spacing w:before="60" w:after="60"/>
        <w:ind w:left="1418" w:hanging="425"/>
      </w:pPr>
      <w:r w:rsidRPr="007C1BA3">
        <w:t xml:space="preserve">poskytování poradenství na požádání, pokud jde o posouzení vlivu na ochranu osobních údajů </w:t>
      </w:r>
      <w:r>
        <w:t xml:space="preserve">Klienta </w:t>
      </w:r>
      <w:r w:rsidRPr="007C1BA3">
        <w:t>a monitorování jeho uplatňování podle článku 35 GDPR (posouzení v</w:t>
      </w:r>
      <w:r>
        <w:t>livu na ochranu osobních údajů);</w:t>
      </w:r>
    </w:p>
    <w:p w:rsidR="00092601" w:rsidRPr="00E64D4B" w:rsidRDefault="00092601" w:rsidP="00092601">
      <w:pPr>
        <w:pStyle w:val="Zkladntextodsazen3"/>
        <w:numPr>
          <w:ilvl w:val="5"/>
          <w:numId w:val="4"/>
        </w:numPr>
        <w:tabs>
          <w:tab w:val="clear" w:pos="4860"/>
          <w:tab w:val="num" w:pos="1418"/>
        </w:tabs>
        <w:spacing w:before="60" w:after="60"/>
        <w:ind w:left="1418" w:hanging="425"/>
      </w:pPr>
      <w:r>
        <w:t>spolupráce a komunikace s </w:t>
      </w:r>
      <w:r w:rsidRPr="004F3CEB">
        <w:t>dozorovým úřadem; poradenská činnost při řízení před dozorovými úřadem nebo soudem;</w:t>
      </w:r>
    </w:p>
    <w:p w:rsidR="00092601" w:rsidRDefault="00092601" w:rsidP="00092601">
      <w:pPr>
        <w:pStyle w:val="Zkladntextodsazen3"/>
        <w:numPr>
          <w:ilvl w:val="5"/>
          <w:numId w:val="4"/>
        </w:numPr>
        <w:tabs>
          <w:tab w:val="clear" w:pos="4860"/>
          <w:tab w:val="num" w:pos="1418"/>
        </w:tabs>
        <w:spacing w:before="60" w:after="60"/>
        <w:ind w:left="1418" w:hanging="425"/>
      </w:pPr>
      <w:r w:rsidRPr="007C1BA3">
        <w:t>působení jako kontaktní místo pro dozorový úřad v záležitostech týkajících se zpracování</w:t>
      </w:r>
      <w:r>
        <w:t xml:space="preserve"> osobních údajů Klienta</w:t>
      </w:r>
      <w:r w:rsidRPr="007C1BA3">
        <w:t>, včetně předchozí konzultace podle článku 36 GDPR</w:t>
      </w:r>
      <w:r>
        <w:t>.</w:t>
      </w:r>
    </w:p>
    <w:p w:rsidR="00092601" w:rsidRPr="00F56277" w:rsidRDefault="00092601" w:rsidP="00092601">
      <w:pPr>
        <w:pStyle w:val="Zkladntextodsazen3"/>
        <w:spacing w:before="60" w:after="60"/>
      </w:pPr>
    </w:p>
    <w:p w:rsidR="00092601" w:rsidRPr="004F3CEB" w:rsidRDefault="00092601" w:rsidP="00092601">
      <w:pPr>
        <w:numPr>
          <w:ilvl w:val="0"/>
          <w:numId w:val="4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Smluvní strany se dohodly, že jakékoli rozšíření služeb poskytovaných Poradcem dle této Smlouvy nad rámec stanovený v odst. 1. tohoto článku, bude sjednáno písemným</w:t>
      </w:r>
      <w:r>
        <w:rPr>
          <w:rFonts w:ascii="Arial" w:hAnsi="Arial"/>
          <w:color w:val="FF00FF"/>
          <w:sz w:val="22"/>
        </w:rPr>
        <w:t xml:space="preserve"> </w:t>
      </w:r>
      <w:r>
        <w:rPr>
          <w:rFonts w:ascii="Arial" w:hAnsi="Arial"/>
          <w:sz w:val="22"/>
        </w:rPr>
        <w:t xml:space="preserve">dodatkem k této Smlouvě, v němž bude stanovena další poradenská činnost a </w:t>
      </w:r>
      <w:r w:rsidRPr="004F3CEB">
        <w:rPr>
          <w:rFonts w:ascii="Arial" w:hAnsi="Arial"/>
          <w:sz w:val="22"/>
        </w:rPr>
        <w:t>odměna, kterou bude Klient hradit.</w:t>
      </w:r>
    </w:p>
    <w:p w:rsidR="00092601" w:rsidRPr="004F3CEB" w:rsidRDefault="00092601" w:rsidP="00092601">
      <w:pPr>
        <w:numPr>
          <w:ilvl w:val="0"/>
          <w:numId w:val="4"/>
        </w:numPr>
        <w:tabs>
          <w:tab w:val="clear" w:pos="720"/>
          <w:tab w:val="num" w:pos="567"/>
        </w:tabs>
        <w:spacing w:before="60" w:after="60"/>
        <w:ind w:left="567" w:hanging="567"/>
        <w:jc w:val="both"/>
        <w:rPr>
          <w:rFonts w:ascii="Arial" w:hAnsi="Arial"/>
          <w:sz w:val="22"/>
        </w:rPr>
      </w:pPr>
      <w:r w:rsidRPr="004F3CEB">
        <w:rPr>
          <w:rFonts w:ascii="Arial" w:hAnsi="Arial"/>
          <w:sz w:val="22"/>
        </w:rPr>
        <w:t xml:space="preserve">Za rozšíření služeb podle této smlouvy se nepovažuje posouzení shody </w:t>
      </w:r>
      <w:r w:rsidRPr="00E64D4B">
        <w:rPr>
          <w:rFonts w:ascii="Arial" w:hAnsi="Arial"/>
          <w:sz w:val="22"/>
        </w:rPr>
        <w:t xml:space="preserve">činností klienta </w:t>
      </w:r>
      <w:r w:rsidRPr="009A391B">
        <w:rPr>
          <w:rFonts w:ascii="Arial" w:hAnsi="Arial"/>
          <w:sz w:val="22"/>
        </w:rPr>
        <w:t xml:space="preserve">s doposud platnými právními předpisy nebo v budoucnu přijatými vnitrostátními právními </w:t>
      </w:r>
      <w:r w:rsidRPr="003432BD">
        <w:rPr>
          <w:rFonts w:ascii="Arial" w:hAnsi="Arial"/>
          <w:sz w:val="22"/>
        </w:rPr>
        <w:t>předpisy nebo předpisy EU upravujícími ochranu osobních údajů a případně schválenými a závaznými kodexy chování dle článku 40 obecného nařízení o ochraně osobních údajů</w:t>
      </w:r>
      <w:r w:rsidRPr="008411A6">
        <w:rPr>
          <w:rFonts w:ascii="Arial" w:hAnsi="Arial"/>
          <w:sz w:val="22"/>
        </w:rPr>
        <w:t>.</w:t>
      </w:r>
      <w:r w:rsidRPr="004F3CEB">
        <w:rPr>
          <w:rFonts w:ascii="Arial" w:hAnsi="Arial"/>
          <w:sz w:val="22"/>
        </w:rPr>
        <w:t xml:space="preserve">  </w:t>
      </w:r>
    </w:p>
    <w:p w:rsidR="00092601" w:rsidRDefault="00092601" w:rsidP="00092601">
      <w:pPr>
        <w:spacing w:before="60" w:after="60"/>
        <w:jc w:val="both"/>
        <w:rPr>
          <w:rFonts w:ascii="Arial" w:hAnsi="Arial"/>
          <w:sz w:val="22"/>
        </w:rPr>
      </w:pPr>
    </w:p>
    <w:p w:rsidR="00092601" w:rsidRDefault="00092601" w:rsidP="00092601">
      <w:pPr>
        <w:spacing w:before="60"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Článek III.</w:t>
      </w:r>
    </w:p>
    <w:p w:rsidR="00092601" w:rsidRPr="00AA5A04" w:rsidRDefault="00092601" w:rsidP="00092601">
      <w:pPr>
        <w:spacing w:before="60"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Práva a povinnosti Smluvních stran</w:t>
      </w:r>
    </w:p>
    <w:p w:rsidR="00092601" w:rsidRPr="009A391B" w:rsidRDefault="00092601" w:rsidP="00092601">
      <w:pPr>
        <w:pStyle w:val="Zkladntextodsazen2"/>
        <w:numPr>
          <w:ilvl w:val="0"/>
          <w:numId w:val="1"/>
        </w:numPr>
        <w:tabs>
          <w:tab w:val="clear" w:pos="1276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Poradce se zavazuje vykonávat poradenskou činnost dle této Smlouvy s veškerou odbornou</w:t>
      </w:r>
      <w:r>
        <w:rPr>
          <w:rFonts w:ascii="Arial" w:hAnsi="Arial"/>
          <w:color w:val="FF00FF"/>
        </w:rPr>
        <w:t xml:space="preserve"> </w:t>
      </w:r>
      <w:r>
        <w:rPr>
          <w:rFonts w:ascii="Arial" w:hAnsi="Arial"/>
        </w:rPr>
        <w:t xml:space="preserve">péčí, </w:t>
      </w:r>
      <w:r w:rsidRPr="004F3CEB">
        <w:rPr>
          <w:rFonts w:ascii="Arial" w:hAnsi="Arial"/>
        </w:rPr>
        <w:t xml:space="preserve">chránit obecně a </w:t>
      </w:r>
      <w:r w:rsidRPr="00E64D4B">
        <w:rPr>
          <w:rFonts w:ascii="Arial" w:hAnsi="Arial"/>
        </w:rPr>
        <w:t>jemu známé zájmy Klienta a informovat Klienta</w:t>
      </w:r>
      <w:r w:rsidRPr="00E64D4B">
        <w:rPr>
          <w:rFonts w:ascii="Arial" w:hAnsi="Arial"/>
          <w:color w:val="FF00FF"/>
        </w:rPr>
        <w:t xml:space="preserve"> </w:t>
      </w:r>
      <w:r w:rsidRPr="009A391B">
        <w:rPr>
          <w:rFonts w:ascii="Arial" w:hAnsi="Arial"/>
        </w:rPr>
        <w:t xml:space="preserve">průběžně o plnění předmětu této Smlouvy. </w:t>
      </w:r>
    </w:p>
    <w:p w:rsidR="00092601" w:rsidRPr="00E64D4B" w:rsidRDefault="00092601" w:rsidP="00092601">
      <w:pPr>
        <w:pStyle w:val="Zkladntextodsazen2"/>
        <w:numPr>
          <w:ilvl w:val="0"/>
          <w:numId w:val="1"/>
        </w:numPr>
        <w:tabs>
          <w:tab w:val="clear" w:pos="1276"/>
        </w:tabs>
        <w:spacing w:before="60" w:after="60"/>
        <w:rPr>
          <w:rFonts w:ascii="Arial" w:hAnsi="Arial"/>
        </w:rPr>
      </w:pPr>
      <w:r w:rsidRPr="009A391B">
        <w:rPr>
          <w:rFonts w:ascii="Arial" w:hAnsi="Arial"/>
        </w:rPr>
        <w:t xml:space="preserve">Klient je povinen poskytovat Poradci veškerou potřebnou součinnost a veškeré informace a podklady potřebné k plnění </w:t>
      </w:r>
      <w:r w:rsidRPr="004F3CEB">
        <w:rPr>
          <w:rFonts w:ascii="Arial" w:hAnsi="Arial"/>
        </w:rPr>
        <w:t>činností</w:t>
      </w:r>
      <w:r w:rsidRPr="00E64D4B">
        <w:rPr>
          <w:rFonts w:ascii="Arial" w:hAnsi="Arial"/>
        </w:rPr>
        <w:t xml:space="preserve"> Poradce.</w:t>
      </w:r>
    </w:p>
    <w:p w:rsidR="00092601" w:rsidRPr="00E64D4B" w:rsidRDefault="00092601" w:rsidP="00092601">
      <w:pPr>
        <w:pStyle w:val="Zkladntextodsazen2"/>
        <w:numPr>
          <w:ilvl w:val="0"/>
          <w:numId w:val="1"/>
        </w:numPr>
        <w:tabs>
          <w:tab w:val="clear" w:pos="1276"/>
        </w:tabs>
        <w:spacing w:before="60" w:after="60"/>
        <w:rPr>
          <w:rFonts w:ascii="Arial" w:hAnsi="Arial"/>
        </w:rPr>
      </w:pPr>
      <w:r w:rsidRPr="009A391B">
        <w:rPr>
          <w:rFonts w:ascii="Arial" w:hAnsi="Arial"/>
        </w:rPr>
        <w:t xml:space="preserve">Smluvní strany sjednaly, že budou vzájemně spolupracovat a aktivně přistupovat k řešení jednotlivých oblastí </w:t>
      </w:r>
      <w:r w:rsidRPr="004F3CEB">
        <w:rPr>
          <w:rFonts w:ascii="Arial" w:hAnsi="Arial"/>
        </w:rPr>
        <w:t xml:space="preserve">činností </w:t>
      </w:r>
      <w:r w:rsidRPr="00E64D4B">
        <w:rPr>
          <w:rFonts w:ascii="Arial" w:hAnsi="Arial"/>
        </w:rPr>
        <w:t xml:space="preserve">poskytovaných dle této Smlouvy. </w:t>
      </w:r>
    </w:p>
    <w:p w:rsidR="00092601" w:rsidRPr="00AC1937" w:rsidRDefault="00092601" w:rsidP="00092601">
      <w:pPr>
        <w:numPr>
          <w:ilvl w:val="0"/>
          <w:numId w:val="1"/>
        </w:numPr>
        <w:spacing w:before="60" w:after="60"/>
        <w:jc w:val="both"/>
        <w:rPr>
          <w:rFonts w:ascii="Arial" w:hAnsi="Arial"/>
          <w:sz w:val="22"/>
        </w:rPr>
      </w:pPr>
      <w:r w:rsidRPr="00E64D4B">
        <w:rPr>
          <w:rFonts w:ascii="Arial" w:hAnsi="Arial"/>
          <w:sz w:val="22"/>
        </w:rPr>
        <w:t xml:space="preserve">Poradce je povinen vykonávat </w:t>
      </w:r>
      <w:r w:rsidRPr="004F3CEB">
        <w:rPr>
          <w:rFonts w:ascii="Arial" w:hAnsi="Arial"/>
          <w:sz w:val="22"/>
        </w:rPr>
        <w:t xml:space="preserve">činnosti dle této Smlouvy v dohodnutých </w:t>
      </w:r>
      <w:r w:rsidRPr="00E64D4B">
        <w:rPr>
          <w:rFonts w:ascii="Arial" w:hAnsi="Arial"/>
          <w:sz w:val="22"/>
        </w:rPr>
        <w:t>nebo práv</w:t>
      </w:r>
      <w:r w:rsidRPr="009A391B">
        <w:rPr>
          <w:rFonts w:ascii="Arial" w:hAnsi="Arial"/>
          <w:sz w:val="22"/>
        </w:rPr>
        <w:t>ními předpisy stanovených termínech</w:t>
      </w:r>
      <w:r>
        <w:rPr>
          <w:rFonts w:ascii="Arial" w:hAnsi="Arial"/>
          <w:sz w:val="22"/>
        </w:rPr>
        <w:t>.</w:t>
      </w:r>
    </w:p>
    <w:p w:rsidR="00092601" w:rsidRDefault="00092601" w:rsidP="00092601">
      <w:pPr>
        <w:pStyle w:val="Zkladntextodsazen2"/>
        <w:numPr>
          <w:ilvl w:val="0"/>
          <w:numId w:val="1"/>
        </w:numPr>
        <w:tabs>
          <w:tab w:val="clear" w:pos="1276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Klient je povinen zaplatit Poradci odměnu v dohodnuté výši a termínech v souladu s čl. IV. této Smlouvy.</w:t>
      </w:r>
    </w:p>
    <w:p w:rsidR="00092601" w:rsidRPr="00092601" w:rsidRDefault="00092601" w:rsidP="00092601">
      <w:pPr>
        <w:pStyle w:val="Zkladntextodsazen2"/>
        <w:numPr>
          <w:ilvl w:val="0"/>
          <w:numId w:val="1"/>
        </w:numPr>
        <w:tabs>
          <w:tab w:val="clear" w:pos="1276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092601" w:rsidRDefault="00092601" w:rsidP="00092601">
      <w:pPr>
        <w:pStyle w:val="Zkladntextodsazen2"/>
        <w:tabs>
          <w:tab w:val="clear" w:pos="1276"/>
        </w:tabs>
        <w:spacing w:before="60" w:after="60"/>
        <w:ind w:left="540" w:firstLine="0"/>
        <w:rPr>
          <w:rFonts w:ascii="Arial" w:hAnsi="Arial"/>
        </w:rPr>
      </w:pPr>
    </w:p>
    <w:p w:rsidR="00092601" w:rsidRDefault="00092601" w:rsidP="00092601">
      <w:pPr>
        <w:pStyle w:val="Zkladntextodsazen2"/>
        <w:tabs>
          <w:tab w:val="clear" w:pos="1276"/>
        </w:tabs>
        <w:spacing w:before="60" w:after="60"/>
        <w:ind w:left="540" w:firstLine="0"/>
        <w:rPr>
          <w:rFonts w:ascii="Arial" w:hAnsi="Arial"/>
        </w:rPr>
      </w:pPr>
      <w:r>
        <w:rPr>
          <w:rFonts w:ascii="Arial" w:hAnsi="Arial"/>
        </w:rPr>
        <w:t>Kontaktní osobou na straně Poradce je:</w:t>
      </w:r>
    </w:p>
    <w:p w:rsidR="00092601" w:rsidRDefault="00092601" w:rsidP="00092601">
      <w:pPr>
        <w:pStyle w:val="Zkladntextodsazen2"/>
        <w:tabs>
          <w:tab w:val="clear" w:pos="1276"/>
        </w:tabs>
        <w:spacing w:before="60" w:after="60"/>
        <w:ind w:left="540" w:firstLine="0"/>
        <w:rPr>
          <w:rFonts w:ascii="Arial" w:hAnsi="Arial"/>
        </w:rPr>
      </w:pPr>
    </w:p>
    <w:p w:rsidR="00092601" w:rsidRPr="00F05128" w:rsidRDefault="00092601" w:rsidP="00092601">
      <w:pPr>
        <w:pStyle w:val="Zkladntextodsazen2"/>
        <w:tabs>
          <w:tab w:val="clear" w:pos="1276"/>
        </w:tabs>
        <w:spacing w:before="60" w:after="60"/>
        <w:ind w:left="540" w:firstLine="0"/>
        <w:rPr>
          <w:rFonts w:ascii="Arial" w:hAnsi="Arial"/>
        </w:rPr>
      </w:pPr>
      <w:r w:rsidRPr="00F05128">
        <w:rPr>
          <w:rFonts w:ascii="Arial" w:hAnsi="Arial"/>
        </w:rPr>
        <w:t>Kontaktní osobou na straně Klienta</w:t>
      </w:r>
      <w:r w:rsidRPr="00F05128">
        <w:rPr>
          <w:rFonts w:ascii="Arial" w:hAnsi="Arial"/>
          <w:color w:val="FF00FF"/>
        </w:rPr>
        <w:t xml:space="preserve"> </w:t>
      </w:r>
      <w:r w:rsidRPr="00F05128">
        <w:rPr>
          <w:rFonts w:ascii="Arial" w:hAnsi="Arial"/>
        </w:rPr>
        <w:t>je:</w:t>
      </w:r>
    </w:p>
    <w:p w:rsidR="00092601" w:rsidRDefault="00092601" w:rsidP="00092601">
      <w:pPr>
        <w:spacing w:before="60" w:after="60"/>
        <w:jc w:val="center"/>
        <w:rPr>
          <w:rFonts w:ascii="Arial" w:hAnsi="Arial"/>
          <w:b/>
          <w:sz w:val="22"/>
        </w:rPr>
      </w:pPr>
      <w:bookmarkStart w:id="1" w:name="_GoBack"/>
      <w:bookmarkEnd w:id="1"/>
    </w:p>
    <w:p w:rsidR="00092601" w:rsidRDefault="00092601" w:rsidP="00092601">
      <w:pPr>
        <w:spacing w:before="60"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Článek IV.</w:t>
      </w:r>
    </w:p>
    <w:p w:rsidR="00092601" w:rsidRDefault="00092601" w:rsidP="00092601">
      <w:pPr>
        <w:spacing w:before="60"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Odměna a náhrada nákladů</w:t>
      </w:r>
    </w:p>
    <w:p w:rsidR="00092601" w:rsidRDefault="00092601" w:rsidP="00092601">
      <w:pPr>
        <w:pStyle w:val="Zkladntextodsazen2"/>
        <w:numPr>
          <w:ilvl w:val="0"/>
          <w:numId w:val="2"/>
        </w:numPr>
        <w:tabs>
          <w:tab w:val="clear" w:pos="1276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Klient se zavazuje zaplatit Poradci za služby poskytované dle čl. II této Smlouvy odměnu dle následujícího:</w:t>
      </w:r>
    </w:p>
    <w:p w:rsidR="00092601" w:rsidRDefault="00092601" w:rsidP="00092601">
      <w:pPr>
        <w:pStyle w:val="Zkladntextodsazen2"/>
        <w:tabs>
          <w:tab w:val="clear" w:pos="1276"/>
        </w:tabs>
        <w:spacing w:before="60" w:after="60"/>
        <w:ind w:left="540" w:firstLine="0"/>
        <w:rPr>
          <w:rFonts w:ascii="Arial" w:hAnsi="Arial"/>
        </w:rPr>
      </w:pPr>
    </w:p>
    <w:p w:rsidR="00092601" w:rsidRDefault="00092601" w:rsidP="00092601">
      <w:pPr>
        <w:pStyle w:val="Zkladntextodsazen3"/>
        <w:numPr>
          <w:ilvl w:val="5"/>
          <w:numId w:val="4"/>
        </w:numPr>
        <w:tabs>
          <w:tab w:val="clear" w:pos="4860"/>
          <w:tab w:val="num" w:pos="1418"/>
        </w:tabs>
        <w:spacing w:before="60" w:after="60"/>
        <w:ind w:left="1418" w:hanging="425"/>
      </w:pPr>
      <w:r w:rsidRPr="00DE2A8B">
        <w:t xml:space="preserve">za služby provedené dle čl. II., odst. </w:t>
      </w:r>
      <w:r>
        <w:t>1</w:t>
      </w:r>
      <w:r w:rsidRPr="00DE2A8B">
        <w:t xml:space="preserve">. této </w:t>
      </w:r>
      <w:r w:rsidRPr="006A748B">
        <w:t>Smlouvy</w:t>
      </w:r>
      <w:r w:rsidR="007A22E9">
        <w:t xml:space="preserve"> roční odměnu ve výši </w:t>
      </w:r>
      <w:r w:rsidR="007A22E9">
        <w:rPr>
          <w:rFonts w:ascii="Trebuchet MS" w:hAnsi="Trebuchet MS"/>
        </w:rPr>
        <w:t xml:space="preserve">       </w:t>
      </w:r>
      <w:r w:rsidRPr="006A748B">
        <w:t xml:space="preserve"> 43 200,- Kč (bez DPH), a to na základě čtyř dílčích faktur vystavených Poradcem ve výši 10 800,- Kč ke</w:t>
      </w:r>
      <w:r>
        <w:t xml:space="preserve"> dni 1. května., 1. června, 1. července a 1. srpna kalendářního roku. První faktura bude vystavena Porad</w:t>
      </w:r>
      <w:r w:rsidRPr="00092601">
        <w:t>cem 1. května 2018.</w:t>
      </w:r>
      <w:r>
        <w:t xml:space="preserve"> </w:t>
      </w:r>
      <w:r w:rsidRPr="00AC1937">
        <w:t>Splatn</w:t>
      </w:r>
      <w:r>
        <w:t>ost faktur</w:t>
      </w:r>
      <w:r w:rsidRPr="00AC1937">
        <w:t xml:space="preserve"> je 14 kalendářních dní.</w:t>
      </w:r>
      <w:r w:rsidR="00E87DCD">
        <w:t xml:space="preserve"> </w:t>
      </w:r>
      <w:r w:rsidRPr="009A391B">
        <w:t xml:space="preserve">Splatnost faktur je 14 kalendářních dní ode dne doručení. </w:t>
      </w:r>
    </w:p>
    <w:p w:rsidR="00092601" w:rsidRDefault="00092601" w:rsidP="00092601">
      <w:pPr>
        <w:pStyle w:val="Zkladntextodsazen3"/>
        <w:spacing w:before="60" w:after="60"/>
        <w:ind w:left="1418" w:firstLine="0"/>
      </w:pPr>
    </w:p>
    <w:p w:rsidR="00092601" w:rsidRPr="000E367A" w:rsidRDefault="00092601" w:rsidP="00092601">
      <w:pPr>
        <w:pStyle w:val="Zkladntextodsazen2"/>
        <w:numPr>
          <w:ilvl w:val="0"/>
          <w:numId w:val="2"/>
        </w:numPr>
        <w:tabs>
          <w:tab w:val="clear" w:pos="1276"/>
        </w:tabs>
        <w:spacing w:before="60" w:after="60"/>
        <w:rPr>
          <w:rFonts w:ascii="Arial" w:hAnsi="Arial"/>
        </w:rPr>
      </w:pPr>
      <w:r w:rsidRPr="000E367A">
        <w:rPr>
          <w:rFonts w:ascii="Arial" w:hAnsi="Arial"/>
        </w:rPr>
        <w:t>Odměna stanovená v odst. 1. tohoto článku zahrnuje veškeré náklady Poradce na činnost</w:t>
      </w:r>
      <w:r>
        <w:rPr>
          <w:rFonts w:ascii="Arial" w:hAnsi="Arial"/>
        </w:rPr>
        <w:t>i</w:t>
      </w:r>
      <w:r w:rsidRPr="000E367A">
        <w:rPr>
          <w:rFonts w:ascii="Arial" w:hAnsi="Arial"/>
        </w:rPr>
        <w:t xml:space="preserve"> </w:t>
      </w:r>
      <w:r w:rsidRPr="004F3CEB">
        <w:rPr>
          <w:rFonts w:ascii="Arial" w:hAnsi="Arial"/>
        </w:rPr>
        <w:t>vykonávané dle této Smlouvy, a to zejména cestovní náhrady</w:t>
      </w:r>
      <w:r w:rsidRPr="00E64D4B">
        <w:rPr>
          <w:rFonts w:ascii="Arial" w:hAnsi="Arial"/>
        </w:rPr>
        <w:t>,</w:t>
      </w:r>
      <w:r w:rsidRPr="009A391B">
        <w:rPr>
          <w:rFonts w:ascii="Arial" w:hAnsi="Arial"/>
        </w:rPr>
        <w:t xml:space="preserve"> běžné náklady spojené s poskytnutím služeb</w:t>
      </w:r>
      <w:r w:rsidRPr="000E367A">
        <w:rPr>
          <w:rFonts w:ascii="Arial" w:hAnsi="Arial"/>
        </w:rPr>
        <w:t xml:space="preserve"> dle této Smlouvy (tj. tel. hovorné, </w:t>
      </w:r>
      <w:proofErr w:type="spellStart"/>
      <w:r w:rsidRPr="000E367A">
        <w:rPr>
          <w:rFonts w:ascii="Arial" w:hAnsi="Arial"/>
        </w:rPr>
        <w:t>faxovné</w:t>
      </w:r>
      <w:proofErr w:type="spellEnd"/>
      <w:r w:rsidRPr="000E367A">
        <w:rPr>
          <w:rFonts w:ascii="Arial" w:hAnsi="Arial"/>
        </w:rPr>
        <w:t>, poštovné včetně kurýrních poplatků, jazykové překlady, notářské a jiné úřední poplatky</w:t>
      </w:r>
      <w:r>
        <w:rPr>
          <w:rFonts w:ascii="Arial" w:hAnsi="Arial"/>
        </w:rPr>
        <w:t>,</w:t>
      </w:r>
      <w:r w:rsidRPr="000E367A">
        <w:rPr>
          <w:rFonts w:ascii="Arial" w:hAnsi="Arial"/>
        </w:rPr>
        <w:t xml:space="preserve"> náklady na </w:t>
      </w:r>
      <w:proofErr w:type="spellStart"/>
      <w:r w:rsidRPr="000E367A">
        <w:rPr>
          <w:rFonts w:ascii="Arial" w:hAnsi="Arial"/>
        </w:rPr>
        <w:t>fotokopírování</w:t>
      </w:r>
      <w:proofErr w:type="spellEnd"/>
      <w:r w:rsidRPr="000E367A">
        <w:rPr>
          <w:rFonts w:ascii="Arial" w:hAnsi="Arial"/>
        </w:rPr>
        <w:t>, technické nosiče, a kancelářské potřeby).</w:t>
      </w:r>
    </w:p>
    <w:p w:rsidR="00092601" w:rsidRDefault="00092601" w:rsidP="00092601">
      <w:pPr>
        <w:pStyle w:val="Zkladntextodsazen2"/>
        <w:numPr>
          <w:ilvl w:val="0"/>
          <w:numId w:val="2"/>
        </w:numPr>
        <w:tabs>
          <w:tab w:val="clear" w:pos="1276"/>
        </w:tabs>
        <w:spacing w:before="60" w:after="60"/>
        <w:rPr>
          <w:rFonts w:ascii="Arial" w:hAnsi="Arial"/>
        </w:rPr>
      </w:pPr>
      <w:r w:rsidRPr="00221F94">
        <w:rPr>
          <w:rFonts w:ascii="Arial" w:hAnsi="Arial"/>
        </w:rPr>
        <w:t xml:space="preserve">Bude-li Klient v prodlení s placením odměny v termínech a výších dle tohoto článku, je povinen uhradit Poradci úroky z prodlení ve výši 0,05 % z dlužné částky za každý den prodlení. Bude-li Klient v prodlení po dobu delší než (30) třicet dnů, je Poradce oprávněn od této Smlouvy odstoupit. </w:t>
      </w:r>
    </w:p>
    <w:p w:rsidR="00092601" w:rsidRDefault="00092601" w:rsidP="00092601">
      <w:pPr>
        <w:spacing w:before="60" w:after="60"/>
        <w:jc w:val="center"/>
        <w:rPr>
          <w:rFonts w:ascii="Arial" w:hAnsi="Arial"/>
          <w:b/>
          <w:sz w:val="22"/>
        </w:rPr>
      </w:pPr>
    </w:p>
    <w:p w:rsidR="00092601" w:rsidRDefault="00092601" w:rsidP="00092601">
      <w:pPr>
        <w:spacing w:before="60" w:after="60"/>
        <w:jc w:val="center"/>
        <w:rPr>
          <w:rFonts w:ascii="Arial" w:hAnsi="Arial"/>
          <w:b/>
          <w:sz w:val="22"/>
        </w:rPr>
      </w:pPr>
    </w:p>
    <w:p w:rsidR="00092601" w:rsidRDefault="00092601" w:rsidP="00092601">
      <w:pPr>
        <w:spacing w:before="60" w:after="60"/>
        <w:jc w:val="center"/>
        <w:rPr>
          <w:rFonts w:ascii="Arial" w:hAnsi="Arial"/>
          <w:b/>
          <w:sz w:val="22"/>
        </w:rPr>
      </w:pPr>
    </w:p>
    <w:p w:rsidR="00092601" w:rsidRDefault="00092601" w:rsidP="00092601">
      <w:pPr>
        <w:spacing w:before="60" w:after="60"/>
        <w:jc w:val="center"/>
        <w:rPr>
          <w:rFonts w:ascii="Arial" w:hAnsi="Arial"/>
          <w:b/>
          <w:sz w:val="22"/>
        </w:rPr>
      </w:pPr>
    </w:p>
    <w:p w:rsidR="00092601" w:rsidRDefault="00092601" w:rsidP="00092601">
      <w:pPr>
        <w:spacing w:before="60"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Článek V.</w:t>
      </w:r>
    </w:p>
    <w:p w:rsidR="00092601" w:rsidRPr="00AA5A04" w:rsidRDefault="00092601" w:rsidP="00092601">
      <w:pPr>
        <w:spacing w:before="60"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Chráněné informace</w:t>
      </w:r>
    </w:p>
    <w:p w:rsidR="00092601" w:rsidRDefault="00092601" w:rsidP="00092601">
      <w:pPr>
        <w:pStyle w:val="Zkladntext2"/>
        <w:numPr>
          <w:ilvl w:val="0"/>
          <w:numId w:val="3"/>
        </w:numPr>
        <w:tabs>
          <w:tab w:val="clear" w:pos="720"/>
          <w:tab w:val="num" w:pos="540"/>
        </w:tabs>
        <w:spacing w:before="60" w:after="60"/>
        <w:ind w:left="540" w:hanging="540"/>
      </w:pPr>
      <w:r>
        <w:t xml:space="preserve">Veškeré informace sdělené kteroukoliv ze Smluvních stran při plnění povinností dle této Smlouvy, jsou považovány za přísně důvěrné a nesmí být zpřístupněny či jakýmkoliv jiným způsobem sděleny třetí osobě, s výjimkou informací, které byly v okamžiku sdělení veřejně známé </w:t>
      </w:r>
      <w:r w:rsidRPr="004F3CEB">
        <w:t>nebo informací, které Smluvní strany získaly od třetích osob nebo jejich poskytnutí upravuje platný právní předpis</w:t>
      </w:r>
      <w:r w:rsidRPr="00E64D4B">
        <w:t>.</w:t>
      </w:r>
      <w:r>
        <w:t xml:space="preserve"> </w:t>
      </w:r>
    </w:p>
    <w:p w:rsidR="00092601" w:rsidRDefault="00092601" w:rsidP="00092601">
      <w:pPr>
        <w:pStyle w:val="Zkladntext2"/>
        <w:numPr>
          <w:ilvl w:val="0"/>
          <w:numId w:val="3"/>
        </w:numPr>
        <w:tabs>
          <w:tab w:val="clear" w:pos="720"/>
          <w:tab w:val="num" w:pos="540"/>
        </w:tabs>
        <w:spacing w:before="60" w:after="60"/>
        <w:ind w:left="540" w:hanging="540"/>
      </w:pPr>
      <w:r>
        <w:t xml:space="preserve">Poradce je </w:t>
      </w:r>
      <w:r w:rsidRPr="00DA7138">
        <w:t>oprávněn poskytovat při nabídce poradenských služeb jako reference údaje</w:t>
      </w:r>
      <w:r>
        <w:t xml:space="preserve"> o realizovaném projektu, týkající se náz</w:t>
      </w:r>
      <w:r w:rsidRPr="00DA7138">
        <w:t>v</w:t>
      </w:r>
      <w:r>
        <w:t>u</w:t>
      </w:r>
      <w:r w:rsidRPr="00DA7138">
        <w:t xml:space="preserve"> projektu, </w:t>
      </w:r>
      <w:r>
        <w:t>náz</w:t>
      </w:r>
      <w:r w:rsidRPr="00DA7138">
        <w:t>v</w:t>
      </w:r>
      <w:r>
        <w:t>u a identifikace</w:t>
      </w:r>
      <w:r w:rsidRPr="00DA7138">
        <w:t xml:space="preserve"> Klienta, </w:t>
      </w:r>
      <w:r>
        <w:t>stručného</w:t>
      </w:r>
      <w:r w:rsidRPr="00DA7138">
        <w:t xml:space="preserve"> popis</w:t>
      </w:r>
      <w:r>
        <w:t>u</w:t>
      </w:r>
      <w:r w:rsidRPr="00DA7138">
        <w:t xml:space="preserve"> vykonané práce v rozsahu</w:t>
      </w:r>
      <w:r>
        <w:t xml:space="preserve"> poskytované poradenské činnosti</w:t>
      </w:r>
      <w:r w:rsidRPr="00DA7138">
        <w:t>.</w:t>
      </w:r>
    </w:p>
    <w:p w:rsidR="00092601" w:rsidRDefault="00092601" w:rsidP="00092601">
      <w:pPr>
        <w:pStyle w:val="Zkladntext2"/>
        <w:spacing w:before="60" w:after="60"/>
      </w:pPr>
    </w:p>
    <w:p w:rsidR="00092601" w:rsidRDefault="00092601" w:rsidP="00092601">
      <w:pPr>
        <w:spacing w:before="60" w:after="60"/>
        <w:jc w:val="center"/>
        <w:rPr>
          <w:rFonts w:ascii="Arial" w:hAnsi="Arial"/>
          <w:b/>
          <w:sz w:val="22"/>
        </w:rPr>
      </w:pPr>
    </w:p>
    <w:p w:rsidR="00E87DCD" w:rsidRDefault="00E87DCD" w:rsidP="00092601">
      <w:pPr>
        <w:spacing w:before="60" w:after="60"/>
        <w:jc w:val="center"/>
        <w:rPr>
          <w:rFonts w:ascii="Arial" w:hAnsi="Arial"/>
          <w:b/>
          <w:sz w:val="22"/>
        </w:rPr>
      </w:pPr>
    </w:p>
    <w:p w:rsidR="00E87DCD" w:rsidRDefault="00E87DCD" w:rsidP="00092601">
      <w:pPr>
        <w:spacing w:before="60" w:after="60"/>
        <w:jc w:val="center"/>
        <w:rPr>
          <w:rFonts w:ascii="Arial" w:hAnsi="Arial"/>
          <w:b/>
          <w:sz w:val="22"/>
        </w:rPr>
      </w:pPr>
    </w:p>
    <w:p w:rsidR="00E87DCD" w:rsidRDefault="00E87DCD" w:rsidP="00092601">
      <w:pPr>
        <w:spacing w:before="60" w:after="60"/>
        <w:jc w:val="center"/>
        <w:rPr>
          <w:rFonts w:ascii="Arial" w:hAnsi="Arial"/>
          <w:b/>
          <w:sz w:val="22"/>
        </w:rPr>
      </w:pPr>
    </w:p>
    <w:p w:rsidR="00E87DCD" w:rsidRDefault="00E87DCD" w:rsidP="00092601">
      <w:pPr>
        <w:spacing w:before="60" w:after="60"/>
        <w:jc w:val="center"/>
        <w:rPr>
          <w:rFonts w:ascii="Arial" w:hAnsi="Arial"/>
          <w:b/>
          <w:sz w:val="22"/>
        </w:rPr>
      </w:pPr>
    </w:p>
    <w:p w:rsidR="00092601" w:rsidRDefault="00092601" w:rsidP="00092601">
      <w:pPr>
        <w:spacing w:before="60"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Článek VI.</w:t>
      </w:r>
    </w:p>
    <w:p w:rsidR="00092601" w:rsidRDefault="00092601" w:rsidP="00092601">
      <w:pPr>
        <w:spacing w:before="60" w:after="6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Závěrečná ustanovení</w:t>
      </w:r>
    </w:p>
    <w:p w:rsidR="00092601" w:rsidRPr="009A391B" w:rsidRDefault="00092601" w:rsidP="00092601">
      <w:pPr>
        <w:numPr>
          <w:ilvl w:val="0"/>
          <w:numId w:val="6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rFonts w:ascii="Arial" w:hAnsi="Arial"/>
          <w:sz w:val="22"/>
        </w:rPr>
      </w:pPr>
      <w:r w:rsidRPr="004F3CEB">
        <w:rPr>
          <w:rFonts w:ascii="Arial" w:hAnsi="Arial"/>
          <w:sz w:val="22"/>
        </w:rPr>
        <w:t xml:space="preserve">Právní vztahy výslovně neupravené touto Smlouvou se řídí ustanoveními Občanského </w:t>
      </w:r>
      <w:r w:rsidRPr="00E64D4B">
        <w:rPr>
          <w:rFonts w:ascii="Arial" w:hAnsi="Arial"/>
          <w:sz w:val="22"/>
        </w:rPr>
        <w:t xml:space="preserve"> zákoníku v platném znění</w:t>
      </w:r>
      <w:r w:rsidRPr="009A391B">
        <w:rPr>
          <w:rFonts w:ascii="Arial" w:hAnsi="Arial"/>
          <w:sz w:val="22"/>
        </w:rPr>
        <w:t xml:space="preserve"> a platnými právními předpisy upravujícími ochranu osobních údajů.</w:t>
      </w:r>
    </w:p>
    <w:p w:rsidR="00092601" w:rsidRDefault="00092601" w:rsidP="00092601">
      <w:pPr>
        <w:pStyle w:val="Zkladntextodsazen3"/>
        <w:numPr>
          <w:ilvl w:val="0"/>
          <w:numId w:val="6"/>
        </w:numPr>
        <w:tabs>
          <w:tab w:val="clear" w:pos="720"/>
          <w:tab w:val="num" w:pos="540"/>
        </w:tabs>
        <w:spacing w:before="60" w:after="60"/>
        <w:ind w:left="540" w:hanging="540"/>
      </w:pPr>
      <w:r>
        <w:t xml:space="preserve">Tato Smlouva nabývá platnosti a účinnosti dnem jejího podpisu oběma Smluvními </w:t>
      </w:r>
      <w:r w:rsidRPr="008411A6">
        <w:t>stranami.</w:t>
      </w:r>
    </w:p>
    <w:p w:rsidR="00092601" w:rsidRPr="008411A6" w:rsidRDefault="00092601" w:rsidP="00092601">
      <w:pPr>
        <w:pStyle w:val="Zkladntextodsazen3"/>
        <w:numPr>
          <w:ilvl w:val="0"/>
          <w:numId w:val="6"/>
        </w:numPr>
        <w:tabs>
          <w:tab w:val="clear" w:pos="720"/>
          <w:tab w:val="num" w:pos="540"/>
        </w:tabs>
        <w:spacing w:before="60" w:after="60"/>
        <w:ind w:left="540" w:hanging="540"/>
      </w:pPr>
      <w:r w:rsidRPr="008411A6">
        <w:lastRenderedPageBreak/>
        <w:t>Poradce je pojištěn na škody v oblasti GDPR do výše 150 mil. Kč. Při podpisu smlouvy předloží klientovi kopii této smlouvy nebo potvrzení pojišťovny o sjednaném pojištění. Poradce je povinen být v uvedeném rozsahu pojištěn po celou dobu trvání smlouvy</w:t>
      </w:r>
      <w:r w:rsidRPr="00E64D4B">
        <w:t xml:space="preserve"> a na základě výzvy klienta je povinen předložit potvrzení o trvání pojištění.</w:t>
      </w:r>
    </w:p>
    <w:p w:rsidR="00092601" w:rsidRPr="008411A6" w:rsidRDefault="00092601" w:rsidP="00092601">
      <w:pPr>
        <w:pStyle w:val="Zkladntextodsazen3"/>
        <w:numPr>
          <w:ilvl w:val="0"/>
          <w:numId w:val="6"/>
        </w:numPr>
        <w:tabs>
          <w:tab w:val="clear" w:pos="720"/>
          <w:tab w:val="num" w:pos="540"/>
        </w:tabs>
        <w:spacing w:before="60" w:after="60"/>
        <w:ind w:left="540" w:hanging="540"/>
      </w:pPr>
      <w:r w:rsidRPr="008411A6">
        <w:t xml:space="preserve">Poradce odpovídá klientovi za škodu, která mu vznikne v důsledku jeho pochybení, nečinnosti nebo jiného vadného plnění a to na základě objektivního principu.      </w:t>
      </w:r>
    </w:p>
    <w:p w:rsidR="00092601" w:rsidRDefault="00092601" w:rsidP="00092601">
      <w:pPr>
        <w:numPr>
          <w:ilvl w:val="0"/>
          <w:numId w:val="6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Smlouva je uzavírána na dobu neurčitou. Každá Smluvní strana může Smlouvu jednostranně vypovědět. Výpovědní doba činí tři měsíce. Závazek chránit informace dle čl. V. trvá i po skončení </w:t>
      </w:r>
      <w:r w:rsidRPr="004F3CEB">
        <w:rPr>
          <w:rFonts w:ascii="Arial" w:hAnsi="Arial"/>
          <w:sz w:val="22"/>
        </w:rPr>
        <w:t xml:space="preserve">účinnosti Smlouvy, stejně tak jako odpovědnost poradce za jím doposud </w:t>
      </w:r>
      <w:r w:rsidRPr="00E64D4B">
        <w:rPr>
          <w:rFonts w:ascii="Arial" w:hAnsi="Arial"/>
          <w:sz w:val="22"/>
        </w:rPr>
        <w:t>poskytnutou činnost</w:t>
      </w:r>
      <w:r w:rsidRPr="009A391B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 </w:t>
      </w:r>
    </w:p>
    <w:p w:rsidR="00092601" w:rsidRDefault="00092601" w:rsidP="00092601">
      <w:pPr>
        <w:numPr>
          <w:ilvl w:val="0"/>
          <w:numId w:val="6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Ustanovení této Smlouvy lze měnit a doplňovat pouze formou písemných dodatků podepsaných oběma Smluvními stranami.</w:t>
      </w:r>
    </w:p>
    <w:p w:rsidR="00092601" w:rsidRDefault="00092601" w:rsidP="00092601">
      <w:pPr>
        <w:numPr>
          <w:ilvl w:val="0"/>
          <w:numId w:val="6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Tato Smlouva se sepisuje ve (2) dvou vyhotoveních s platností originálu, přičemž každá ze Smluvních stran obdrží po (1) jednom vyhotovení Smlouvy.</w:t>
      </w:r>
    </w:p>
    <w:p w:rsidR="00092601" w:rsidRDefault="00092601" w:rsidP="00092601">
      <w:pPr>
        <w:pStyle w:val="Zkladntext"/>
        <w:numPr>
          <w:ilvl w:val="0"/>
          <w:numId w:val="6"/>
        </w:numPr>
        <w:tabs>
          <w:tab w:val="clear" w:pos="720"/>
          <w:tab w:val="num" w:pos="540"/>
        </w:tabs>
        <w:spacing w:before="60" w:after="60"/>
        <w:ind w:left="540" w:hanging="540"/>
        <w:jc w:val="both"/>
      </w:pPr>
      <w:r>
        <w:t>Pokud by tato Smlouva trpěla právními vadami, zejména pokud by některé z jejích ustanovení bylo v rozporu s českým právním řádem, v důsledku čehož by mohla být posuzována jako neplatná, považuje se toto ustanovení za samostatné a Smlouva se posuzuje, jako by takové ustanovení nikdy neobsahovala.</w:t>
      </w:r>
    </w:p>
    <w:p w:rsidR="00092601" w:rsidRDefault="00092601" w:rsidP="00092601">
      <w:pPr>
        <w:pStyle w:val="Zkladntext"/>
        <w:numPr>
          <w:ilvl w:val="0"/>
          <w:numId w:val="6"/>
        </w:numPr>
        <w:tabs>
          <w:tab w:val="clear" w:pos="720"/>
          <w:tab w:val="num" w:pos="540"/>
        </w:tabs>
        <w:spacing w:before="60" w:after="60"/>
        <w:ind w:left="540" w:hanging="540"/>
        <w:jc w:val="both"/>
      </w:pPr>
      <w:r>
        <w:t>Smluvní strany této Smlouvy se zavazují, že v případě sporů o obsah a plnění této Smlouvy vynaloží veškeré úsilí, které lze spravedlivě požadovat k tomu, aby byly tyto spory vyřešeny smírnou cestou, zejména aby byly odstraněny okolnosti vedoucí ke vzniku práva od Smlouvy odstoupit, nebo způsobují neplatnost.</w:t>
      </w:r>
    </w:p>
    <w:p w:rsidR="00092601" w:rsidRPr="004F3CEB" w:rsidRDefault="00092601" w:rsidP="00092601">
      <w:pPr>
        <w:pStyle w:val="Zkladntext"/>
        <w:numPr>
          <w:ilvl w:val="0"/>
          <w:numId w:val="6"/>
        </w:numPr>
        <w:tabs>
          <w:tab w:val="clear" w:pos="720"/>
          <w:tab w:val="num" w:pos="540"/>
        </w:tabs>
        <w:spacing w:before="60" w:after="60"/>
        <w:ind w:left="540" w:hanging="540"/>
        <w:jc w:val="both"/>
      </w:pPr>
      <w:r w:rsidRPr="004F3CEB">
        <w:t>Tato smlouva bude zve</w:t>
      </w:r>
      <w:r w:rsidRPr="00E64D4B">
        <w:t>řejněna v registru smluv</w:t>
      </w:r>
      <w:r w:rsidRPr="009A391B">
        <w:t xml:space="preserve"> dle zákona č. 340/2015 Sb., o zvláštních podmínkách účinnosti některých smluv, uveřejňování těchto smluv a o registru smluv (zákon o registru smluv) a to bez uvedení citlivých údajů</w:t>
      </w:r>
      <w:r w:rsidRPr="008411A6">
        <w:t xml:space="preserve"> (obchodní tajemství, osobní údaje)</w:t>
      </w:r>
      <w:r w:rsidRPr="004F3CEB">
        <w:t>. Zveřejnění smlouvy zajistí Klient.</w:t>
      </w:r>
    </w:p>
    <w:p w:rsidR="00092601" w:rsidRDefault="00092601" w:rsidP="00092601">
      <w:pPr>
        <w:pStyle w:val="Zkladntext"/>
        <w:jc w:val="both"/>
      </w:pPr>
    </w:p>
    <w:p w:rsidR="00092601" w:rsidRDefault="00092601" w:rsidP="00092601">
      <w:pPr>
        <w:pStyle w:val="Zkladntext"/>
        <w:jc w:val="both"/>
      </w:pPr>
    </w:p>
    <w:p w:rsidR="00092601" w:rsidRDefault="00092601" w:rsidP="00092601">
      <w:pPr>
        <w:jc w:val="both"/>
        <w:rPr>
          <w:rFonts w:ascii="Arial" w:hAnsi="Arial"/>
          <w:sz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92601" w:rsidTr="00985BE5">
        <w:trPr>
          <w:cantSplit/>
          <w:trHeight w:val="3369"/>
        </w:trPr>
        <w:tc>
          <w:tcPr>
            <w:tcW w:w="2500" w:type="pct"/>
          </w:tcPr>
          <w:p w:rsidR="00092601" w:rsidRPr="003916AA" w:rsidRDefault="00092601" w:rsidP="00985BE5">
            <w:pPr>
              <w:pStyle w:val="Textkomente"/>
              <w:tabs>
                <w:tab w:val="left" w:pos="426"/>
                <w:tab w:val="left" w:pos="2410"/>
                <w:tab w:val="left" w:pos="2552"/>
                <w:tab w:val="left" w:pos="2977"/>
                <w:tab w:val="left" w:pos="4395"/>
                <w:tab w:val="left" w:pos="4678"/>
              </w:tabs>
              <w:rPr>
                <w:sz w:val="22"/>
                <w:szCs w:val="22"/>
                <w:lang w:val="cs-CZ" w:eastAsia="cs-CZ"/>
              </w:rPr>
            </w:pPr>
            <w:r w:rsidRPr="003916AA">
              <w:rPr>
                <w:sz w:val="22"/>
                <w:szCs w:val="22"/>
                <w:lang w:val="cs-CZ" w:eastAsia="cs-CZ"/>
              </w:rPr>
              <w:t xml:space="preserve">V </w:t>
            </w:r>
            <w:bookmarkStart w:id="2" w:name="v"/>
            <w:bookmarkEnd w:id="2"/>
            <w:r w:rsidRPr="003916AA">
              <w:rPr>
                <w:sz w:val="22"/>
                <w:szCs w:val="22"/>
                <w:lang w:val="cs-CZ" w:eastAsia="cs-CZ"/>
              </w:rPr>
              <w:t xml:space="preserve">Praze, dne </w:t>
            </w:r>
          </w:p>
          <w:p w:rsidR="00092601" w:rsidRPr="00603DF6" w:rsidRDefault="00092601" w:rsidP="00985BE5">
            <w:pPr>
              <w:tabs>
                <w:tab w:val="center" w:pos="2269"/>
                <w:tab w:val="left" w:pos="4678"/>
              </w:tabs>
              <w:rPr>
                <w:rFonts w:ascii="Arial" w:hAnsi="Arial"/>
                <w:sz w:val="22"/>
                <w:szCs w:val="22"/>
              </w:rPr>
            </w:pPr>
          </w:p>
          <w:p w:rsidR="00092601" w:rsidRPr="00603DF6" w:rsidRDefault="00092601" w:rsidP="00985BE5">
            <w:pPr>
              <w:tabs>
                <w:tab w:val="left" w:pos="4395"/>
                <w:tab w:val="left" w:pos="4962"/>
                <w:tab w:val="lef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603DF6">
              <w:rPr>
                <w:rFonts w:ascii="Arial" w:hAnsi="Arial" w:cs="Arial"/>
                <w:sz w:val="22"/>
                <w:szCs w:val="22"/>
              </w:rPr>
              <w:t>Ing. Radovan Hauk</w:t>
            </w:r>
          </w:p>
          <w:p w:rsidR="00092601" w:rsidRPr="00603DF6" w:rsidRDefault="00092601" w:rsidP="00985BE5">
            <w:pPr>
              <w:tabs>
                <w:tab w:val="left" w:pos="4395"/>
                <w:tab w:val="left" w:pos="4962"/>
                <w:tab w:val="left" w:pos="8931"/>
              </w:tabs>
              <w:rPr>
                <w:rFonts w:ascii="Arial" w:hAnsi="Arial"/>
                <w:sz w:val="22"/>
                <w:szCs w:val="22"/>
              </w:rPr>
            </w:pPr>
            <w:r w:rsidRPr="00603DF6">
              <w:rPr>
                <w:rFonts w:ascii="Arial" w:hAnsi="Arial" w:cs="Arial"/>
                <w:sz w:val="22"/>
                <w:szCs w:val="22"/>
              </w:rPr>
              <w:t>jednatel BDO Advisory s.r.o.</w:t>
            </w:r>
            <w:r w:rsidRPr="00603DF6">
              <w:rPr>
                <w:rFonts w:ascii="Arial" w:hAnsi="Arial" w:cs="Arial"/>
                <w:sz w:val="22"/>
                <w:szCs w:val="22"/>
              </w:rPr>
              <w:tab/>
            </w:r>
          </w:p>
          <w:p w:rsidR="00092601" w:rsidRPr="00603DF6" w:rsidRDefault="00092601" w:rsidP="00985BE5">
            <w:pPr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ascii="Arial" w:hAnsi="Arial"/>
                <w:position w:val="8"/>
                <w:sz w:val="22"/>
                <w:szCs w:val="22"/>
              </w:rPr>
            </w:pPr>
          </w:p>
          <w:p w:rsidR="00092601" w:rsidRPr="00603DF6" w:rsidRDefault="00092601" w:rsidP="00985BE5">
            <w:pPr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ascii="Arial" w:hAnsi="Arial"/>
                <w:position w:val="8"/>
                <w:sz w:val="22"/>
                <w:szCs w:val="22"/>
              </w:rPr>
            </w:pPr>
          </w:p>
          <w:p w:rsidR="00092601" w:rsidRPr="00603DF6" w:rsidRDefault="00092601" w:rsidP="00985BE5">
            <w:pPr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ascii="Arial" w:hAnsi="Arial"/>
                <w:position w:val="8"/>
                <w:sz w:val="22"/>
                <w:szCs w:val="22"/>
              </w:rPr>
            </w:pPr>
          </w:p>
          <w:p w:rsidR="00092601" w:rsidRPr="00603DF6" w:rsidRDefault="00092601" w:rsidP="00985BE5">
            <w:pPr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ascii="Arial" w:hAnsi="Arial"/>
                <w:position w:val="8"/>
                <w:sz w:val="22"/>
                <w:szCs w:val="22"/>
              </w:rPr>
            </w:pPr>
          </w:p>
          <w:p w:rsidR="00092601" w:rsidRPr="00603DF6" w:rsidRDefault="00092601" w:rsidP="00985BE5">
            <w:pPr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ascii="Arial" w:hAnsi="Arial"/>
                <w:position w:val="8"/>
                <w:sz w:val="22"/>
                <w:szCs w:val="22"/>
              </w:rPr>
            </w:pPr>
            <w:r w:rsidRPr="00603DF6">
              <w:rPr>
                <w:rFonts w:ascii="Arial" w:hAnsi="Arial"/>
                <w:position w:val="8"/>
                <w:sz w:val="22"/>
                <w:szCs w:val="22"/>
              </w:rPr>
              <w:tab/>
            </w:r>
          </w:p>
          <w:p w:rsidR="00092601" w:rsidRPr="00603DF6" w:rsidRDefault="00092601" w:rsidP="00985BE5">
            <w:pPr>
              <w:tabs>
                <w:tab w:val="left" w:pos="1702"/>
              </w:tabs>
              <w:jc w:val="center"/>
              <w:rPr>
                <w:rFonts w:ascii="Arial" w:hAnsi="Arial"/>
                <w:position w:val="4"/>
                <w:sz w:val="22"/>
                <w:szCs w:val="22"/>
              </w:rPr>
            </w:pPr>
            <w:r w:rsidRPr="00603DF6">
              <w:rPr>
                <w:rFonts w:ascii="Arial" w:hAnsi="Arial"/>
                <w:position w:val="4"/>
                <w:sz w:val="22"/>
                <w:szCs w:val="22"/>
              </w:rPr>
              <w:t>vlastnoruční podpis</w:t>
            </w:r>
          </w:p>
          <w:p w:rsidR="00092601" w:rsidRPr="00603DF6" w:rsidRDefault="00092601" w:rsidP="00985BE5">
            <w:pPr>
              <w:tabs>
                <w:tab w:val="left" w:pos="4395"/>
                <w:tab w:val="left" w:pos="4962"/>
                <w:tab w:val="left" w:pos="8931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00" w:type="pct"/>
          </w:tcPr>
          <w:p w:rsidR="00092601" w:rsidRPr="00914EF3" w:rsidRDefault="00092601" w:rsidP="00985BE5">
            <w:pPr>
              <w:tabs>
                <w:tab w:val="left" w:pos="284"/>
                <w:tab w:val="left" w:pos="2410"/>
                <w:tab w:val="left" w:pos="2552"/>
                <w:tab w:val="left" w:pos="2977"/>
                <w:tab w:val="left" w:pos="4395"/>
                <w:tab w:val="left" w:pos="5104"/>
                <w:tab w:val="left" w:pos="5387"/>
                <w:tab w:val="left" w:pos="7088"/>
                <w:tab w:val="left" w:pos="7230"/>
                <w:tab w:val="left" w:pos="7655"/>
                <w:tab w:val="left" w:pos="8931"/>
              </w:tabs>
              <w:rPr>
                <w:rFonts w:ascii="Arial" w:hAnsi="Arial"/>
                <w:sz w:val="22"/>
                <w:szCs w:val="22"/>
              </w:rPr>
            </w:pPr>
            <w:r w:rsidRPr="00914EF3">
              <w:rPr>
                <w:rFonts w:ascii="Arial" w:hAnsi="Arial"/>
                <w:sz w:val="22"/>
                <w:szCs w:val="22"/>
              </w:rPr>
              <w:t xml:space="preserve">V </w:t>
            </w:r>
            <w:r w:rsidR="005E6AD3">
              <w:rPr>
                <w:rFonts w:ascii="Arial" w:hAnsi="Arial"/>
                <w:sz w:val="22"/>
                <w:szCs w:val="22"/>
              </w:rPr>
              <w:t>Jihlavě</w:t>
            </w:r>
            <w:r w:rsidRPr="00914EF3">
              <w:rPr>
                <w:rFonts w:ascii="Arial" w:hAnsi="Arial"/>
                <w:sz w:val="22"/>
                <w:szCs w:val="22"/>
              </w:rPr>
              <w:t xml:space="preserve">, dne </w:t>
            </w:r>
            <w:bookmarkStart w:id="3" w:name="dne1"/>
            <w:bookmarkEnd w:id="3"/>
          </w:p>
          <w:p w:rsidR="00092601" w:rsidRPr="00914EF3" w:rsidRDefault="00092601" w:rsidP="00985BE5">
            <w:pPr>
              <w:tabs>
                <w:tab w:val="center" w:pos="2269"/>
                <w:tab w:val="left" w:pos="4678"/>
              </w:tabs>
              <w:rPr>
                <w:rFonts w:ascii="Arial" w:hAnsi="Arial"/>
                <w:sz w:val="22"/>
                <w:szCs w:val="22"/>
              </w:rPr>
            </w:pPr>
          </w:p>
          <w:p w:rsidR="00092601" w:rsidRPr="00914EF3" w:rsidRDefault="005E6AD3" w:rsidP="00985BE5">
            <w:pPr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Mgr. Eva Pohořelá</w:t>
            </w:r>
          </w:p>
          <w:p w:rsidR="00092601" w:rsidRPr="00914EF3" w:rsidRDefault="00092601" w:rsidP="00985BE5">
            <w:pPr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914EF3">
              <w:rPr>
                <w:rFonts w:ascii="Arial" w:eastAsia="SimSun" w:hAnsi="Arial" w:cs="Arial"/>
                <w:sz w:val="22"/>
                <w:szCs w:val="22"/>
              </w:rPr>
              <w:t>ředitelka</w:t>
            </w:r>
          </w:p>
          <w:p w:rsidR="00092601" w:rsidRPr="00603DF6" w:rsidRDefault="00092601" w:rsidP="00985BE5">
            <w:pPr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:rsidR="00092601" w:rsidRPr="00603DF6" w:rsidRDefault="00092601" w:rsidP="00985BE5">
            <w:pPr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ascii="Arial" w:hAnsi="Arial"/>
                <w:position w:val="8"/>
                <w:sz w:val="22"/>
                <w:szCs w:val="22"/>
              </w:rPr>
            </w:pPr>
          </w:p>
          <w:p w:rsidR="00092601" w:rsidRPr="00603DF6" w:rsidRDefault="00092601" w:rsidP="00985BE5">
            <w:pPr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ascii="Arial" w:hAnsi="Arial"/>
                <w:position w:val="8"/>
                <w:sz w:val="22"/>
                <w:szCs w:val="22"/>
              </w:rPr>
            </w:pPr>
          </w:p>
          <w:p w:rsidR="00092601" w:rsidRPr="00603DF6" w:rsidRDefault="00092601" w:rsidP="00985BE5">
            <w:pPr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ascii="Arial" w:hAnsi="Arial"/>
                <w:position w:val="8"/>
                <w:sz w:val="22"/>
                <w:szCs w:val="22"/>
              </w:rPr>
            </w:pPr>
          </w:p>
          <w:p w:rsidR="00092601" w:rsidRPr="00603DF6" w:rsidRDefault="00092601" w:rsidP="00985BE5">
            <w:pPr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ascii="Arial" w:hAnsi="Arial"/>
                <w:position w:val="8"/>
                <w:sz w:val="22"/>
                <w:szCs w:val="22"/>
              </w:rPr>
            </w:pPr>
            <w:r w:rsidRPr="00603DF6">
              <w:rPr>
                <w:rFonts w:ascii="Arial" w:hAnsi="Arial"/>
                <w:position w:val="8"/>
                <w:sz w:val="22"/>
                <w:szCs w:val="22"/>
              </w:rPr>
              <w:tab/>
            </w:r>
          </w:p>
          <w:p w:rsidR="00092601" w:rsidRPr="003109DF" w:rsidRDefault="00092601" w:rsidP="00985BE5">
            <w:pPr>
              <w:tabs>
                <w:tab w:val="left" w:pos="1702"/>
              </w:tabs>
              <w:jc w:val="center"/>
              <w:rPr>
                <w:rFonts w:ascii="Arial" w:hAnsi="Arial"/>
                <w:position w:val="4"/>
                <w:sz w:val="22"/>
                <w:szCs w:val="22"/>
              </w:rPr>
            </w:pPr>
            <w:r w:rsidRPr="00603DF6">
              <w:rPr>
                <w:rFonts w:ascii="Arial" w:hAnsi="Arial"/>
                <w:position w:val="4"/>
                <w:sz w:val="22"/>
                <w:szCs w:val="22"/>
              </w:rPr>
              <w:t>vlastnoruční podpis</w:t>
            </w:r>
          </w:p>
          <w:p w:rsidR="00092601" w:rsidRPr="003109DF" w:rsidRDefault="00092601" w:rsidP="00985BE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bookmarkEnd w:id="0"/>
    </w:tbl>
    <w:p w:rsidR="00294DCC" w:rsidRPr="00092601" w:rsidRDefault="00294DCC" w:rsidP="00092601"/>
    <w:sectPr w:rsidR="00294DCC" w:rsidRPr="0009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A19"/>
    <w:multiLevelType w:val="singleLevel"/>
    <w:tmpl w:val="5FE2DA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 w15:restartNumberingAfterBreak="0">
    <w:nsid w:val="0F252CBC"/>
    <w:multiLevelType w:val="singleLevel"/>
    <w:tmpl w:val="A32C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 w15:restartNumberingAfterBreak="0">
    <w:nsid w:val="22C64FDC"/>
    <w:multiLevelType w:val="hybridMultilevel"/>
    <w:tmpl w:val="C6125DB2"/>
    <w:lvl w:ilvl="0" w:tplc="8FF64B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pStyle w:val="Nadpis1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694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03A"/>
    <w:multiLevelType w:val="hybridMultilevel"/>
    <w:tmpl w:val="BF3E488C"/>
    <w:lvl w:ilvl="0" w:tplc="84483F80">
      <w:start w:val="1"/>
      <w:numFmt w:val="bullet"/>
      <w:lvlText w:val=""/>
      <w:lvlJc w:val="left"/>
      <w:pPr>
        <w:ind w:left="180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8584881"/>
    <w:multiLevelType w:val="hybridMultilevel"/>
    <w:tmpl w:val="87321092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BA85F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641AF7"/>
    <w:multiLevelType w:val="hybridMultilevel"/>
    <w:tmpl w:val="7276A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634492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01"/>
    <w:rsid w:val="00092601"/>
    <w:rsid w:val="00294DCC"/>
    <w:rsid w:val="005E6AD3"/>
    <w:rsid w:val="00641C1E"/>
    <w:rsid w:val="007A22E9"/>
    <w:rsid w:val="00BD6705"/>
    <w:rsid w:val="00E8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1B8F2-0BA0-4E70-9CFF-F0ED5074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9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2601"/>
    <w:pPr>
      <w:keepNext/>
      <w:numPr>
        <w:ilvl w:val="2"/>
        <w:numId w:val="5"/>
      </w:numPr>
      <w:tabs>
        <w:tab w:val="left" w:pos="1276"/>
      </w:tabs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26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092601"/>
    <w:pPr>
      <w:tabs>
        <w:tab w:val="left" w:pos="1276"/>
      </w:tabs>
      <w:ind w:left="360" w:hanging="360"/>
      <w:jc w:val="both"/>
    </w:pPr>
    <w:rPr>
      <w:rFonts w:ascii="Arial Narrow" w:hAnsi="Arial Narrow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92601"/>
    <w:rPr>
      <w:rFonts w:ascii="Arial Narrow" w:eastAsia="Times New Roman" w:hAnsi="Arial Narrow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92601"/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092601"/>
    <w:rPr>
      <w:rFonts w:ascii="Arial" w:eastAsia="Times New Roman" w:hAnsi="Arial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092601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092601"/>
    <w:rPr>
      <w:rFonts w:ascii="Arial" w:eastAsia="Times New Roman" w:hAnsi="Arial" w:cs="Times New Roman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092601"/>
    <w:pPr>
      <w:ind w:left="540" w:hanging="540"/>
      <w:jc w:val="both"/>
    </w:pPr>
    <w:rPr>
      <w:rFonts w:ascii="Arial" w:hAnsi="Arial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92601"/>
    <w:rPr>
      <w:rFonts w:ascii="Arial" w:eastAsia="Times New Roman" w:hAnsi="Arial" w:cs="Times New Roman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rsid w:val="00092601"/>
    <w:pPr>
      <w:widowControl w:val="0"/>
    </w:pPr>
    <w:rPr>
      <w:rFonts w:ascii="Arial" w:hAnsi="Arial"/>
      <w:sz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09260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styleId="Hypertextovodkaz">
    <w:name w:val="Hyperlink"/>
    <w:semiHidden/>
    <w:rsid w:val="00092601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09260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6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6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1308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Gabriel</dc:creator>
  <cp:keywords/>
  <dc:description/>
  <cp:lastModifiedBy>uzivatel</cp:lastModifiedBy>
  <cp:revision>4</cp:revision>
  <dcterms:created xsi:type="dcterms:W3CDTF">2018-04-06T09:13:00Z</dcterms:created>
  <dcterms:modified xsi:type="dcterms:W3CDTF">2018-04-06T09:15:00Z</dcterms:modified>
</cp:coreProperties>
</file>