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831" w:rsidRDefault="00294B37">
      <w:pPr>
        <w:spacing w:after="1413" w:line="259" w:lineRule="auto"/>
        <w:ind w:left="10571" w:firstLine="0"/>
        <w:jc w:val="both"/>
      </w:pPr>
      <w:bookmarkStart w:id="0" w:name="_GoBack"/>
      <w:bookmarkEnd w:id="0"/>
      <w:r>
        <w:rPr>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8101619</wp:posOffset>
                </wp:positionV>
                <wp:extent cx="1291612" cy="704585"/>
                <wp:effectExtent l="0" t="0" r="0" b="0"/>
                <wp:wrapTopAndBottom/>
                <wp:docPr id="60202" name="Group 60202"/>
                <wp:cNvGraphicFramePr/>
                <a:graphic xmlns:a="http://schemas.openxmlformats.org/drawingml/2006/main">
                  <a:graphicData uri="http://schemas.microsoft.com/office/word/2010/wordprocessingGroup">
                    <wpg:wgp>
                      <wpg:cNvGrpSpPr/>
                      <wpg:grpSpPr>
                        <a:xfrm>
                          <a:off x="0" y="0"/>
                          <a:ext cx="1291612" cy="704585"/>
                          <a:chOff x="0" y="0"/>
                          <a:chExt cx="1291612" cy="704585"/>
                        </a:xfrm>
                      </wpg:grpSpPr>
                      <wps:wsp>
                        <wps:cNvPr id="6" name="Shape 6"/>
                        <wps:cNvSpPr/>
                        <wps:spPr>
                          <a:xfrm>
                            <a:off x="620420" y="359399"/>
                            <a:ext cx="336104" cy="230462"/>
                          </a:xfrm>
                          <a:custGeom>
                            <a:avLst/>
                            <a:gdLst/>
                            <a:ahLst/>
                            <a:cxnLst/>
                            <a:rect l="0" t="0" r="0" b="0"/>
                            <a:pathLst>
                              <a:path w="336104" h="230462">
                                <a:moveTo>
                                  <a:pt x="0" y="0"/>
                                </a:moveTo>
                                <a:lnTo>
                                  <a:pt x="110681" y="0"/>
                                </a:lnTo>
                                <a:lnTo>
                                  <a:pt x="110681" y="3046"/>
                                </a:lnTo>
                                <a:cubicBezTo>
                                  <a:pt x="95449" y="3046"/>
                                  <a:pt x="87326" y="11167"/>
                                  <a:pt x="87326" y="26396"/>
                                </a:cubicBezTo>
                                <a:lnTo>
                                  <a:pt x="87326" y="99495"/>
                                </a:lnTo>
                                <a:lnTo>
                                  <a:pt x="88342" y="99495"/>
                                </a:lnTo>
                                <a:lnTo>
                                  <a:pt x="230500" y="18274"/>
                                </a:lnTo>
                                <a:cubicBezTo>
                                  <a:pt x="242685" y="11168"/>
                                  <a:pt x="235577" y="3046"/>
                                  <a:pt x="227454" y="3046"/>
                                </a:cubicBezTo>
                                <a:lnTo>
                                  <a:pt x="227454" y="0"/>
                                </a:lnTo>
                                <a:lnTo>
                                  <a:pt x="328995" y="0"/>
                                </a:lnTo>
                                <a:lnTo>
                                  <a:pt x="328995" y="3046"/>
                                </a:lnTo>
                                <a:cubicBezTo>
                                  <a:pt x="312749" y="5076"/>
                                  <a:pt x="294471" y="14214"/>
                                  <a:pt x="281271" y="22336"/>
                                </a:cubicBezTo>
                                <a:lnTo>
                                  <a:pt x="153328" y="94418"/>
                                </a:lnTo>
                                <a:lnTo>
                                  <a:pt x="302595" y="209142"/>
                                </a:lnTo>
                                <a:cubicBezTo>
                                  <a:pt x="313764" y="217263"/>
                                  <a:pt x="323919" y="225385"/>
                                  <a:pt x="336104" y="227416"/>
                                </a:cubicBezTo>
                                <a:lnTo>
                                  <a:pt x="336104" y="230462"/>
                                </a:lnTo>
                                <a:lnTo>
                                  <a:pt x="233546" y="230462"/>
                                </a:lnTo>
                                <a:lnTo>
                                  <a:pt x="87326" y="113708"/>
                                </a:lnTo>
                                <a:lnTo>
                                  <a:pt x="87326" y="203050"/>
                                </a:lnTo>
                                <a:cubicBezTo>
                                  <a:pt x="87326" y="218279"/>
                                  <a:pt x="95449" y="226401"/>
                                  <a:pt x="110681" y="226401"/>
                                </a:cubicBezTo>
                                <a:lnTo>
                                  <a:pt x="110681" y="229446"/>
                                </a:lnTo>
                                <a:lnTo>
                                  <a:pt x="0" y="229446"/>
                                </a:lnTo>
                                <a:lnTo>
                                  <a:pt x="0" y="226401"/>
                                </a:lnTo>
                                <a:cubicBezTo>
                                  <a:pt x="15231" y="226401"/>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360415"/>
                            <a:ext cx="158913" cy="229446"/>
                          </a:xfrm>
                          <a:custGeom>
                            <a:avLst/>
                            <a:gdLst/>
                            <a:ahLst/>
                            <a:cxnLst/>
                            <a:rect l="0" t="0" r="0" b="0"/>
                            <a:pathLst>
                              <a:path w="158913" h="229446">
                                <a:moveTo>
                                  <a:pt x="0" y="0"/>
                                </a:moveTo>
                                <a:lnTo>
                                  <a:pt x="158913" y="0"/>
                                </a:lnTo>
                                <a:lnTo>
                                  <a:pt x="158913" y="25008"/>
                                </a:lnTo>
                                <a:lnTo>
                                  <a:pt x="143174" y="24365"/>
                                </a:lnTo>
                                <a:cubicBezTo>
                                  <a:pt x="126927" y="24365"/>
                                  <a:pt x="107635" y="25381"/>
                                  <a:pt x="86311" y="27411"/>
                                </a:cubicBezTo>
                                <a:lnTo>
                                  <a:pt x="86311" y="95433"/>
                                </a:lnTo>
                                <a:cubicBezTo>
                                  <a:pt x="86311" y="95433"/>
                                  <a:pt x="108650" y="96448"/>
                                  <a:pt x="123881" y="96448"/>
                                </a:cubicBezTo>
                                <a:cubicBezTo>
                                  <a:pt x="133401" y="96320"/>
                                  <a:pt x="142016" y="96067"/>
                                  <a:pt x="149804" y="95669"/>
                                </a:cubicBezTo>
                                <a:lnTo>
                                  <a:pt x="158913" y="94952"/>
                                </a:lnTo>
                                <a:lnTo>
                                  <a:pt x="158913" y="121152"/>
                                </a:lnTo>
                                <a:lnTo>
                                  <a:pt x="135558" y="120465"/>
                                </a:lnTo>
                                <a:cubicBezTo>
                                  <a:pt x="118994" y="120751"/>
                                  <a:pt x="102050" y="121829"/>
                                  <a:pt x="86311" y="122844"/>
                                </a:cubicBezTo>
                                <a:lnTo>
                                  <a:pt x="86311" y="184774"/>
                                </a:lnTo>
                                <a:cubicBezTo>
                                  <a:pt x="86311" y="192896"/>
                                  <a:pt x="96465" y="202033"/>
                                  <a:pt x="109665" y="202033"/>
                                </a:cubicBezTo>
                                <a:cubicBezTo>
                                  <a:pt x="123881" y="203049"/>
                                  <a:pt x="158405" y="203049"/>
                                  <a:pt x="158405" y="203049"/>
                                </a:cubicBezTo>
                                <a:lnTo>
                                  <a:pt x="158913" y="203022"/>
                                </a:lnTo>
                                <a:lnTo>
                                  <a:pt x="158913" y="229446"/>
                                </a:lnTo>
                                <a:lnTo>
                                  <a:pt x="0" y="229446"/>
                                </a:lnTo>
                                <a:lnTo>
                                  <a:pt x="0" y="226400"/>
                                </a:lnTo>
                                <a:cubicBezTo>
                                  <a:pt x="15231" y="226400"/>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360415"/>
                            <a:ext cx="141651" cy="229446"/>
                          </a:xfrm>
                          <a:custGeom>
                            <a:avLst/>
                            <a:gdLst/>
                            <a:ahLst/>
                            <a:cxnLst/>
                            <a:rect l="0" t="0" r="0" b="0"/>
                            <a:pathLst>
                              <a:path w="141651" h="229446">
                                <a:moveTo>
                                  <a:pt x="0" y="0"/>
                                </a:moveTo>
                                <a:lnTo>
                                  <a:pt x="24878" y="0"/>
                                </a:lnTo>
                                <a:cubicBezTo>
                                  <a:pt x="101034" y="0"/>
                                  <a:pt x="127435" y="24366"/>
                                  <a:pt x="127435" y="52793"/>
                                </a:cubicBezTo>
                                <a:cubicBezTo>
                                  <a:pt x="127435" y="91372"/>
                                  <a:pt x="86819" y="104570"/>
                                  <a:pt x="48233" y="107617"/>
                                </a:cubicBezTo>
                                <a:cubicBezTo>
                                  <a:pt x="88849" y="107616"/>
                                  <a:pt x="141651" y="120814"/>
                                  <a:pt x="141651" y="163455"/>
                                </a:cubicBezTo>
                                <a:cubicBezTo>
                                  <a:pt x="141651" y="203050"/>
                                  <a:pt x="104080" y="228431"/>
                                  <a:pt x="14724" y="229446"/>
                                </a:cubicBezTo>
                                <a:lnTo>
                                  <a:pt x="0" y="229446"/>
                                </a:lnTo>
                                <a:lnTo>
                                  <a:pt x="0" y="203022"/>
                                </a:lnTo>
                                <a:lnTo>
                                  <a:pt x="24624" y="201701"/>
                                </a:lnTo>
                                <a:cubicBezTo>
                                  <a:pt x="49755" y="198607"/>
                                  <a:pt x="72602" y="189089"/>
                                  <a:pt x="72602" y="162439"/>
                                </a:cubicBezTo>
                                <a:cubicBezTo>
                                  <a:pt x="72602" y="135027"/>
                                  <a:pt x="46578" y="124640"/>
                                  <a:pt x="12603" y="121522"/>
                                </a:cubicBezTo>
                                <a:lnTo>
                                  <a:pt x="0" y="121152"/>
                                </a:lnTo>
                                <a:lnTo>
                                  <a:pt x="0" y="94952"/>
                                </a:lnTo>
                                <a:lnTo>
                                  <a:pt x="11852" y="94021"/>
                                </a:lnTo>
                                <a:cubicBezTo>
                                  <a:pt x="49121" y="89785"/>
                                  <a:pt x="59402" y="79697"/>
                                  <a:pt x="59402" y="59899"/>
                                </a:cubicBezTo>
                                <a:cubicBezTo>
                                  <a:pt x="59402" y="36295"/>
                                  <a:pt x="38269" y="28109"/>
                                  <a:pt x="11852" y="25491"/>
                                </a:cubicBezTo>
                                <a:lnTo>
                                  <a:pt x="0" y="25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3" name="Shape 93473"/>
                        <wps:cNvSpPr/>
                        <wps:spPr>
                          <a:xfrm>
                            <a:off x="0" y="24366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93474" name="Shape 93474"/>
                        <wps:cNvSpPr/>
                        <wps:spPr>
                          <a:xfrm>
                            <a:off x="0" y="47412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5" name="Shape 93475"/>
                        <wps:cNvSpPr/>
                        <wps:spPr>
                          <a:xfrm>
                            <a:off x="97480" y="47412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1079" y="13198"/>
                            <a:ext cx="25893" cy="49747"/>
                          </a:xfrm>
                          <a:custGeom>
                            <a:avLst/>
                            <a:gdLst/>
                            <a:ahLst/>
                            <a:cxnLst/>
                            <a:rect l="0" t="0" r="0" b="0"/>
                            <a:pathLst>
                              <a:path w="25893" h="49747">
                                <a:moveTo>
                                  <a:pt x="22339" y="0"/>
                                </a:moveTo>
                                <a:lnTo>
                                  <a:pt x="25893" y="0"/>
                                </a:lnTo>
                                <a:lnTo>
                                  <a:pt x="25893" y="8223"/>
                                </a:lnTo>
                                <a:lnTo>
                                  <a:pt x="25386"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015" y="13198"/>
                            <a:ext cx="47725" cy="49747"/>
                          </a:xfrm>
                          <a:custGeom>
                            <a:avLst/>
                            <a:gdLst/>
                            <a:ahLst/>
                            <a:cxnLst/>
                            <a:rect l="0" t="0" r="0" b="0"/>
                            <a:pathLst>
                              <a:path w="47725" h="49747">
                                <a:moveTo>
                                  <a:pt x="0" y="0"/>
                                </a:moveTo>
                                <a:lnTo>
                                  <a:pt x="8123"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88868" y="13198"/>
                            <a:ext cx="20308" cy="49747"/>
                          </a:xfrm>
                          <a:custGeom>
                            <a:avLst/>
                            <a:gdLst/>
                            <a:ahLst/>
                            <a:cxnLst/>
                            <a:rect l="0" t="0" r="0" b="0"/>
                            <a:pathLst>
                              <a:path w="20308" h="49747">
                                <a:moveTo>
                                  <a:pt x="0" y="0"/>
                                </a:moveTo>
                                <a:lnTo>
                                  <a:pt x="20308" y="0"/>
                                </a:lnTo>
                                <a:lnTo>
                                  <a:pt x="20308" y="6091"/>
                                </a:lnTo>
                                <a:lnTo>
                                  <a:pt x="6093" y="6091"/>
                                </a:lnTo>
                                <a:lnTo>
                                  <a:pt x="6093" y="23351"/>
                                </a:lnTo>
                                <a:lnTo>
                                  <a:pt x="20308" y="23351"/>
                                </a:lnTo>
                                <a:lnTo>
                                  <a:pt x="20308" y="29442"/>
                                </a:lnTo>
                                <a:lnTo>
                                  <a:pt x="7108" y="2944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96972"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48778"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9176" y="13198"/>
                            <a:ext cx="22339" cy="30458"/>
                          </a:xfrm>
                          <a:custGeom>
                            <a:avLst/>
                            <a:gdLst/>
                            <a:ahLst/>
                            <a:cxnLst/>
                            <a:rect l="0" t="0" r="0" b="0"/>
                            <a:pathLst>
                              <a:path w="22339" h="30458">
                                <a:moveTo>
                                  <a:pt x="0" y="0"/>
                                </a:moveTo>
                                <a:lnTo>
                                  <a:pt x="5077" y="0"/>
                                </a:lnTo>
                                <a:cubicBezTo>
                                  <a:pt x="16247" y="0"/>
                                  <a:pt x="22339" y="5076"/>
                                  <a:pt x="22339" y="14213"/>
                                </a:cubicBezTo>
                                <a:cubicBezTo>
                                  <a:pt x="22339" y="24366"/>
                                  <a:pt x="16247" y="30458"/>
                                  <a:pt x="6092" y="29442"/>
                                </a:cubicBezTo>
                                <a:lnTo>
                                  <a:pt x="0" y="29442"/>
                                </a:lnTo>
                                <a:lnTo>
                                  <a:pt x="0" y="23351"/>
                                </a:lnTo>
                                <a:lnTo>
                                  <a:pt x="4062" y="23351"/>
                                </a:lnTo>
                                <a:cubicBezTo>
                                  <a:pt x="12185" y="23351"/>
                                  <a:pt x="14216" y="19289"/>
                                  <a:pt x="14216" y="14213"/>
                                </a:cubicBezTo>
                                <a:cubicBezTo>
                                  <a:pt x="14216" y="10153"/>
                                  <a:pt x="11170" y="6091"/>
                                  <a:pt x="5077" y="6091"/>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24934"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74671"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602143"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48288" y="14214"/>
                            <a:ext cx="23355" cy="49748"/>
                          </a:xfrm>
                          <a:custGeom>
                            <a:avLst/>
                            <a:gdLst/>
                            <a:ahLst/>
                            <a:cxnLst/>
                            <a:rect l="0" t="0" r="0" b="0"/>
                            <a:pathLst>
                              <a:path w="23355" h="49748">
                                <a:moveTo>
                                  <a:pt x="0" y="0"/>
                                </a:moveTo>
                                <a:lnTo>
                                  <a:pt x="8123" y="0"/>
                                </a:lnTo>
                                <a:cubicBezTo>
                                  <a:pt x="17262" y="0"/>
                                  <a:pt x="21324" y="7107"/>
                                  <a:pt x="21324" y="13198"/>
                                </a:cubicBezTo>
                                <a:cubicBezTo>
                                  <a:pt x="21324" y="19290"/>
                                  <a:pt x="18277" y="23351"/>
                                  <a:pt x="13200" y="25381"/>
                                </a:cubicBezTo>
                                <a:cubicBezTo>
                                  <a:pt x="17262" y="25381"/>
                                  <a:pt x="19293" y="29442"/>
                                  <a:pt x="21324" y="36550"/>
                                </a:cubicBezTo>
                                <a:cubicBezTo>
                                  <a:pt x="21324" y="45686"/>
                                  <a:pt x="21324" y="47717"/>
                                  <a:pt x="23355" y="49748"/>
                                </a:cubicBezTo>
                                <a:lnTo>
                                  <a:pt x="15231" y="49748"/>
                                </a:lnTo>
                                <a:cubicBezTo>
                                  <a:pt x="13200" y="48733"/>
                                  <a:pt x="13200" y="46702"/>
                                  <a:pt x="13200" y="40611"/>
                                </a:cubicBezTo>
                                <a:cubicBezTo>
                                  <a:pt x="12185" y="31472"/>
                                  <a:pt x="9139" y="28426"/>
                                  <a:pt x="3046" y="28426"/>
                                </a:cubicBezTo>
                                <a:lnTo>
                                  <a:pt x="0" y="28426"/>
                                </a:lnTo>
                                <a:lnTo>
                                  <a:pt x="0" y="21320"/>
                                </a:lnTo>
                                <a:lnTo>
                                  <a:pt x="5077" y="21320"/>
                                </a:lnTo>
                                <a:cubicBezTo>
                                  <a:pt x="12185" y="21320"/>
                                  <a:pt x="13200"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34110"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59984" y="13198"/>
                            <a:ext cx="47725" cy="49747"/>
                          </a:xfrm>
                          <a:custGeom>
                            <a:avLst/>
                            <a:gdLst/>
                            <a:ahLst/>
                            <a:cxnLst/>
                            <a:rect l="0" t="0" r="0" b="0"/>
                            <a:pathLst>
                              <a:path w="47725" h="49747">
                                <a:moveTo>
                                  <a:pt x="0" y="0"/>
                                </a:moveTo>
                                <a:lnTo>
                                  <a:pt x="8124"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89920"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25497" y="14214"/>
                            <a:ext cx="23355" cy="49748"/>
                          </a:xfrm>
                          <a:custGeom>
                            <a:avLst/>
                            <a:gdLst/>
                            <a:ahLst/>
                            <a:cxnLst/>
                            <a:rect l="0" t="0" r="0" b="0"/>
                            <a:pathLst>
                              <a:path w="23355" h="49748">
                                <a:moveTo>
                                  <a:pt x="0" y="0"/>
                                </a:moveTo>
                                <a:lnTo>
                                  <a:pt x="8124" y="0"/>
                                </a:lnTo>
                                <a:cubicBezTo>
                                  <a:pt x="17262" y="0"/>
                                  <a:pt x="21324" y="7107"/>
                                  <a:pt x="21324" y="13198"/>
                                </a:cubicBezTo>
                                <a:cubicBezTo>
                                  <a:pt x="21324" y="19290"/>
                                  <a:pt x="18278" y="23351"/>
                                  <a:pt x="13201" y="25381"/>
                                </a:cubicBezTo>
                                <a:cubicBezTo>
                                  <a:pt x="17262" y="25381"/>
                                  <a:pt x="20308" y="29442"/>
                                  <a:pt x="21324" y="36550"/>
                                </a:cubicBezTo>
                                <a:cubicBezTo>
                                  <a:pt x="21324" y="45686"/>
                                  <a:pt x="21324" y="47717"/>
                                  <a:pt x="23355" y="49748"/>
                                </a:cubicBezTo>
                                <a:lnTo>
                                  <a:pt x="15231" y="49748"/>
                                </a:lnTo>
                                <a:cubicBezTo>
                                  <a:pt x="13201" y="48733"/>
                                  <a:pt x="13201" y="46702"/>
                                  <a:pt x="13201" y="40611"/>
                                </a:cubicBezTo>
                                <a:cubicBezTo>
                                  <a:pt x="12185" y="31472"/>
                                  <a:pt x="9139" y="28426"/>
                                  <a:pt x="3046" y="28426"/>
                                </a:cubicBezTo>
                                <a:lnTo>
                                  <a:pt x="0" y="28426"/>
                                </a:lnTo>
                                <a:lnTo>
                                  <a:pt x="0" y="21320"/>
                                </a:lnTo>
                                <a:lnTo>
                                  <a:pt x="5077" y="21320"/>
                                </a:lnTo>
                                <a:cubicBezTo>
                                  <a:pt x="12185" y="21320"/>
                                  <a:pt x="14216"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007295"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42308"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6" name="Shape 93476"/>
                        <wps:cNvSpPr/>
                        <wps:spPr>
                          <a:xfrm>
                            <a:off x="869198"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95072" y="13198"/>
                            <a:ext cx="51786" cy="49747"/>
                          </a:xfrm>
                          <a:custGeom>
                            <a:avLst/>
                            <a:gdLst/>
                            <a:ahLst/>
                            <a:cxnLst/>
                            <a:rect l="0" t="0" r="0" b="0"/>
                            <a:pathLst>
                              <a:path w="51786" h="49747">
                                <a:moveTo>
                                  <a:pt x="0" y="0"/>
                                </a:moveTo>
                                <a:lnTo>
                                  <a:pt x="8123" y="0"/>
                                </a:lnTo>
                                <a:lnTo>
                                  <a:pt x="26401" y="42640"/>
                                </a:lnTo>
                                <a:lnTo>
                                  <a:pt x="43663" y="0"/>
                                </a:lnTo>
                                <a:lnTo>
                                  <a:pt x="51786" y="0"/>
                                </a:lnTo>
                                <a:lnTo>
                                  <a:pt x="29447" y="49747"/>
                                </a:lnTo>
                                <a:lnTo>
                                  <a:pt x="22339"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732116"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668145" y="12184"/>
                            <a:ext cx="44678" cy="51778"/>
                          </a:xfrm>
                          <a:custGeom>
                            <a:avLst/>
                            <a:gdLst/>
                            <a:ahLst/>
                            <a:cxnLst/>
                            <a:rect l="0" t="0" r="0" b="0"/>
                            <a:pathLst>
                              <a:path w="44678" h="51778">
                                <a:moveTo>
                                  <a:pt x="21324" y="0"/>
                                </a:moveTo>
                                <a:cubicBezTo>
                                  <a:pt x="31478" y="0"/>
                                  <a:pt x="41632" y="3046"/>
                                  <a:pt x="42648" y="15229"/>
                                </a:cubicBezTo>
                                <a:lnTo>
                                  <a:pt x="35540" y="15229"/>
                                </a:lnTo>
                                <a:cubicBezTo>
                                  <a:pt x="34524" y="11168"/>
                                  <a:pt x="32493" y="6091"/>
                                  <a:pt x="20308" y="6091"/>
                                </a:cubicBezTo>
                                <a:cubicBezTo>
                                  <a:pt x="15231" y="6091"/>
                                  <a:pt x="9139" y="8122"/>
                                  <a:pt x="9139" y="14213"/>
                                </a:cubicBezTo>
                                <a:cubicBezTo>
                                  <a:pt x="9139" y="17259"/>
                                  <a:pt x="11170" y="20303"/>
                                  <a:pt x="17262" y="20305"/>
                                </a:cubicBezTo>
                                <a:lnTo>
                                  <a:pt x="29447" y="22336"/>
                                </a:lnTo>
                                <a:cubicBezTo>
                                  <a:pt x="33509" y="23351"/>
                                  <a:pt x="44678" y="25381"/>
                                  <a:pt x="44678" y="35534"/>
                                </a:cubicBezTo>
                                <a:cubicBezTo>
                                  <a:pt x="44678" y="47716"/>
                                  <a:pt x="33509" y="51778"/>
                                  <a:pt x="23355" y="51778"/>
                                </a:cubicBezTo>
                                <a:cubicBezTo>
                                  <a:pt x="12185" y="51778"/>
                                  <a:pt x="0" y="48733"/>
                                  <a:pt x="0" y="34519"/>
                                </a:cubicBezTo>
                                <a:lnTo>
                                  <a:pt x="7108" y="34519"/>
                                </a:lnTo>
                                <a:cubicBezTo>
                                  <a:pt x="7108" y="43655"/>
                                  <a:pt x="16247" y="45686"/>
                                  <a:pt x="23355" y="45686"/>
                                </a:cubicBezTo>
                                <a:cubicBezTo>
                                  <a:pt x="30462" y="45686"/>
                                  <a:pt x="36555" y="42641"/>
                                  <a:pt x="36555" y="37564"/>
                                </a:cubicBezTo>
                                <a:cubicBezTo>
                                  <a:pt x="36555" y="33503"/>
                                  <a:pt x="33509" y="31472"/>
                                  <a:pt x="27416" y="30456"/>
                                </a:cubicBezTo>
                                <a:lnTo>
                                  <a:pt x="16247" y="28427"/>
                                </a:lnTo>
                                <a:cubicBezTo>
                                  <a:pt x="10154" y="27412"/>
                                  <a:pt x="1015" y="25381"/>
                                  <a:pt x="1015" y="15229"/>
                                </a:cubicBezTo>
                                <a:cubicBezTo>
                                  <a:pt x="1015" y="6091"/>
                                  <a:pt x="8123" y="0"/>
                                  <a:pt x="21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028618" y="2538"/>
                            <a:ext cx="4569" cy="7614"/>
                          </a:xfrm>
                          <a:custGeom>
                            <a:avLst/>
                            <a:gdLst/>
                            <a:ahLst/>
                            <a:cxnLst/>
                            <a:rect l="0" t="0" r="0" b="0"/>
                            <a:pathLst>
                              <a:path w="4569" h="7614">
                                <a:moveTo>
                                  <a:pt x="4569" y="0"/>
                                </a:moveTo>
                                <a:lnTo>
                                  <a:pt x="4569" y="7614"/>
                                </a:lnTo>
                                <a:lnTo>
                                  <a:pt x="0" y="7614"/>
                                </a:lnTo>
                                <a:lnTo>
                                  <a:pt x="45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868182" y="0"/>
                            <a:ext cx="15231" cy="10152"/>
                          </a:xfrm>
                          <a:custGeom>
                            <a:avLst/>
                            <a:gdLst/>
                            <a:ahLst/>
                            <a:cxnLst/>
                            <a:rect l="0" t="0" r="0" b="0"/>
                            <a:pathLst>
                              <a:path w="15231" h="10152">
                                <a:moveTo>
                                  <a:pt x="6093" y="0"/>
                                </a:moveTo>
                                <a:lnTo>
                                  <a:pt x="15231" y="0"/>
                                </a:lnTo>
                                <a:lnTo>
                                  <a:pt x="6093" y="10152"/>
                                </a:lnTo>
                                <a:lnTo>
                                  <a:pt x="0" y="10152"/>
                                </a:lnTo>
                                <a:lnTo>
                                  <a:pt x="6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7" name="Shape 93477"/>
                        <wps:cNvSpPr/>
                        <wps:spPr>
                          <a:xfrm>
                            <a:off x="1277396"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206316"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43361"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83451" y="13198"/>
                            <a:ext cx="37570" cy="49747"/>
                          </a:xfrm>
                          <a:custGeom>
                            <a:avLst/>
                            <a:gdLst/>
                            <a:ahLst/>
                            <a:cxnLst/>
                            <a:rect l="0" t="0" r="0" b="0"/>
                            <a:pathLst>
                              <a:path w="37570" h="49747">
                                <a:moveTo>
                                  <a:pt x="0" y="0"/>
                                </a:moveTo>
                                <a:lnTo>
                                  <a:pt x="7108" y="0"/>
                                </a:lnTo>
                                <a:lnTo>
                                  <a:pt x="7108" y="43655"/>
                                </a:lnTo>
                                <a:lnTo>
                                  <a:pt x="37570" y="43655"/>
                                </a:lnTo>
                                <a:lnTo>
                                  <a:pt x="37570"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33188"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7"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276380" y="0"/>
                            <a:ext cx="15231" cy="10152"/>
                          </a:xfrm>
                          <a:custGeom>
                            <a:avLst/>
                            <a:gdLst/>
                            <a:ahLst/>
                            <a:cxnLst/>
                            <a:rect l="0" t="0" r="0" b="0"/>
                            <a:pathLst>
                              <a:path w="15231" h="10152">
                                <a:moveTo>
                                  <a:pt x="6092" y="0"/>
                                </a:moveTo>
                                <a:lnTo>
                                  <a:pt x="15231" y="0"/>
                                </a:lnTo>
                                <a:lnTo>
                                  <a:pt x="6092" y="10152"/>
                                </a:lnTo>
                                <a:lnTo>
                                  <a:pt x="0" y="10152"/>
                                </a:lnTo>
                                <a:lnTo>
                                  <a:pt x="60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216470" y="0"/>
                            <a:ext cx="26401" cy="10152"/>
                          </a:xfrm>
                          <a:custGeom>
                            <a:avLst/>
                            <a:gdLst/>
                            <a:ahLst/>
                            <a:cxnLst/>
                            <a:rect l="0" t="0" r="0" b="0"/>
                            <a:pathLst>
                              <a:path w="26401" h="10152">
                                <a:moveTo>
                                  <a:pt x="0" y="0"/>
                                </a:moveTo>
                                <a:lnTo>
                                  <a:pt x="7108" y="0"/>
                                </a:lnTo>
                                <a:lnTo>
                                  <a:pt x="13201" y="6091"/>
                                </a:lnTo>
                                <a:lnTo>
                                  <a:pt x="19293" y="0"/>
                                </a:lnTo>
                                <a:lnTo>
                                  <a:pt x="26401" y="0"/>
                                </a:lnTo>
                                <a:lnTo>
                                  <a:pt x="17262" y="10152"/>
                                </a:lnTo>
                                <a:lnTo>
                                  <a:pt x="9139" y="10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033188" y="0"/>
                            <a:ext cx="10662" cy="10152"/>
                          </a:xfrm>
                          <a:custGeom>
                            <a:avLst/>
                            <a:gdLst/>
                            <a:ahLst/>
                            <a:cxnLst/>
                            <a:rect l="0" t="0" r="0" b="0"/>
                            <a:pathLst>
                              <a:path w="10662" h="10152">
                                <a:moveTo>
                                  <a:pt x="1523" y="0"/>
                                </a:moveTo>
                                <a:lnTo>
                                  <a:pt x="10662" y="0"/>
                                </a:lnTo>
                                <a:lnTo>
                                  <a:pt x="1523" y="10152"/>
                                </a:lnTo>
                                <a:lnTo>
                                  <a:pt x="0" y="10152"/>
                                </a:lnTo>
                                <a:lnTo>
                                  <a:pt x="0" y="2538"/>
                                </a:lnTo>
                                <a:lnTo>
                                  <a:pt x="15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A20DA8" id="Group 60202" o:spid="_x0000_s1026" style="position:absolute;margin-left:93.25pt;margin-top:637.9pt;width:101.7pt;height:55.5pt;z-index:251658240;mso-position-horizontal-relative:page;mso-position-vertical-relative:page" coordsize="12916,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">
                <v:shape id="Shape 6" o:spid="_x0000_s1027" style="position:absolute;left:6204;top:3593;width:3361;height:2305;visibility:visible;mso-wrap-style:square;v-text-anchor:top" coordsize="336104,23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J2MIA&#10;AADaAAAADwAAAGRycy9kb3ducmV2LnhtbESPwWrDMBBE74X+g9hALyaR20MITmQTAqW9tXZDobfF&#10;Wlsm1spYsuP8fVQo9DjMzBvmUCy2FzONvnOs4HmTgiCune64VXD+el3vQPiArLF3TApu5KHIHx8O&#10;mGl35ZLmKrQiQthnqMCEMGRS+tqQRb9xA3H0GjdaDFGOrdQjXiPc9vIlTbfSYsdxweBAJ0P1pZqs&#10;gl1rsOKkKT/s1ODP57d3yVut1NNqOe5BBFrCf/iv/a4VbOH3Srw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QnYwgAAANoAAAAPAAAAAAAAAAAAAAAAAJgCAABkcnMvZG93&#10;bnJldi54bWxQSwUGAAAAAAQABAD1AAAAhwMAAAAA&#10;" path="m,l110681,r,3046c95449,3046,87326,11167,87326,26396r,73099l88342,99495,230500,18274c242685,11168,235577,3046,227454,3046r,-3046l328995,r,3046c312749,5076,294471,14214,281271,22336l153328,94418,302595,209142v11169,8121,21324,16243,33509,18274l336104,230462r-102558,l87326,113708r,89342c87326,218279,95449,226401,110681,226401r,3045l,229446r,-3045c15231,226401,23355,218279,23355,203050r,-176654c23355,11167,15231,3046,,3046l,xe" fillcolor="black" stroked="f" strokeweight="0">
                  <v:stroke miterlimit="83231f" joinstyle="miter"/>
                  <v:path arrowok="t" textboxrect="0,0,336104,230462"/>
                </v:shape>
                <v:shape id="Shape 7" o:spid="_x0000_s1028" style="position:absolute;left:9910;top:3604;width:1589;height:2294;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8l143174,24365v-16247,,-35539,1016,-56863,3046l86311,95433v,,22339,1015,37570,1015c133401,96320,142016,96067,149804,95669r9109,-717l158913,121152r-23355,-687c118994,120751,102050,121829,86311,122844r,61930c86311,192896,96465,202033,109665,202033v14216,1016,48740,1016,48740,1016l158913,203022r,26424l,229446r,-3046c15231,226400,23355,218279,23355,203050r,-176654c23355,11167,15231,3046,,3046l,xe" fillcolor="black" stroked="f" strokeweight="0">
                  <v:stroke miterlimit="83231f" joinstyle="miter"/>
                  <v:path arrowok="t" textboxrect="0,0,158913,229446"/>
                </v:shape>
                <v:shape id="Shape 8" o:spid="_x0000_s1029" style="position:absolute;left:11499;top:3604;width:1417;height:2294;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6,102557,52793c127435,91372,86819,104570,48233,107617v40616,-1,93418,13197,93418,55838c141651,203050,104080,228431,14724,229446l,229446,,203022r24624,-1321c49755,198607,72602,189089,72602,162439v,-27412,-26024,-37799,-59999,-40917l,121152,,94952r11852,-931c49121,89785,59402,79697,59402,59899,59402,36295,38269,28109,11852,25491l,25008,,xe" fillcolor="black" stroked="f" strokeweight="0">
                  <v:stroke miterlimit="83231f" joinstyle="miter"/>
                  <v:path arrowok="t" textboxrect="0,0,141651,229446"/>
                </v:shape>
                <v:shape id="Shape 93473" o:spid="_x0000_s1030" style="position:absolute;top:2436;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n1sgA&#10;AADeAAAADwAAAGRycy9kb3ducmV2LnhtbESPQWvCQBSE74X+h+UVvNVNq2hMXcVaBBGLqC30+Mi+&#10;JsHs25jdJvHfu4LQ4zAz3zDTeWdK0VDtCssKXvoRCOLU6oIzBV/H1XMMwnlkjaVlUnAhB/PZ48MU&#10;E21b3lNz8JkIEHYJKsi9rxIpXZqTQde3FXHwfm1t0AdZZ1LX2Aa4KeVrFI2kwYLDQo4VLXNKT4c/&#10;o+Bz02JTjdfD3ejn+/0jPm3PuHBK9Z66xRsIT53/D9/ba61gMhiOB3C7E66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ZmfWyAAAAN4AAAAPAAAAAAAAAAAAAAAAAJgCAABk&#10;cnMvZG93bnJldi54bWxQSwUGAAAAAAQABAD1AAAAjQMAAAAA&#10;" path="m,l461000,r,234524l,234524,,e" fillcolor="#c03" stroked="f" strokeweight="0">
                  <v:stroke miterlimit="83231f" joinstyle="miter"/>
                  <v:path arrowok="t" textboxrect="0,0,461000,234524"/>
                </v:shape>
                <v:shape id="Shape 93474" o:spid="_x0000_s1031" style="position:absolute;top:4741;width:4610;height:2304;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RIMcA&#10;AADeAAAADwAAAGRycy9kb3ducmV2LnhtbESPQWsCMRSE70L/Q3iF3jTpVtRujaJCixcPrqX0+Ni8&#10;bhY3L8smq9t/3xQEj8PMfMMs14NrxIW6UHvW8DxRIIhLb2quNHye3scLECEiG2w8k4ZfCrBePYyW&#10;mBt/5SNdiliJBOGQowYbY5tLGUpLDsPEt8TJ+/Gdw5hkV0nT4TXBXSMzpWbSYc1pwWJLO0vlueid&#10;BrflxVkVu32Z9dlBffcfW7v50vrpcdi8gYg0xHv41t4bDa8v0/kU/u+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NkSDHAAAA3gAAAA8AAAAAAAAAAAAAAAAAmAIAAGRy&#10;cy9kb3ducmV2LnhtbFBLBQYAAAAABAAEAPUAAACMAwAAAAA=&#10;" path="m,l461000,r,230463l,230463,,e" fillcolor="black" stroked="f" strokeweight="0">
                  <v:stroke miterlimit="83231f" joinstyle="miter"/>
                  <v:path arrowok="t" textboxrect="0,0,461000,230463"/>
                </v:shape>
                <v:shape id="Shape 93475" o:spid="_x0000_s1032" style="position:absolute;left:974;top:4741;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pAckA&#10;AADeAAAADwAAAGRycy9kb3ducmV2LnhtbESPS2/CMBCE75X6H6yt1Ftx2kJDUwyCCiROSLwO3Lbx&#10;5lHidRS7IfDrMRJSj6OZ+UYzmnSmEi01rrSs4LUXgSBOrS45V7DbLl6GIJxH1lhZJgVncjAZPz6M&#10;MNH2xGtqNz4XAcIuQQWF93UipUsLMuh6tiYOXmYbgz7IJpe6wVOAm0q+RdGHNFhyWCiwpu+C0uPm&#10;zyiYLS7xD/+uytV6sOVsnx8PbTZX6vmpm36B8NT5//C9vdQKPt/78QBud8IVkO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UNpAckAAADeAAAADwAAAAAAAAAAAAAAAACYAgAA&#10;ZHJzL2Rvd25yZXYueG1sUEsFBgAAAAAEAAQA9QAAAI4DAAAAAA==&#10;" path="m,l264009,r,22336l,22336,,e" stroked="f" strokeweight="0">
                  <v:stroke miterlimit="83231f" joinstyle="miter"/>
                  <v:path arrowok="t" textboxrect="0,0,264009,22336"/>
                </v:shape>
                <v:shape id="Shape 12" o:spid="_x0000_s1033" style="position:absolute;left:710;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iv8QA&#10;AADbAAAADwAAAGRycy9kb3ducmV2LnhtbESPQWvCQBCF74L/YRnBm24MtkjqKhJQBHvRVmhv0+yY&#10;BLOzIbua6K93C4K3Gd773ryZLztTiSs1rrSsYDKOQBBnVpecK/j+Wo9mIJxH1lhZJgU3crBc9Htz&#10;TLRteU/Xg89FCGGXoILC+zqR0mUFGXRjWxMH7WQbgz6sTS51g20IN5WMo+hdGiw5XCiwprSg7Hy4&#10;mFDj7zO1m/jtt92tnN5P7j/5MZ0qNRx0qw8Qnjr/Mj/prQ5cDP+/hAH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4r/EAAAA2wAAAA8AAAAAAAAAAAAAAAAAmAIAAGRycy9k&#10;b3ducmV2LnhtbFBLBQYAAAAABAAEAPUAAACJAwAAAAA=&#10;" path="m22339,r3554,l25893,8223,25386,7107,16247,29442r9646,l25893,35533r-11677,l8123,49747,,49747,22339,xe" fillcolor="black" stroked="f" strokeweight="0">
                  <v:stroke miterlimit="83231f" joinstyle="miter"/>
                  <v:path arrowok="t" textboxrect="0,0,25893,49747"/>
                </v:shape>
                <v:shape id="Shape 13" o:spid="_x0000_s1034" style="position:absolute;left:10;top:131;width:477;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zdsAA&#10;AADbAAAADwAAAGRycy9kb3ducmV2LnhtbERPS2rDMBDdF3IHMYHuGjltKMGxEkKwqRfdNO0BBmts&#10;mVgjIymxe/sqEOhuHu87xWG2g7iRD71jBetVBoK4cbrnTsHPd/WyBREissbBMSn4pQCH/eKpwFy7&#10;ib/odo6dSCEcclRgYhxzKUNjyGJYuZE4ca3zFmOCvpPa45TC7SBfs+xdWuw5NRgc6WSouZyvVsGm&#10;/sRN6Y92vpSyrNqPylyxUup5OR93ICLN8V/8cNc6zX+D+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nzdsAAAADbAAAADwAAAAAAAAAAAAAAAACYAgAAZHJzL2Rvd25y&#10;ZXYueG1sUEsFBgAAAAAEAAQA9QAAAIUDAAAAAA==&#10;" path="m,l8123,,40617,39594,40617,r7108,l47725,49747r-9139,l7108,10152r,39595l,49747,,xe" fillcolor="black" stroked="f" strokeweight="0">
                  <v:stroke miterlimit="83231f" joinstyle="miter"/>
                  <v:path arrowok="t" textboxrect="0,0,47725,49747"/>
                </v:shape>
                <v:shape id="Shape 14" o:spid="_x0000_s1035" style="position:absolute;left:1888;top:131;width:203;height:498;visibility:visible;mso-wrap-style:square;v-text-anchor:top" coordsize="20308,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bTMIA&#10;AADbAAAADwAAAGRycy9kb3ducmV2LnhtbERPS4vCMBC+C/6HMMJeRFOXXZVqFPGxeBDFB56HZmyL&#10;zaQ02Vr//UZY8DYf33Om88YUoqbK5ZYVDPoRCOLE6pxTBZfzpjcG4TyyxsIyKXiSg/ms3ZpirO2D&#10;j1SffCpCCLsYFWTel7GULsnIoOvbkjhwN1sZ9AFWqdQVPkK4KeRnFA2lwZxDQ4YlLTNK7qdfo6D7&#10;s+vSut645/X+vW7sYbUf0Vmpj06zmIDw1Pi3+N+91WH+F7x+C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1tMwgAAANsAAAAPAAAAAAAAAAAAAAAAAJgCAABkcnMvZG93&#10;bnJldi54bWxQSwUGAAAAAAQABAD1AAAAhwMAAAAA&#10;" path="m,l20308,r,6091l6093,6091r,17260l20308,23351r,6091l7108,29442r,20305l,49747,,xe" fillcolor="black" stroked="f" strokeweight="0">
                  <v:stroke miterlimit="83231f" joinstyle="miter"/>
                  <v:path arrowok="t" textboxrect="0,0,20308,49747"/>
                </v:shape>
                <v:shape id="Shape 15" o:spid="_x0000_s1036" style="position:absolute;left:969;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b8cYA&#10;AADbAAAADwAAAGRycy9kb3ducmV2LnhtbESPQWvCQBCF70L/wzKFXqRuWtG2qauUoEXBi9FCj0N2&#10;mkSzszG7auqvdwXB2wzvzfvejCatqcSRGldaVvDSi0AQZ1aXnCvYrGfP7yCcR9ZYWSYF/+RgMn7o&#10;jDDW9sQrOqY+FyGEXYwKCu/rWEqXFWTQ9WxNHLQ/2xj0YW1yqRs8hXBTydcoGkqDJQdCgTUlBWW7&#10;9GACd9Hf7+3vFj+mg7fzd5cTufxJlHp6bL8+QXhq/d18u57rUH8A11/CAH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4b8cYAAADbAAAADwAAAAAAAAAAAAAAAACYAgAAZHJz&#10;L2Rvd25yZXYueG1sUEsFBgAAAAAEAAQA9QAAAIsDAAAAAA==&#10;" path="m,l4569,,26909,49747r-8124,l12693,35533,,35533,,29442r9646,l,8223,,xe" fillcolor="black" stroked="f" strokeweight="0">
                  <v:stroke miterlimit="83231f" joinstyle="miter"/>
                  <v:path arrowok="t" textboxrect="0,0,26909,49747"/>
                </v:shape>
                <v:shape id="Shape 16" o:spid="_x0000_s1037" style="position:absolute;left:2487;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vMQA&#10;AADbAAAADwAAAGRycy9kb3ducmV2LnhtbESPT4vCMBDF7wt+hzCCN00VV6QaRQougl78B3obm7Et&#10;NpPSZG3dT79ZEPY2w3u/N2/my9aU4km1KywrGA4iEMSp1QVnCk7HdX8KwnlkjaVlUvAiB8tF52OO&#10;sbYN7+l58JkIIexiVJB7X8VSujQng25gK+Kg3W1t0Ie1zqSusQnhppSjKJpIgwWHCzlWlOSUPg7f&#10;JtS47RL7Nfq8NtuV0/vhzyU7J2Olet12NQPhqfX/5je90YGbwN8vY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5LzEAAAA2wAAAA8AAAAAAAAAAAAAAAAAmAIAAGRycy9k&#10;b3ducmV2LnhtbFBLBQYAAAAABAAEAPUAAACJAwAAAAA=&#10;" path="m22339,r3554,l25893,8224,25385,7107,16247,29442r9646,l25893,35533r-11677,l8123,49747,,49747,22339,xe" fillcolor="black" stroked="f" strokeweight="0">
                  <v:stroke miterlimit="83231f" joinstyle="miter"/>
                  <v:path arrowok="t" textboxrect="0,0,25893,49747"/>
                </v:shape>
                <v:shape id="Shape 17" o:spid="_x0000_s1038" style="position:absolute;left:2091;top:131;width:224;height:305;visibility:visible;mso-wrap-style:square;v-text-anchor:top" coordsize="22339,30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wp8QA&#10;AADbAAAADwAAAGRycy9kb3ducmV2LnhtbERPTWvCQBC9C/0PyxR6kbrRg0qaVUpBEFuoTRTS25Cd&#10;JqHZ2bC71fjvu4LgbR7vc7L1YDpxIudbywqmkwQEcWV1y7WCQ7F5XoLwAVljZ5kUXMjDevUwyjDV&#10;9sxfdMpDLWII+xQVNCH0qZS+asign9ieOHI/1hkMEbpaaofnGG46OUuSuTTYcmxosKe3hqrf/M8o&#10;+FzuTLF7Pxy/8w/jNsd9OZ62pVJPj8PrC4hAQ7iLb+6tjvMXcP0lH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cKfEAAAA2wAAAA8AAAAAAAAAAAAAAAAAmAIAAGRycy9k&#10;b3ducmV2LnhtbFBLBQYAAAAABAAEAPUAAACJAwAAAAA=&#10;" path="m,l5077,c16247,,22339,5076,22339,14213v,10153,-6092,16245,-16247,15229l,29442,,23351r4062,c12185,23351,14216,19289,14216,14213v,-4060,-3046,-8122,-9139,-8122l,6091,,xe" fillcolor="black" stroked="f" strokeweight="0">
                  <v:stroke miterlimit="83231f" joinstyle="miter"/>
                  <v:path arrowok="t" textboxrect="0,0,22339,30458"/>
                </v:shape>
                <v:shape id="Shape 18" o:spid="_x0000_s1039" style="position:absolute;left:3249;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lyMIA&#10;AADbAAAADwAAAGRycy9kb3ducmV2LnhtbESPQW/CMAyF75P4D5En7TaS7jChjoDQEGNwg213qzFt&#10;oHGqJoOyXz8fkLjZes/vfZ7Oh9CqM/XJR7ZQjA0o4io6z7WF76/V8wRUysgO28hk4UoJ5rPRwxRL&#10;Fy+8o/M+10pCOJVoocm5K7VOVUMB0zh2xKIdYh8wy9rX2vV4kfDQ6hdjXnVAz9LQYEfvDVWn/W+w&#10;YPTPHy/9mgv62PjtWi8LMzla+/Q4LN5AZRry3Xy7/nSCL7Dyiwy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GXIwgAAANsAAAAPAAAAAAAAAAAAAAAAAJgCAABkcnMvZG93&#10;bnJldi54bWxQSwUGAAAAAAQABAD1AAAAhwMAAAAA&#10;" path="m,l23355,r,5076l8123,5076r,16244l23355,21320r,7106l7108,28426r,21321l,49747,,xe" fillcolor="black" stroked="f" strokeweight="0">
                  <v:stroke miterlimit="83231f" joinstyle="miter"/>
                  <v:path arrowok="t" textboxrect="0,0,23355,49747"/>
                </v:shape>
                <v:shape id="Shape 19" o:spid="_x0000_s1040" style="position:absolute;left:2746;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9MYA&#10;AADbAAAADwAAAGRycy9kb3ducmV2LnhtbESPQWvCQBCF74L/YZlCL1I3VrQ1dZUSaqngxWihxyE7&#10;TaLZ2ZhdNfXXdwXB2wzvzfveTOetqcSJGldaVjDoRyCIM6tLzhVsN4unVxDOI2usLJOCP3Iwn3U7&#10;U4y1PfOaTqnPRQhhF6OCwvs6ltJlBRl0fVsTB+3XNgZ9WJtc6gbPIdxU8jmKxtJgyYFQYE1JQdk+&#10;PZrAXQ4PB/uzw8nH6OXy2eNErr4TpR4f2vc3EJ5afzffrr90qD+B6y9h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R9MYAAADbAAAADwAAAAAAAAAAAAAAAACYAgAAZHJz&#10;L2Rvd25yZXYueG1sUEsFBgAAAAAEAAQA9QAAAIsDAAAAAA==&#10;" path="m,l4569,,26909,49747r-8124,l12693,35533,,35533,,29442r9646,l,8224,,xe" fillcolor="black" stroked="f" strokeweight="0">
                  <v:stroke miterlimit="83231f" joinstyle="miter"/>
                  <v:path arrowok="t" textboxrect="0,0,26909,49747"/>
                </v:shape>
                <v:shape id="Shape 20" o:spid="_x0000_s1041" style="position:absolute;left:6021;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jc74A&#10;AADbAAAADwAAAGRycy9kb3ducmV2LnhtbERPu27CMBTdkfoP1q3EBnYYEEoxCBW1PDag7FfxJTGN&#10;r6PYQODr8YDEeHTe03nnanGlNljPGrKhAkFceGO51PB3+BlMQISIbLD2TBruFGA+++hNMTf+xju6&#10;7mMpUgiHHDVUMTa5lKGoyGEY+oY4cSffOowJtqU0Ld5SuKvlSKmxdGg5NVTY0HdFxf/+4jQoeXzw&#10;0q44o9+N3a7kMlOTs9b9z27xBSJSF9/il3ttNIzS+vQl/QA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Wo3O+AAAA2wAAAA8AAAAAAAAAAAAAAAAAmAIAAGRycy9kb3ducmV2&#10;LnhtbFBLBQYAAAAABAAEAPUAAACDAwAAAAA=&#10;" path="m,l23355,r,5076l8123,5076r,16244l23355,21320r,7106l7108,28426r,21321l,49747,,xe" fillcolor="black" stroked="f" strokeweight="0">
                  <v:stroke miterlimit="83231f" joinstyle="miter"/>
                  <v:path arrowok="t" textboxrect="0,0,23355,49747"/>
                </v:shape>
                <v:shape id="Shape 21" o:spid="_x0000_s1042" style="position:absolute;left:3482;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M5IsIA&#10;AADbAAAADwAAAGRycy9kb3ducmV2LnhtbESPQYvCMBSE7wv+h/AEb2tqFVmqUVRQhL24rnh+NM+2&#10;2ryUJNb67zeCsMdhZr5h5svO1KIl5yvLCkbDBARxbnXFhYLT7/bzC4QPyBpry6TgSR6Wi97HHDNt&#10;H/xD7TEUIkLYZ6igDKHJpPR5SQb90DbE0btYZzBE6QqpHT4i3NQyTZKpNFhxXCixoU1J+e14NwrW&#10;W9t20yS90gV37nt93o0Pk1SpQb9bzUAE6sJ/+N3eawXpCF5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zkiwgAAANsAAAAPAAAAAAAAAAAAAAAAAJgCAABkcnMvZG93&#10;bnJldi54bWxQSwUGAAAAAAQABAD1AAAAhwMAAAAA&#10;" path="m,l8123,v9139,,13201,7107,13201,13198c21324,19290,18277,23351,13200,25381v4062,,6093,4061,8124,11169c21324,45686,21324,47717,23355,49748r-8124,c13200,48733,13200,46702,13200,40611,12185,31472,9139,28426,3046,28426l,28426,,21320r5077,c12185,21320,13200,17259,15231,13198v,-5077,-3046,-8122,-9139,-8122l,5076,,xe" fillcolor="black" stroked="f" strokeweight="0">
                  <v:stroke miterlimit="83231f" joinstyle="miter"/>
                  <v:path arrowok="t" textboxrect="0,0,23355,49748"/>
                </v:shape>
                <v:shape id="Shape 22" o:spid="_x0000_s1043" style="position:absolute;left:5341;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l4sQA&#10;AADbAAAADwAAAGRycy9kb3ducmV2LnhtbESPQWsCMRSE7wX/Q3iCt5p1wVJWo8iiUPBgawt6fG6e&#10;m8XkZdmk6/rvm0Khx2FmvmGW68FZ0VMXGs8KZtMMBHHldcO1gq/P3fMriBCRNVrPpOBBAdar0dMS&#10;C+3v/EH9MdYiQTgUqMDE2BZShsqQwzD1LXHyrr5zGJPsaqk7vCe4szLPshfpsOG0YLCl0lB1O347&#10;Bfa9bM9k5sP20vTZ/LCfncuTVWoyHjYLEJGG+B/+a79pBXkO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peL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23" o:spid="_x0000_s1044" style="position:absolute;left:4599;top:131;width:478;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5y8EA&#10;AADbAAAADwAAAGRycy9kb3ducmV2LnhtbESP3YrCMBSE7xd8h3AE79bUHxapRhFp0Yu9WfUBDs2x&#10;KTYnJYla394Iwl4OM/MNs9r0thV38qFxrGAyzkAQV043XCs4n8rvBYgQkTW2jknBkwJs1oOvFeba&#10;PfiP7sdYiwThkKMCE2OXSxkqQxbD2HXEybs4bzEm6WupPT4S3LZymmU/0mLDacFgRztD1fV4swrm&#10;h1+cF35r+2shi/KyL80NS6VGw367BBGpj//hT/ugFUxn8P6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1OcvBAAAA2wAAAA8AAAAAAAAAAAAAAAAAmAIAAGRycy9kb3du&#10;cmV2LnhtbFBLBQYAAAAABAAEAPUAAACGAwAAAAA=&#10;" path="m,l8124,,40617,39594,40617,r7108,l47725,49747r-9139,l7108,10152r,39595l,49747,,xe" fillcolor="black" stroked="f" strokeweight="0">
                  <v:stroke miterlimit="83231f" joinstyle="miter"/>
                  <v:path arrowok="t" textboxrect="0,0,47725,49747"/>
                </v:shape>
                <v:shape id="Shape 24" o:spid="_x0000_s1045" style="position:absolute;left:3899;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SNcYA&#10;AADbAAAADwAAAGRycy9kb3ducmV2LnhtbESPQWsCMRSE70L/Q3hCb5pVtOrWKCJIWw+CW1G8PTav&#10;m62bl3WT6vbfN4VCj8PMfMPMl62txI0aXzpWMOgnIIhzp0suFBzeN70pCB+QNVaOScE3eVguHjpz&#10;TLW7855uWShEhLBPUYEJoU6l9Lkhi77vauLofbjGYoiyKaRu8B7htpLDJHmSFkuOCwZrWhvKL9mX&#10;VfB5NdUOV9sXLE6b43aSjWdv57FSj9129QwiUBv+w3/tV61gOIL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SNcYAAADbAAAADwAAAAAAAAAAAAAAAACYAgAAZHJz&#10;L2Rvd25yZXYueG1sUEsFBgAAAAAEAAQA9QAAAIsDAAAAAA==&#10;" path="m,l45694,r,6091l26401,6091r,43656l19293,49747r,-43656l,6091,,xe" fillcolor="black" stroked="f" strokeweight="0">
                  <v:stroke miterlimit="83231f" joinstyle="miter"/>
                  <v:path arrowok="t" textboxrect="0,0,45694,49747"/>
                </v:shape>
                <v:shape id="Shape 25" o:spid="_x0000_s1046" style="position:absolute;left:6254;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IcMA&#10;AADbAAAADwAAAGRycy9kb3ducmV2LnhtbESPQWvCQBSE7wX/w/KE3urGVEXSbEQFRehFbfH8yD6T&#10;1OzbsLuN6b/vFgoeh5n5hslXg2lFT843lhVMJwkI4tLqhisFnx+7lyUIH5A1tpZJwQ95WBWjpxwz&#10;be98ov4cKhEh7DNUUIfQZVL6siaDfmI74uhdrTMYonSV1A7vEW5amSbJQhpsOC7U2NG2pvJ2/jYK&#10;NjvbD4sk/aIr7t375rJ/Pc5SpZ7Hw/oNRKAhPML/7YNWkM7h70v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g/IcMAAADbAAAADwAAAAAAAAAAAAAAAACYAgAAZHJzL2Rv&#10;d25yZXYueG1sUEsFBgAAAAAEAAQA9QAAAIgDAAAAAA==&#10;" path="m,l8124,v9138,,13200,7107,13200,13198c21324,19290,18278,23351,13201,25381v4061,,7107,4061,8123,11169c21324,45686,21324,47717,23355,49748r-8124,c13201,48733,13201,46702,13201,40611,12185,31472,9139,28426,3046,28426l,28426,,21320r5077,c12185,21320,14216,17259,15231,13198v,-5077,-3046,-8122,-9139,-8122l,5076,,xe" fillcolor="black" stroked="f" strokeweight="0">
                  <v:stroke miterlimit="83231f" joinstyle="miter"/>
                  <v:path arrowok="t" textboxrect="0,0,23355,49748"/>
                </v:shape>
                <v:shape id="Shape 26" o:spid="_x0000_s1047" style="position:absolute;left:10072;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uAcUA&#10;AADbAAAADwAAAGRycy9kb3ducmV2LnhtbESPQWvCQBCF74X+h2UK3nRjqFKiawiBSkEvagv1Ns1O&#10;k9DsbMiuJvrrXUHo8fHmfW/eMh1MI87UudqygukkAkFcWF1zqeDz8D5+A+E8ssbGMim4kIN09fy0&#10;xETbnnd03vtSBAi7BBVU3reJlK6oyKCb2JY4eL+2M+iD7EqpO+wD3DQyjqK5NFhzaKiwpbyi4m9/&#10;MuGNn21u1/Hs2G8yp3fT63f5lb8qNXoZsgUIT4P/P36kP7SCeA73LQE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4BxQAAANsAAAAPAAAAAAAAAAAAAAAAAJgCAABkcnMv&#10;ZG93bnJldi54bWxQSwUGAAAAAAQABAD1AAAAigMAAAAA&#10;" path="m22339,r3554,l25893,8224,25385,7107,16247,29442r9646,l25893,35533r-11677,l8123,49747,,49747,22339,xe" fillcolor="black" stroked="f" strokeweight="0">
                  <v:stroke miterlimit="83231f" joinstyle="miter"/>
                  <v:path arrowok="t" textboxrect="0,0,25893,49747"/>
                </v:shape>
                <v:shape id="Shape 27" o:spid="_x0000_s1048" style="position:absolute;left:942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MQsUA&#10;AADbAAAADwAAAGRycy9kb3ducmV2LnhtbESPQWvCQBSE70L/w/IK3symglVTV5GCaD0UTIvi7ZF9&#10;zabNvo3Zrab/3hUKHoeZ+YaZLTpbizO1vnKs4ClJQRAXTldcKvj8WA0mIHxA1lg7JgV/5GExf+jN&#10;MNPuwjs656EUEcI+QwUmhCaT0heGLPrENcTR+3KtxRBlW0rd4iXCbS2HafosLVYcFww29Gqo+Ml/&#10;rYLvk6nfcbldY3lY7bfjfDR9O46U6j92yxcQgbpwD/+3N1rBcAy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sxCxQAAANsAAAAPAAAAAAAAAAAAAAAAAJgCAABkcnMv&#10;ZG93bnJldi54bWxQSwUGAAAAAAQABAD1AAAAigMAAAAA&#10;" path="m2031,l44678,r,6091l9139,43655r36555,l45694,49747,,49747,,42640,35540,6091r-33509,l2031,xe" fillcolor="black" stroked="f" strokeweight="0">
                  <v:stroke miterlimit="83231f" joinstyle="miter"/>
                  <v:path arrowok="t" textboxrect="0,0,45694,49747"/>
                </v:shape>
                <v:shape id="Shape 93476" o:spid="_x0000_s1049" style="position:absolute;left:8691;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k8YA&#10;AADeAAAADwAAAGRycy9kb3ducmV2LnhtbESPT0vDQBDF70K/wzIFb3ZTlWpjt0VEQRFRUy/ehuy4&#10;Cc3OLpk1iX56VxA8Pt6fH2+zm3ynBuqlDWxguShAEdfBtuwMvO3vTi5BSUK22AUmA18ksNvOjjZY&#10;2jDyKw1VciqPsJRooEkpllpL3ZBHWYRInL2P0HtMWfZO2x7HPO47fVoUK+2x5UxoMNJNQ/Wh+vQZ&#10;Eof3ZzeNT/G79XJbPcrLgxNjjufT9RWoRFP6D/+1762B9dn5x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Yk8YAAADeAAAADwAAAAAAAAAAAAAAAACYAgAAZHJz&#10;L2Rvd25yZXYueG1sUEsFBgAAAAAEAAQA9QAAAIsDAAAAAA==&#10;" path="m,l9144,r,49748l,49748,,e" fillcolor="black" stroked="f" strokeweight="0">
                  <v:stroke miterlimit="83231f" joinstyle="miter"/>
                  <v:path arrowok="t" textboxrect="0,0,9144,49748"/>
                </v:shape>
                <v:shape id="Shape 29" o:spid="_x0000_s1050" style="position:absolute;left:7950;top:131;width:518;height:498;visibility:visible;mso-wrap-style:square;v-text-anchor:top" coordsize="51786,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vJcMA&#10;AADbAAAADwAAAGRycy9kb3ducmV2LnhtbESPT2sCMRTE7wW/Q3hCbzVRqOi6UaQg7amgtgdvj83b&#10;P7p5WZK4u/32jVDocZiZ3zD5brSt6MmHxrGG+UyBIC6cabjS8HU+vKxAhIhssHVMGn4owG47ecox&#10;M27gI/WnWIkE4ZChhjrGLpMyFDVZDDPXESevdN5iTNJX0ngcEty2cqHUUlpsOC3U2NFbTcXtdLca&#10;Dqp4X/H59fNeXZVvfLm8Xb5R6+fpuN+AiDTG//Bf+8NoWKzh8S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vJcMAAADbAAAADwAAAAAAAAAAAAAAAACYAgAAZHJzL2Rv&#10;d25yZXYueG1sUEsFBgAAAAAEAAQA9QAAAIgDAAAAAA==&#10;" path="m,l8123,,26401,42640,43663,r8123,l29447,49747r-7108,l,xe" fillcolor="black" stroked="f" strokeweight="0">
                  <v:stroke miterlimit="83231f" joinstyle="miter"/>
                  <v:path arrowok="t" textboxrect="0,0,51786,49747"/>
                </v:shape>
                <v:shape id="Shape 30" o:spid="_x0000_s1051" style="position:absolute;left:7321;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C68MA&#10;AADbAAAADwAAAGRycy9kb3ducmV2LnhtbERPz2vCMBS+D/Y/hDfwZtM5dNoZRQRxehBWRdnt0bw1&#10;3ZqXrsm0/vfmIOz48f2ezjtbizO1vnKs4DlJQRAXTldcKjjsV/0xCB+QNdaOScGVPMxnjw9TzLS7&#10;8Aed81CKGMI+QwUmhCaT0heGLPrENcSR+3KtxRBhW0rd4iWG21oO0nQkLVYcGww2tDRU/OR/VsH3&#10;r6l3uNiusTytjtvXfDjZfA6V6j11izcQgbrwL76737WCl7g+fo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7C68MAAADbAAAADwAAAAAAAAAAAAAAAACYAgAAZHJzL2Rv&#10;d25yZXYueG1sUEsFBgAAAAAEAAQA9QAAAIgDAAAAAA==&#10;" path="m,l45694,r,6091l26401,6091r,43656l19293,49747r,-43656l,6091,,xe" fillcolor="black" stroked="f" strokeweight="0">
                  <v:stroke miterlimit="83231f" joinstyle="miter"/>
                  <v:path arrowok="t" textboxrect="0,0,45694,49747"/>
                </v:shape>
                <v:shape id="Shape 31" o:spid="_x0000_s1052" style="position:absolute;left:6681;top:121;width:447;height:518;visibility:visible;mso-wrap-style:square;v-text-anchor:top" coordsize="44678,5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44sIA&#10;AADbAAAADwAAAGRycy9kb3ducmV2LnhtbESP0YrCMBRE3wX/IVzBF9FUBdGuUaQgKvtk9QMuzbUt&#10;29zUJmr1642w4OMwM2eY5bo1lbhT40rLCsajCARxZnXJuYLzaTucg3AeWWNlmRQ8ycF61e0sMdb2&#10;wUe6pz4XAcIuRgWF93UspcsKMuhGtiYO3sU2Bn2QTS51g48AN5WcRNFMGiw5LBRYU1JQ9pfejILL&#10;dfBKf6vFzgxuh5nnY55QslGq32s3PyA8tf4b/m/vtYLpGD5fw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jiwgAAANsAAAAPAAAAAAAAAAAAAAAAAJgCAABkcnMvZG93&#10;bnJldi54bWxQSwUGAAAAAAQABAD1AAAAhwMAAAAA&#10;" path="m21324,c31478,,41632,3046,42648,15229r-7108,c34524,11168,32493,6091,20308,6091v-5077,,-11169,2031,-11169,8122c9139,17259,11170,20303,17262,20305r12185,2031c33509,23351,44678,25381,44678,35534v,12182,-11169,16244,-21323,16244c12185,51778,,48733,,34519r7108,c7108,43655,16247,45686,23355,45686v7107,,13200,-3045,13200,-8122c36555,33503,33509,31472,27416,30456l16247,28427c10154,27412,1015,25381,1015,15229,1015,6091,8123,,21324,xe" fillcolor="black" stroked="f" strokeweight="0">
                  <v:stroke miterlimit="83231f" joinstyle="miter"/>
                  <v:path arrowok="t" textboxrect="0,0,44678,51778"/>
                </v:shape>
                <v:shape id="Shape 32" o:spid="_x0000_s1053" style="position:absolute;left:10286;top:25;width:45;height:76;visibility:visible;mso-wrap-style:square;v-text-anchor:top" coordsize="4569,7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XO8UA&#10;AADbAAAADwAAAGRycy9kb3ducmV2LnhtbESPQUvDQBSE74L/YXmCF7EbU2pL2m1RUagHhaaFXh/Z&#10;101o3tuQXdv033cFweMwM98wi9XArTpRHxovBp5GGSiSyttGnIHd9uNxBipEFIutFzJwoQCr5e3N&#10;Agvrz7KhUxmdShAJBRqoY+wKrUNVE2MY+Y4keQffM8Yke6dtj+cE51bnWfasGRtJCzV29FZTdSx/&#10;2MB2OrHv083eucnDd/nKX/zJZW7M/d3wMgcVaYj/4b/22hoY5/D7Jf0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hc7xQAAANsAAAAPAAAAAAAAAAAAAAAAAJgCAABkcnMv&#10;ZG93bnJldi54bWxQSwUGAAAAAAQABAD1AAAAigMAAAAA&#10;" path="m4569,r,7614l,7614,4569,xe" fillcolor="black" stroked="f" strokeweight="0">
                  <v:stroke miterlimit="83231f" joinstyle="miter"/>
                  <v:path arrowok="t" textboxrect="0,0,4569,7614"/>
                </v:shape>
                <v:shape id="Shape 33" o:spid="_x0000_s1054" style="position:absolute;left:8681;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rcQA&#10;AADbAAAADwAAAGRycy9kb3ducmV2LnhtbESPW4vCMBSE3xf8D+EIvq2pF1appuIFwYVF8AK+HprT&#10;CzYnpYm1/vvNwoKPw8x8wyxXnalES40rLSsYDSMQxKnVJecKrpf95xyE88gaK8uk4EUOVknvY4mx&#10;tk8+UXv2uQgQdjEqKLyvYyldWpBBN7Q1cfAy2xj0QTa51A0+A9xUchxFX9JgyWGhwJq2BaX388Mo&#10;mB3qdHYc3db7x3fUTn92x/smI6UG/W69AOGp8+/wf/ugFUwm8Pcl/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za3EAAAA2wAAAA8AAAAAAAAAAAAAAAAAmAIAAGRycy9k&#10;b3ducmV2LnhtbFBLBQYAAAAABAAEAPUAAACJAwAAAAA=&#10;" path="m6093,r9138,l6093,10152,,10152,6093,xe" fillcolor="black" stroked="f" strokeweight="0">
                  <v:stroke miterlimit="83231f" joinstyle="miter"/>
                  <v:path arrowok="t" textboxrect="0,0,15231,10152"/>
                </v:shape>
                <v:shape id="Shape 93477" o:spid="_x0000_s1055" style="position:absolute;left:12773;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9CMYA&#10;AADeAAAADwAAAGRycy9kb3ducmV2LnhtbESPT0vDQBDF70K/wzIFb3ZTFWtjt0VEQRFRUy/ehuy4&#10;Cc3OLpk1iX56VxA8Pt6fH2+zm3ynBuqlDWxguShAEdfBtuwMvO3vTi5BSUK22AUmA18ksNvOjjZY&#10;2jDyKw1VciqPsJRooEkpllpL3ZBHWYRInL2P0HtMWfZO2x7HPO47fVoUF9pjy5nQYKSbhupD9ekz&#10;JA7vz24an+J36+W2epSXByfGHM+n6ytQiab0H/5r31sD67Pz1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J9CMYAAADeAAAADwAAAAAAAAAAAAAAAACYAgAAZHJz&#10;L2Rvd25yZXYueG1sUEsFBgAAAAAEAAQA9QAAAIsDAAAAAA==&#10;" path="m,l9144,r,49748l,49748,,e" fillcolor="black" stroked="f" strokeweight="0">
                  <v:stroke miterlimit="83231f" joinstyle="miter"/>
                  <v:path arrowok="t" textboxrect="0,0,9144,49748"/>
                </v:shape>
                <v:shape id="Shape 35" o:spid="_x0000_s1056" style="position:absolute;left:1206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hc8YA&#10;AADbAAAADwAAAGRycy9kb3ducmV2LnhtbESPQWvCQBSE74L/YXlCb2ZjS2obXUUKUvUgmJYWb4/s&#10;M5s2+zbNbjX9991CweMwM98w82VvG3GmzteOFUySFARx6XTNlYLXl/X4AYQPyBobx6TghzwsF8PB&#10;HHPtLnygcxEqESHsc1RgQmhzKX1pyKJPXEscvZPrLIYou0rqDi8Rbht5m6b30mLNccFgS0+Gys/i&#10;2yr4+DLNHle7Z6ze12+7aZE9bo+ZUjejfjUDEagP1/B/e6MV3GXw9y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hc8YAAADbAAAADwAAAAAAAAAAAAAAAACYAgAAZHJz&#10;L2Rvd25yZXYueG1sUEsFBgAAAAAEAAQA9QAAAIsDAAAAAA==&#10;" path="m2031,l44678,r,6091l9139,43655r36555,l45694,49747,,49747,,42640,35540,6091r-33509,l2031,xe" fillcolor="black" stroked="f" strokeweight="0">
                  <v:stroke miterlimit="83231f" joinstyle="miter"/>
                  <v:path arrowok="t" textboxrect="0,0,45694,49747"/>
                </v:shape>
                <v:shape id="Shape 36" o:spid="_x0000_s1057" style="position:absolute;left:11433;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1PMQA&#10;AADbAAAADwAAAGRycy9kb3ducmV2LnhtbESPQWsCMRSE70L/Q3hCb25Wi1JWo8hSodCD1Rbq8bl5&#10;3SxNXpZNum7/vSkIHoeZ+YZZbQZnRU9daDwrmGY5COLK64ZrBZ8fu8kziBCRNVrPpOCPAmzWD6MV&#10;Ftpf+ED9MdYiQTgUqMDE2BZShsqQw5D5ljh5375zGJPsaqk7vCS4s3KW5wvpsOG0YLCl0lD1c/x1&#10;Cux72Z7IzIeXc9Pn8/3b9FR+WaUex8N2CSLSEO/hW/tVK3hawP+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NTz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37" o:spid="_x0000_s1058" style="position:absolute;left:10834;top:131;width:376;height:498;visibility:visible;mso-wrap-style:square;v-text-anchor:top" coordsize="37570,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EWMMA&#10;AADbAAAADwAAAGRycy9kb3ducmV2LnhtbESPQWvCQBSE7wX/w/IKvZS6aYRaoqtIi+jVGDw/ss8k&#10;Nfs23d3G6K93BaHHYWa+YebLwbSiJ+cbywrexwkI4tLqhisFxX799gnCB2SNrWVScCEPy8XoaY6Z&#10;tmfeUZ+HSkQI+wwV1CF0mZS+rMmgH9uOOHpH6wyGKF0ltcNzhJtWpknyIQ02HBdq7OirpvKU/xkF&#10;3+kmPTXu99Dn13D9Kcpi/ZoWSr08D6sZiEBD+A8/2l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EWMMAAADbAAAADwAAAAAAAAAAAAAAAACYAgAAZHJzL2Rv&#10;d25yZXYueG1sUEsFBgAAAAAEAAQA9QAAAIgDAAAAAA==&#10;" path="m,l7108,r,43655l37570,43655r,6092l,49747,,xe" fillcolor="black" stroked="f" strokeweight="0">
                  <v:stroke miterlimit="83231f" joinstyle="miter"/>
                  <v:path arrowok="t" textboxrect="0,0,37570,49747"/>
                </v:shape>
                <v:shape id="Shape 38" o:spid="_x0000_s1059" style="position:absolute;left:10331;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oD8MA&#10;AADbAAAADwAAAGRycy9kb3ducmV2LnhtbERPS0vDQBC+C/6HZQpepN1o6SvttkhQaaGXPgSPQ3aa&#10;RLOzaXZto7/eOQgeP773YtW5Wl2oDZVnAw+DBBRx7m3FhYHj4aU/BRUissXaMxn4pgCr5e3NAlPr&#10;r7yjyz4WSkI4pGigjLFJtQ55SQ7DwDfEwp186zAKbAttW7xKuKv1Y5KMtcOKpaHEhrKS8s/9l5Pe&#10;zfB89u8fOHseTX5e7znT27fMmLte9zQHFamL/+I/99oaGMpY+SI/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oD8MAAADbAAAADwAAAAAAAAAAAAAAAACYAgAAZHJzL2Rv&#10;d25yZXYueG1sUEsFBgAAAAAEAAQA9QAAAIgDAAAAAA==&#10;" path="m,l4569,,26909,49747r-8124,l12693,35533,,35533,,29442r9647,l,8224,,xe" fillcolor="black" stroked="f" strokeweight="0">
                  <v:stroke miterlimit="83231f" joinstyle="miter"/>
                  <v:path arrowok="t" textboxrect="0,0,26909,49747"/>
                </v:shape>
                <v:shape id="Shape 39" o:spid="_x0000_s1060" style="position:absolute;left:12763;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6R8MA&#10;AADbAAAADwAAAGRycy9kb3ducmV2LnhtbESP3YrCMBSE7wXfIRzBO039Qd1qFHdFUBBBd2FvD82x&#10;LTYnpYm1vr0RBC+HmfmGWawaU4iaKpdbVjDoRyCIE6tzThX8/W57MxDOI2ssLJOCBzlYLdutBcba&#10;3vlE9dmnIkDYxagg876MpXRJRgZd35bEwbvYyqAPskqlrvAe4KaQwyiaSIM5h4UMS/rJKLmeb0bB&#10;dFcm0+Pgf7297aN6fNgcr98XUqrbadZzEJ4a/wm/2zutYPQF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f6R8MAAADbAAAADwAAAAAAAAAAAAAAAACYAgAAZHJzL2Rv&#10;d25yZXYueG1sUEsFBgAAAAAEAAQA9QAAAIgDAAAAAA==&#10;" path="m6092,r9139,l6092,10152,,10152,6092,xe" fillcolor="black" stroked="f" strokeweight="0">
                  <v:stroke miterlimit="83231f" joinstyle="miter"/>
                  <v:path arrowok="t" textboxrect="0,0,15231,10152"/>
                </v:shape>
                <v:shape id="Shape 40" o:spid="_x0000_s1061" style="position:absolute;left:12164;width:264;height:101;visibility:visible;mso-wrap-style:square;v-text-anchor:top" coordsize="2640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BO8AA&#10;AADbAAAADwAAAGRycy9kb3ducmV2LnhtbERPTWsCMRC9F/wPYYTeamKRUlejiFSQnloVxNuwGTfL&#10;biZLEt3tv28OgsfH+16uB9eKO4VYe9YwnSgQxKU3NVcaTsfd2yeImJANtp5Jwx9FWK9GL0ssjO/5&#10;l+6HVIkcwrFADTalrpAylpYcxonviDN39cFhyjBU0gTsc7hr5btSH9JhzbnBYkdbS2VzuDkN86Zu&#10;+jB82fPlbC7q5yTbb3XV+nU8bBYgEg3pKX6490bDLK/P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8BO8AAAADbAAAADwAAAAAAAAAAAAAAAACYAgAAZHJzL2Rvd25y&#10;ZXYueG1sUEsFBgAAAAAEAAQA9QAAAIUDAAAAAA==&#10;" path="m,l7108,r6093,6091l19293,r7108,l17262,10152r-8123,l,xe" fillcolor="black" stroked="f" strokeweight="0">
                  <v:stroke miterlimit="83231f" joinstyle="miter"/>
                  <v:path arrowok="t" textboxrect="0,0,26401,10152"/>
                </v:shape>
                <v:shape id="Shape 41" o:spid="_x0000_s1062" style="position:absolute;left:10331;width:107;height:101;visibility:visible;mso-wrap-style:square;v-text-anchor:top" coordsize="10662,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rcIA&#10;AADbAAAADwAAAGRycy9kb3ducmV2LnhtbESP3YrCMBSE7xd8h3AE79ZU0WWtRhHBv4u9WPUBjs2x&#10;LTYnoYm1vr0RBC+HmfmGmS1aU4mGal9aVjDoJyCIM6tLzhWcjuvvXxA+IGusLJOCB3lYzDtfM0y1&#10;vfM/NYeQiwhhn6KCIgSXSumzggz6vnXE0bvY2mCIss6lrvEe4aaSwyT5kQZLjgsFOloVlF0PN6Pg&#10;sj9tbrujG28nbtv4P17n13OlVK/bLqcgArXhE363d1rBaAC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4GtwgAAANsAAAAPAAAAAAAAAAAAAAAAAJgCAABkcnMvZG93&#10;bnJldi54bWxQSwUGAAAAAAQABAD1AAAAhwMAAAAA&#10;" path="m1523,r9139,l1523,10152,,10152,,2538,1523,xe" fillcolor="black" stroked="f" strokeweight="0">
                  <v:stroke miterlimit="83231f" joinstyle="miter"/>
                  <v:path arrowok="t" textboxrect="0,0,10662,10152"/>
                </v:shape>
                <w10:wrap type="topAndBottom" anchorx="page" anchory="page"/>
              </v:group>
            </w:pict>
          </mc:Fallback>
        </mc:AlternateContent>
      </w:r>
      <w:r>
        <w:rPr>
          <w:rFonts w:ascii="Tahoma" w:eastAsia="Tahoma" w:hAnsi="Tahoma" w:cs="Tahoma"/>
          <w:sz w:val="19"/>
        </w:rPr>
        <w:t xml:space="preserve">  </w:t>
      </w:r>
    </w:p>
    <w:p w:rsidR="002A1831" w:rsidRDefault="00294B37">
      <w:pPr>
        <w:spacing w:after="703" w:line="259" w:lineRule="auto"/>
        <w:ind w:left="1185" w:firstLine="0"/>
      </w:pPr>
      <w:r>
        <w:rPr>
          <w:noProof/>
          <w:sz w:val="22"/>
        </w:rPr>
        <mc:AlternateContent>
          <mc:Choice Requires="wpg">
            <w:drawing>
              <wp:inline distT="0" distB="0" distL="0" distR="0">
                <wp:extent cx="5127860" cy="643670"/>
                <wp:effectExtent l="0" t="0" r="0" b="0"/>
                <wp:docPr id="60203" name="Group 60203"/>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42" name="Shape 42"/>
                        <wps:cNvSpPr/>
                        <wps:spPr>
                          <a:xfrm>
                            <a:off x="4667875" y="146196"/>
                            <a:ext cx="226947" cy="488336"/>
                          </a:xfrm>
                          <a:custGeom>
                            <a:avLst/>
                            <a:gdLst/>
                            <a:ahLst/>
                            <a:cxnLst/>
                            <a:rect l="0" t="0" r="0" b="0"/>
                            <a:pathLst>
                              <a:path w="226947" h="488336">
                                <a:moveTo>
                                  <a:pt x="0" y="0"/>
                                </a:moveTo>
                                <a:lnTo>
                                  <a:pt x="226947" y="0"/>
                                </a:lnTo>
                                <a:lnTo>
                                  <a:pt x="226947" y="121829"/>
                                </a:lnTo>
                                <a:lnTo>
                                  <a:pt x="159422" y="121829"/>
                                </a:lnTo>
                                <a:lnTo>
                                  <a:pt x="159422" y="189852"/>
                                </a:lnTo>
                                <a:lnTo>
                                  <a:pt x="226947" y="189852"/>
                                </a:lnTo>
                                <a:lnTo>
                                  <a:pt x="226947" y="291377"/>
                                </a:lnTo>
                                <a:lnTo>
                                  <a:pt x="159422" y="291377"/>
                                </a:lnTo>
                                <a:lnTo>
                                  <a:pt x="159422" y="363460"/>
                                </a:lnTo>
                                <a:lnTo>
                                  <a:pt x="226947" y="363460"/>
                                </a:lnTo>
                                <a:lnTo>
                                  <a:pt x="226947" y="488336"/>
                                </a:lnTo>
                                <a:lnTo>
                                  <a:pt x="0" y="488336"/>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3" name="Shape 4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4" name="Shape 4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7" y="363460"/>
                                  <a:pt x="67525" y="349247"/>
                                  <a:pt x="67525" y="327927"/>
                                </a:cubicBezTo>
                                <a:lnTo>
                                  <a:pt x="67525" y="326911"/>
                                </a:lnTo>
                                <a:cubicBezTo>
                                  <a:pt x="67525" y="305591"/>
                                  <a:pt x="50263" y="291377"/>
                                  <a:pt x="14723" y="291377"/>
                                </a:cubicBezTo>
                                <a:lnTo>
                                  <a:pt x="0" y="291377"/>
                                </a:lnTo>
                                <a:lnTo>
                                  <a:pt x="0" y="189852"/>
                                </a:lnTo>
                                <a:lnTo>
                                  <a:pt x="4569" y="189852"/>
                                </a:lnTo>
                                <a:cubicBezTo>
                                  <a:pt x="39093" y="189852"/>
                                  <a:pt x="56355" y="177669"/>
                                  <a:pt x="56355" y="156348"/>
                                </a:cubicBezTo>
                                <a:lnTo>
                                  <a:pt x="56355" y="155333"/>
                                </a:lnTo>
                                <a:cubicBezTo>
                                  <a:pt x="56355" y="134013"/>
                                  <a:pt x="39093" y="121829"/>
                                  <a:pt x="3554" y="121829"/>
                                </a:cubicBezTo>
                                <a:lnTo>
                                  <a:pt x="0" y="121829"/>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5" name="Shape 4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1"/>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2087699" y="146196"/>
                            <a:ext cx="226946" cy="488336"/>
                          </a:xfrm>
                          <a:custGeom>
                            <a:avLst/>
                            <a:gdLst/>
                            <a:ahLst/>
                            <a:cxnLst/>
                            <a:rect l="0" t="0" r="0" b="0"/>
                            <a:pathLst>
                              <a:path w="226946" h="488336">
                                <a:moveTo>
                                  <a:pt x="0" y="0"/>
                                </a:moveTo>
                                <a:lnTo>
                                  <a:pt x="226946" y="0"/>
                                </a:lnTo>
                                <a:lnTo>
                                  <a:pt x="226946" y="121829"/>
                                </a:lnTo>
                                <a:lnTo>
                                  <a:pt x="159421" y="121829"/>
                                </a:lnTo>
                                <a:lnTo>
                                  <a:pt x="159421" y="189852"/>
                                </a:lnTo>
                                <a:lnTo>
                                  <a:pt x="226946" y="189852"/>
                                </a:lnTo>
                                <a:lnTo>
                                  <a:pt x="226946" y="291377"/>
                                </a:lnTo>
                                <a:lnTo>
                                  <a:pt x="159421" y="291377"/>
                                </a:lnTo>
                                <a:lnTo>
                                  <a:pt x="159421" y="363460"/>
                                </a:lnTo>
                                <a:lnTo>
                                  <a:pt x="226946" y="363460"/>
                                </a:lnTo>
                                <a:lnTo>
                                  <a:pt x="226946" y="488336"/>
                                </a:lnTo>
                                <a:lnTo>
                                  <a:pt x="0" y="4883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8" y="363460"/>
                                  <a:pt x="67525" y="349247"/>
                                  <a:pt x="67525" y="327927"/>
                                </a:cubicBezTo>
                                <a:lnTo>
                                  <a:pt x="67525" y="326911"/>
                                </a:lnTo>
                                <a:cubicBezTo>
                                  <a:pt x="67525" y="305591"/>
                                  <a:pt x="50263" y="291377"/>
                                  <a:pt x="14724" y="291377"/>
                                </a:cubicBezTo>
                                <a:lnTo>
                                  <a:pt x="0" y="291377"/>
                                </a:lnTo>
                                <a:lnTo>
                                  <a:pt x="0" y="189852"/>
                                </a:lnTo>
                                <a:lnTo>
                                  <a:pt x="4569" y="189852"/>
                                </a:lnTo>
                                <a:cubicBezTo>
                                  <a:pt x="39093" y="189852"/>
                                  <a:pt x="56355" y="177669"/>
                                  <a:pt x="56355" y="156348"/>
                                </a:cubicBezTo>
                                <a:lnTo>
                                  <a:pt x="56355" y="155333"/>
                                </a:lnTo>
                                <a:cubicBezTo>
                                  <a:pt x="56355" y="134013"/>
                                  <a:pt x="38078" y="121829"/>
                                  <a:pt x="3554" y="121829"/>
                                </a:cubicBezTo>
                                <a:lnTo>
                                  <a:pt x="0" y="121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8" name="Shape 93478"/>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6E166C" id="Group 60203"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">
                <v:shape id="Shape 42" o:spid="_x0000_s1027" style="position:absolute;left:46678;top:1461;width:2270;height:4884;visibility:visible;mso-wrap-style:square;v-text-anchor:top" coordsize="226947,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kCcUA&#10;AADbAAAADwAAAGRycy9kb3ducmV2LnhtbESPT2vCQBTE74LfYXlCb7ox1CKpq6ggiLQH/4A9PnZf&#10;k9Ds25hdY+qndwsFj8PM/IaZLTpbiZYaXzpWMB4lIIi1MyXnCk7HzXAKwgdkg5VjUvBLHhbzfm+G&#10;mXE33lN7CLmIEPYZKihCqDMpvS7Ioh+5mjh6366xGKJscmkavEW4rWSaJG/SYslxocCa1gXpn8PV&#10;Krjc05XWq0+5c5P77nz5+mj3Wiv1MuiW7yACdeEZ/m9vjYLX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OQJxQAAANsAAAAPAAAAAAAAAAAAAAAAAJgCAABkcnMv&#10;ZG93bnJldi54bWxQSwUGAAAAAAQABAD1AAAAigMAAAAA&#10;" path="m,l226947,r,121829l159422,121829r,68023l226947,189852r,101525l159422,291377r,72083l226947,363460r,124876l,488336,,xe" fillcolor="#c03" stroked="f" strokeweight="0">
                  <v:stroke miterlimit="83231f" joinstyle="miter"/>
                  <v:path arrowok="t" textboxrect="0,0,226947,488336"/>
                </v:shape>
                <v:shape id="Shape 4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Y3MIA&#10;AADbAAAADwAAAGRycy9kb3ducmV2LnhtbESPT4vCMBTE7wt+h/AEb2vqH8TtNhWVuni1Cl4fzdu2&#10;bPNSmljrt98IgsdhZn7DJJvBNKKnztWWFcymEQjiwuqaSwWX8+FzDcJ5ZI2NZVLwIAebdPSRYKzt&#10;nU/U574UAcIuRgWV920spSsqMuimtiUO3q/tDPogu1LqDu8Bbho5j6KVNFhzWKiwpX1FxV9+Mwpc&#10;lvWom9nx57rKl5G87r+yXa7UZDxsv0F4Gvw7/GoftYLlAp5fwg+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1jcwgAAANsAAAAPAAAAAAAAAAAAAAAAAJgCAABkcnMvZG93&#10;bnJldi54bWxQSwUGAAAAAAQABAD1AAAAhwMAAAAA&#10;" path="m,l163483,r,183761l302595,,493493,,322903,213203,497555,490367r-195975,l205115,335033r-41632,50763l163483,490367,,490367,,xe" fillcolor="#c03" stroked="f" strokeweight="0">
                  <v:stroke miterlimit="83231f" joinstyle="miter"/>
                  <v:path arrowok="t" textboxrect="0,0,497555,490367"/>
                </v:shape>
                <v:shape id="Shape 4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hM8IA&#10;AADbAAAADwAAAGRycy9kb3ducmV2LnhtbESPQYvCMBSE74L/ITzBm6aKqFSjqFCQ9bTugtdn82yq&#10;zUttonb//WZhweMwM98wy3VrK/GkxpeOFYyGCQji3OmSCwXfX9lgDsIHZI2VY1LwQx7Wq25nial2&#10;L/6k5zEUIkLYp6jAhFCnUvrckEU/dDVx9C6usRiibAqpG3xFuK3kOEmm0mLJccFgTTtD+e34sAry&#10;62bn3N0XH2djsvk2O8zq01mpfq/dLEAEasM7/N/eawWTCfx9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yEzwgAAANsAAAAPAAAAAAAAAAAAAAAAAJgCAABkcnMvZG93&#10;bnJldi54bWxQSwUGAAAAAAQABAD1AAAAhwMAAAAA&#10;" path="m,l47216,v68033,,110681,15229,139112,43656c204606,60915,216791,86296,216791,119800r,1015c216791,178684,182267,214218,129465,232493v62956,18274,103573,51777,103573,118784l233038,352292v,78175,-64987,136044,-188867,136044l,488336,,363460r13708,c49247,363460,67525,349247,67525,327927r,-1016c67525,305591,50263,291377,14723,291377l,291377,,189852r4569,c39093,189852,56355,177669,56355,156348r,-1015c56355,134013,39093,121829,3554,121829r-3554,l,xe" fillcolor="#c03" stroked="f" strokeweight="0">
                  <v:stroke miterlimit="83231f" joinstyle="miter"/>
                  <v:path arrowok="t" textboxrect="0,0,233038,488336"/>
                </v:shape>
                <v:shape id="Shape 4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u8MA&#10;AADbAAAADwAAAGRycy9kb3ducmV2LnhtbESPQWsCMRSE74L/ITyhN80qrbarUUQQvOoK6u1187q7&#10;unlZkqjb/vpGEDwOM/MNM1u0phY3cr6yrGA4SEAQ51ZXXCjYZ+v+JwgfkDXWlknBL3lYzLudGaba&#10;3nlLt10oRISwT1FBGUKTSunzkgz6gW2Io/djncEQpSukdniPcFPLUZKMpcGK40KJDa1Kyi+7q1Gw&#10;dZPTVWfZaXP+k4fV4Vi4r++lUm+9djkFEagNr/CzvdEK3j/g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u8MAAADbAAAADwAAAAAAAAAAAAAAAACYAgAAZHJzL2Rv&#10;d25yZXYueG1sUEsFBgAAAAAEAAQA9QAAAIgDAAAAAA==&#10;" path="m207145,r80218,l287363,192899,242685,311682r44678,l287363,427421r-86310,l175667,493413,,493413,207145,xe" fillcolor="black" stroked="f" strokeweight="0">
                  <v:stroke miterlimit="83231f" joinstyle="miter"/>
                  <v:path arrowok="t" textboxrect="0,0,287363,493413"/>
                </v:shape>
                <v:shape id="Shape 4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sesMA&#10;AADbAAAADwAAAGRycy9kb3ducmV2LnhtbESPW2sCMRSE3wX/QziFvmnWWkW2RpFCQaGCN/p82Jzu&#10;NSfbTbru/nsjCD4OM/MNs1x3phItNS63rGAyjkAQJ1bnnCq4nL9GCxDOI2usLJOCnhysV8PBEmNt&#10;r3yk9uRTESDsYlSQeV/HUrokI4NubGvi4P3axqAPskmlbvAa4KaSb1E0lwZzDgsZ1vSZUVKe/o2C&#10;sv0z03yy778PrviZXXbFri8LpV5fus0HCE+df4Yf7a1W8D6H+5f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rsesMAAADbAAAADwAAAAAAAAAAAAAAAACYAgAAZHJzL2Rv&#10;d25yZXYueG1sUEsFBgAAAAAEAAQA9QAAAIgDA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1,285332,334018,232531,323866,121850,301530,25385,270057,25385,166501r,-1015c25385,72083,98495,,233546,xe" fillcolor="black" stroked="f" strokeweight="0">
                  <v:stroke miterlimit="83231f" joinstyle="miter"/>
                  <v:path arrowok="t" textboxrect="0,0,467092,507627"/>
                </v:shape>
                <v:shape id="Shape 47" o:spid="_x0000_s1032" style="position:absolute;left:20876;top:1461;width:2270;height:4884;visibility:visible;mso-wrap-style:square;v-text-anchor:top" coordsize="226946,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eEMUA&#10;AADbAAAADwAAAGRycy9kb3ducmV2LnhtbESP3WrCQBSE7wu+w3IK3tWNja2SukoRxCBK8Qe9PWSP&#10;STB7NmRXE9/eLRR6OczMN8x03plK3KlxpWUFw0EEgjizuuRcwfGwfJuAcB5ZY2WZFDzIwXzWe5li&#10;om3LO7rvfS4ChF2CCgrv60RKlxVk0A1sTRy8i20M+iCbXOoG2wA3lXyPok9psOSwUGBNi4Ky6/5m&#10;FHRpu1lv05+LX52HefwRxbE+nZXqv3bfXyA8df4//NdOtYLRGH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54QxQAAANsAAAAPAAAAAAAAAAAAAAAAAJgCAABkcnMv&#10;ZG93bnJldi54bWxQSwUGAAAAAAQABAD1AAAAigMAAAAA&#10;" path="m,l226946,r,121829l159421,121829r,68023l226946,189852r,101525l159421,291377r,72083l226946,363460r,124876l,488336,,xe" fillcolor="black" stroked="f" strokeweight="0">
                  <v:stroke miterlimit="83231f" joinstyle="miter"/>
                  <v:path arrowok="t" textboxrect="0,0,226946,488336"/>
                </v:shape>
                <v:shape id="Shape 4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hW8IA&#10;AADbAAAADwAAAGRycy9kb3ducmV2LnhtbERPz2vCMBS+D/wfwhN2W1PFbVKNogNh7LTWUa/P5tkU&#10;m5fSZG333y+HwY4f3+/tfrKtGKj3jWMFiyQFQVw53XCt4Ot8elqD8AFZY+uYFPyQh/1u9rDFTLuR&#10;cxqKUIsYwj5DBSaELpPSV4Ys+sR1xJG7ud5iiLCvpe5xjOG2lcs0fZEWG44NBjt6M1Tdi2+r4DP/&#10;GM/rV708lKMpi8v1eVEdO6Ue59NhAyLQFP7Ff+53rWAV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GFbwgAAANsAAAAPAAAAAAAAAAAAAAAAAJgCAABkcnMvZG93&#10;bnJldi54bWxQSwUGAAAAAAQABAD1AAAAhwMAAAAA&#10;" path="m,l418352,r,135029l160436,135029r,49748l400075,184777r,118783l160436,303560r,52793l421398,356353r,134014l,490367,,xe" fillcolor="black" stroked="f" strokeweight="0">
                  <v:stroke miterlimit="83231f" joinstyle="miter"/>
                  <v:path arrowok="t" textboxrect="0,0,421398,490367"/>
                </v:shape>
                <v:shape id="Shape 4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opsUA&#10;AADbAAAADwAAAGRycy9kb3ducmV2LnhtbESPQWvCQBSE70L/w/IEb3WjSFujq5RCoeKpsSDentln&#10;Npp9m2bXJO2v7xYEj8PMfMMs172tREuNLx0rmIwTEMS50yUXCr52748vIHxA1lg5JgU/5GG9ehgs&#10;MdWu409qs1CICGGfogITQp1K6XNDFv3Y1cTRO7nGYoiyKaRusItwW8lpkjxJiyXHBYM1vRnKL9nV&#10;Kvg+/O6NP/j2qo/Hzfa5O7fTbKfUaNi/LkAE6sM9fGt/aAWzO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KimxQAAANsAAAAPAAAAAAAAAAAAAAAAAJgCAABkcnMv&#10;ZG93bnJldi54bWxQSwUGAAAAAAQABAD1AAAAigMAAAAA&#10;" path="m9139,l457953,r,115739l235577,356353r222376,l457953,490367,,490367,,374628,222377,134013r-213238,l9139,xe" fillcolor="black" stroked="f" strokeweight="0">
                  <v:stroke miterlimit="83231f" joinstyle="miter"/>
                  <v:path arrowok="t" textboxrect="0,0,457953,490367"/>
                </v:shape>
                <v:shape id="Shape 5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KLMIA&#10;AADbAAAADwAAAGRycy9kb3ducmV2LnhtbERPTUvDQBC9C/0Pywi9SLux2FZityUIilAQbUvPY3ZM&#10;YrOzMbum23/vHASPj/e92iTXqoH60Hg2cDvNQBGX3jZcGTjsnyb3oEJEtth6JgMXCrBZj65WmFt/&#10;5ncadrFSEsIhRwN1jF2udShrchimviMW7tP3DqPAvtK2x7OEu1bPsmyhHTYsDTV29FhTedr9OAPb&#10;lCKl7+Huq7pZ2o9ifnx7LZ6NGV+n4gGUcPFf/Od+sQbmsl6+yA/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kos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5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sGMMA&#10;AADbAAAADwAAAGRycy9kb3ducmV2LnhtbESPQWsCMRSE7wX/Q3gFbzW7BaXdGkUEF/VSagV7fGye&#10;m6Wbl5Ckuv33TUHwOMzMN8x8OdheXCjEzrGCclKAIG6c7rhVcPzcPL2AiAlZY++YFPxShOVi9DDH&#10;Srsrf9DlkFqRIRwrVGBS8pWUsTFkMU6cJ87e2QWLKcvQSh3wmuG2l89FMZMWO84LBj2tDTXfhx+r&#10;YGXev3bDJtSn+vxaRtz7vkav1PhxWL2BSDSke/jW3moF0xL+v+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ysGMMAAADbAAAADwAAAAAAAAAAAAAAAACYAgAAZHJzL2Rv&#10;d25yZXYueG1sUEsFBgAAAAAEAAQA9QAAAIgDAAAAAA==&#10;" path="m,l47216,v68034,,110681,15229,139113,43656c204606,60915,216791,86296,216791,119800r,1015c216791,178684,182267,214218,129465,232493v62957,18274,103573,51777,103573,118784l233038,352292v,78175,-64987,136044,-188867,136044l,488336,,363460r13708,c49248,363460,67525,349247,67525,327927r,-1016c67525,305591,50263,291377,14724,291377l,291377,,189852r4569,c39093,189852,56355,177669,56355,156348r,-1015c56355,134013,38078,121829,3554,121829r-3554,l,xe" fillcolor="black" stroked="f" strokeweight="0">
                  <v:stroke miterlimit="83231f" joinstyle="miter"/>
                  <v:path arrowok="t" textboxrect="0,0,233038,488336"/>
                </v:shape>
                <v:shape id="Shape 5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lqcMA&#10;AADbAAAADwAAAGRycy9kb3ducmV2LnhtbESPT4vCMBTE74LfITxhb5qqKEs1in9YWPCiXQ97fNs8&#10;02LzUpqo7bffCILHYWZ+wyzXra3EnRpfOlYwHiUgiHOnSzYKzj9fw08QPiBrrByTgo48rFf93hJT&#10;7R58onsWjIgQ9ikqKEKoUyl9XpBFP3I1cfQurrEYomyM1A0+ItxWcpIkc2mx5LhQYE27gvJrdrMK&#10;tOsOl7/uvOWbMfvjjqe/pZ8q9TFoNwsQgdrwDr/a31rBbA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lqcMAAADbAAAADwAAAAAAAAAAAAAAAACYAgAAZHJzL2Rv&#10;d25yZXYueG1sUEsFBgAAAAAEAAQA9QAAAIgDAAAAAA==&#10;" path="m,l163483,r,183761l302595,,493493,,322903,213203,497555,490367r-195975,l205115,335033r-41632,50763l163483,490367,,490367r,l,xe" fillcolor="black" stroked="f" strokeweight="0">
                  <v:stroke miterlimit="83231f" joinstyle="miter"/>
                  <v:path arrowok="t" textboxrect="0,0,497555,490367"/>
                </v:shape>
                <v:shape id="Shape 93478"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aRMYA&#10;AADeAAAADwAAAGRycy9kb3ducmV2LnhtbERPS0vDQBC+F/wPywhexG7U+ordllIUcuiliaLehuw0&#10;CWZnw+7Ypv++exB6/Pje8+XoerWnEDvPBm6nGSji2tuOGwMf1fvNM6goyBZ7z2TgSBGWi4vJHHPr&#10;D7ylfSmNSiEcczTQigy51rFuyWGc+oE4cTsfHEqCodE24CGFu17fZdmjdthxamhxoHVL9W/55wyE&#10;Xso3+Xz4+vlerTfHbFdcV6Ew5upyXL2CEhrlLP53F9bAy/3sKe1Nd9IV0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7aRMYAAADeAAAADwAAAAAAAAAAAAAAAACYAgAAZHJz&#10;L2Rvd25yZXYueG1sUEsFBgAAAAAEAAQA9QAAAIsDAAAAAA==&#10;" path="m,l163482,r,490367l,490367,,e" fillcolor="black" stroked="f" strokeweight="0">
                  <v:stroke miterlimit="83231f" joinstyle="miter"/>
                  <v:path arrowok="t" textboxrect="0,0,163482,490367"/>
                </v:shape>
                <v:shape id="Shape 5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ZR1cUA&#10;AADbAAAADwAAAGRycy9kb3ducmV2LnhtbESPT2vCQBTE7wW/w/IEb3Wj2NLGrBLEQKEHW1vo9ZF9&#10;+aPZtzG7ifHbd4VCj8PM/IZJtqNpxECdqy0rWMwjEMS51TWXCr6/sscXEM4ja2wsk4IbOdhuJg8J&#10;xtpe+ZOGoy9FgLCLUUHlfRtL6fKKDLq5bYmDV9jOoA+yK6Xu8BrgppHLKHqWBmsOCxW2tKsoPx97&#10;o+B0e/9pPlaHfZbhok8vryYtvFFqNh3TNQhPo/8P/7XftIKnFdy/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lHVxQAAANsAAAAPAAAAAAAAAAAAAAAAAJgCAABkcnMv&#10;ZG93bnJldi54bWxQSwUGAAAAAAQABAD1AAAAigMAAAAA&#10;" path="m,l153328,,327980,216249,327980,,490447,r,490367l344227,490367,162467,263966r,226401l,490367,,xe" fillcolor="black" stroked="f" strokeweight="0">
                  <v:stroke miterlimit="83231f" joinstyle="miter"/>
                  <v:path arrowok="t" textboxrect="0,0,490447,490367"/>
                </v:shape>
                <v:shape id="Shape 5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hKMMA&#10;AADbAAAADwAAAGRycy9kb3ducmV2LnhtbESPQWvCQBSE7wX/w/KE3upGS6rGbEQKhd5KVcTjI/vM&#10;BrNvQ3Yb1/76bqHQ4zAz3zDlNtpOjDT41rGC+SwDQVw73XKj4Hh4e1qB8AFZY+eYFNzJw7aaPJRY&#10;aHfjTxr3oREJwr5ABSaEvpDS14Ys+pnriZN3cYPFkOTQSD3gLcFtJxdZ9iIttpwWDPb0aqi+7r+s&#10;go+4Xi70ncbvyPnZtKcLPmup1OM07jYgAsXwH/5rv2s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hKMMAAADbAAAADwAAAAAAAAAAAAAAAACYAgAAZHJzL2Rv&#10;d25yZXYueG1sUEsFBgAAAAAEAAQA9QAAAIgDAAAAAA==&#10;" path="m67018,l228469,36549,116773,116754,,116754,67018,xe" fillcolor="black" stroked="f" strokeweight="0">
                  <v:stroke miterlimit="83231f" joinstyle="miter"/>
                  <v:path arrowok="t" textboxrect="0,0,228469,116754"/>
                </v:shape>
                <w10:anchorlock/>
              </v:group>
            </w:pict>
          </mc:Fallback>
        </mc:AlternateContent>
      </w:r>
    </w:p>
    <w:p w:rsidR="002A1831" w:rsidRDefault="00294B37">
      <w:pPr>
        <w:spacing w:after="0" w:line="259" w:lineRule="auto"/>
        <w:ind w:left="1197" w:firstLine="0"/>
      </w:pPr>
      <w:r>
        <w:rPr>
          <w:noProof/>
        </w:rPr>
        <w:lastRenderedPageBreak/>
        <w:drawing>
          <wp:inline distT="0" distB="0" distL="0" distR="0">
            <wp:extent cx="5129784" cy="5129785"/>
            <wp:effectExtent l="0" t="0" r="0" b="0"/>
            <wp:docPr id="87162" name="Picture 87162"/>
            <wp:cNvGraphicFramePr/>
            <a:graphic xmlns:a="http://schemas.openxmlformats.org/drawingml/2006/main">
              <a:graphicData uri="http://schemas.openxmlformats.org/drawingml/2006/picture">
                <pic:pic xmlns:pic="http://schemas.openxmlformats.org/drawingml/2006/picture">
                  <pic:nvPicPr>
                    <pic:cNvPr id="87162" name="Picture 87162"/>
                    <pic:cNvPicPr/>
                  </pic:nvPicPr>
                  <pic:blipFill>
                    <a:blip r:embed="rId7"/>
                    <a:stretch>
                      <a:fillRect/>
                    </a:stretch>
                  </pic:blipFill>
                  <pic:spPr>
                    <a:xfrm>
                      <a:off x="0" y="0"/>
                      <a:ext cx="5129784" cy="5129785"/>
                    </a:xfrm>
                    <a:prstGeom prst="rect">
                      <a:avLst/>
                    </a:prstGeom>
                  </pic:spPr>
                </pic:pic>
              </a:graphicData>
            </a:graphic>
          </wp:inline>
        </w:drawing>
      </w:r>
    </w:p>
    <w:p w:rsidR="002A1831" w:rsidRDefault="00294B37">
      <w:pPr>
        <w:spacing w:after="643" w:line="265" w:lineRule="auto"/>
        <w:ind w:left="10" w:right="98"/>
        <w:jc w:val="right"/>
      </w:pPr>
      <w:r>
        <w:rPr>
          <w:rFonts w:ascii="Tahoma" w:eastAsia="Tahoma" w:hAnsi="Tahoma" w:cs="Tahoma"/>
          <w:sz w:val="19"/>
        </w:rPr>
        <w:t xml:space="preserve">Obsah  </w:t>
      </w:r>
    </w:p>
    <w:p w:rsidR="002A1831" w:rsidRDefault="00294B37">
      <w:pPr>
        <w:pStyle w:val="Nadpis1"/>
      </w:pPr>
      <w:r>
        <w:lastRenderedPageBreak/>
        <w:t>Obsah</w:t>
      </w:r>
    </w:p>
    <w:p w:rsidR="002A1831" w:rsidRDefault="00294B37">
      <w:pPr>
        <w:spacing w:after="0" w:line="259" w:lineRule="auto"/>
        <w:ind w:left="0" w:firstLine="0"/>
      </w:pPr>
      <w:r>
        <w:rPr>
          <w:noProof/>
          <w:sz w:val="22"/>
        </w:rPr>
        <mc:AlternateContent>
          <mc:Choice Requires="wpg">
            <w:drawing>
              <wp:inline distT="0" distB="0" distL="0" distR="0">
                <wp:extent cx="6718051" cy="5526001"/>
                <wp:effectExtent l="0" t="0" r="0" b="0"/>
                <wp:docPr id="58738" name="Group 58738"/>
                <wp:cNvGraphicFramePr/>
                <a:graphic xmlns:a="http://schemas.openxmlformats.org/drawingml/2006/main">
                  <a:graphicData uri="http://schemas.microsoft.com/office/word/2010/wordprocessingGroup">
                    <wpg:wgp>
                      <wpg:cNvGrpSpPr/>
                      <wpg:grpSpPr>
                        <a:xfrm>
                          <a:off x="0" y="0"/>
                          <a:ext cx="6718051" cy="5526001"/>
                          <a:chOff x="0" y="0"/>
                          <a:chExt cx="6718051" cy="5526001"/>
                        </a:xfrm>
                      </wpg:grpSpPr>
                      <wps:wsp>
                        <wps:cNvPr id="93479" name="Shape 93479"/>
                        <wps:cNvSpPr/>
                        <wps:spPr>
                          <a:xfrm>
                            <a:off x="0" y="16257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0" name="Shape 93480"/>
                        <wps:cNvSpPr/>
                        <wps:spPr>
                          <a:xfrm>
                            <a:off x="0" y="68582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1" name="Shape 93481"/>
                        <wps:cNvSpPr/>
                        <wps:spPr>
                          <a:xfrm>
                            <a:off x="0" y="153838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2" name="Shape 93482"/>
                        <wps:cNvSpPr/>
                        <wps:spPr>
                          <a:xfrm>
                            <a:off x="0" y="239095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3" name="Shape 93483"/>
                        <wps:cNvSpPr/>
                        <wps:spPr>
                          <a:xfrm>
                            <a:off x="0" y="3133741"/>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4" name="Shape 93484"/>
                        <wps:cNvSpPr/>
                        <wps:spPr>
                          <a:xfrm>
                            <a:off x="0" y="3876532"/>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5" name="Shape 93485"/>
                        <wps:cNvSpPr/>
                        <wps:spPr>
                          <a:xfrm>
                            <a:off x="0" y="516818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95" name="Rectangle 495"/>
                        <wps:cNvSpPr/>
                        <wps:spPr>
                          <a:xfrm>
                            <a:off x="0" y="0"/>
                            <a:ext cx="1136415" cy="231720"/>
                          </a:xfrm>
                          <a:prstGeom prst="rect">
                            <a:avLst/>
                          </a:prstGeom>
                          <a:ln>
                            <a:noFill/>
                          </a:ln>
                        </wps:spPr>
                        <wps:txbx>
                          <w:txbxContent>
                            <w:p w:rsidR="002A1831" w:rsidRDefault="00294B37">
                              <w:pPr>
                                <w:spacing w:after="160" w:line="259" w:lineRule="auto"/>
                                <w:ind w:left="0" w:firstLine="0"/>
                              </w:pPr>
                              <w:r>
                                <w:rPr>
                                  <w:w w:val="83"/>
                                  <w:sz w:val="26"/>
                                </w:rPr>
                                <w:t>Garance</w:t>
                              </w:r>
                              <w:r>
                                <w:rPr>
                                  <w:spacing w:val="-3"/>
                                  <w:w w:val="83"/>
                                  <w:sz w:val="26"/>
                                </w:rPr>
                                <w:t xml:space="preserve"> </w:t>
                              </w:r>
                              <w:r>
                                <w:rPr>
                                  <w:w w:val="83"/>
                                  <w:sz w:val="26"/>
                                </w:rPr>
                                <w:t>kvality</w:t>
                              </w:r>
                            </w:p>
                          </w:txbxContent>
                        </wps:txbx>
                        <wps:bodyPr horzOverflow="overflow" vert="horz" lIns="0" tIns="0" rIns="0" bIns="0" rtlCol="0">
                          <a:noAutofit/>
                        </wps:bodyPr>
                      </wps:wsp>
                      <wps:wsp>
                        <wps:cNvPr id="496" name="Shape 496"/>
                        <wps:cNvSpPr/>
                        <wps:spPr>
                          <a:xfrm>
                            <a:off x="219544" y="33455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7" name="Rectangle 497"/>
                        <wps:cNvSpPr/>
                        <wps:spPr>
                          <a:xfrm>
                            <a:off x="303703" y="294471"/>
                            <a:ext cx="1584164" cy="154480"/>
                          </a:xfrm>
                          <a:prstGeom prst="rect">
                            <a:avLst/>
                          </a:prstGeom>
                          <a:ln>
                            <a:noFill/>
                          </a:ln>
                        </wps:spPr>
                        <wps:txbx>
                          <w:txbxContent>
                            <w:p w:rsidR="002A1831" w:rsidRDefault="00294B37">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wps:txbx>
                        <wps:bodyPr horzOverflow="overflow" vert="horz" lIns="0" tIns="0" rIns="0" bIns="0" rtlCol="0">
                          <a:noAutofit/>
                        </wps:bodyPr>
                      </wps:wsp>
                      <wps:wsp>
                        <wps:cNvPr id="498" name="Rectangle 498"/>
                        <wps:cNvSpPr/>
                        <wps:spPr>
                          <a:xfrm>
                            <a:off x="0" y="523247"/>
                            <a:ext cx="1860390" cy="231720"/>
                          </a:xfrm>
                          <a:prstGeom prst="rect">
                            <a:avLst/>
                          </a:prstGeom>
                          <a:ln>
                            <a:noFill/>
                          </a:ln>
                        </wps:spPr>
                        <wps:txbx>
                          <w:txbxContent>
                            <w:p w:rsidR="002A1831" w:rsidRDefault="00294B37">
                              <w:pPr>
                                <w:spacing w:after="160" w:line="259" w:lineRule="auto"/>
                                <w:ind w:left="0" w:firstLine="0"/>
                              </w:pPr>
                              <w:r>
                                <w:rPr>
                                  <w:w w:val="84"/>
                                  <w:sz w:val="26"/>
                                </w:rPr>
                                <w:t>Každodenní</w:t>
                              </w:r>
                              <w:r>
                                <w:rPr>
                                  <w:spacing w:val="-8"/>
                                  <w:w w:val="84"/>
                                  <w:sz w:val="26"/>
                                </w:rPr>
                                <w:t xml:space="preserve"> </w:t>
                              </w:r>
                              <w:r>
                                <w:rPr>
                                  <w:w w:val="84"/>
                                  <w:sz w:val="26"/>
                                </w:rPr>
                                <w:t>bankovnictví</w:t>
                              </w:r>
                            </w:p>
                          </w:txbxContent>
                        </wps:txbx>
                        <wps:bodyPr horzOverflow="overflow" vert="horz" lIns="0" tIns="0" rIns="0" bIns="0" rtlCol="0">
                          <a:noAutofit/>
                        </wps:bodyPr>
                      </wps:wsp>
                      <wps:wsp>
                        <wps:cNvPr id="499" name="Shape 499"/>
                        <wps:cNvSpPr/>
                        <wps:spPr>
                          <a:xfrm>
                            <a:off x="219544" y="85780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0" name="Rectangle 500"/>
                        <wps:cNvSpPr/>
                        <wps:spPr>
                          <a:xfrm>
                            <a:off x="303703" y="817718"/>
                            <a:ext cx="997694" cy="154481"/>
                          </a:xfrm>
                          <a:prstGeom prst="rect">
                            <a:avLst/>
                          </a:prstGeom>
                          <a:ln>
                            <a:noFill/>
                          </a:ln>
                        </wps:spPr>
                        <wps:txbx>
                          <w:txbxContent>
                            <w:p w:rsidR="002A1831" w:rsidRDefault="00294B37">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wps:txbx>
                        <wps:bodyPr horzOverflow="overflow" vert="horz" lIns="0" tIns="0" rIns="0" bIns="0" rtlCol="0">
                          <a:noAutofit/>
                        </wps:bodyPr>
                      </wps:wsp>
                      <wps:wsp>
                        <wps:cNvPr id="501" name="Shape 501"/>
                        <wps:cNvSpPr/>
                        <wps:spPr>
                          <a:xfrm>
                            <a:off x="219544" y="96757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2" name="Rectangle 502"/>
                        <wps:cNvSpPr/>
                        <wps:spPr>
                          <a:xfrm>
                            <a:off x="303703" y="927489"/>
                            <a:ext cx="262843" cy="154481"/>
                          </a:xfrm>
                          <a:prstGeom prst="rect">
                            <a:avLst/>
                          </a:prstGeom>
                          <a:ln>
                            <a:noFill/>
                          </a:ln>
                        </wps:spPr>
                        <wps:txbx>
                          <w:txbxContent>
                            <w:p w:rsidR="002A1831" w:rsidRDefault="00294B37">
                              <w:pPr>
                                <w:spacing w:after="160" w:line="259" w:lineRule="auto"/>
                                <w:ind w:left="0" w:firstLine="0"/>
                              </w:pPr>
                              <w:r>
                                <w:rPr>
                                  <w:w w:val="84"/>
                                  <w:sz w:val="17"/>
                                </w:rPr>
                                <w:t>Karty</w:t>
                              </w:r>
                            </w:p>
                          </w:txbxContent>
                        </wps:txbx>
                        <wps:bodyPr horzOverflow="overflow" vert="horz" lIns="0" tIns="0" rIns="0" bIns="0" rtlCol="0">
                          <a:noAutofit/>
                        </wps:bodyPr>
                      </wps:wsp>
                      <wps:wsp>
                        <wps:cNvPr id="503" name="Shape 503"/>
                        <wps:cNvSpPr/>
                        <wps:spPr>
                          <a:xfrm>
                            <a:off x="219544" y="107734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4" name="Rectangle 504"/>
                        <wps:cNvSpPr/>
                        <wps:spPr>
                          <a:xfrm>
                            <a:off x="303703" y="1037262"/>
                            <a:ext cx="951510" cy="154481"/>
                          </a:xfrm>
                          <a:prstGeom prst="rect">
                            <a:avLst/>
                          </a:prstGeom>
                          <a:ln>
                            <a:noFill/>
                          </a:ln>
                        </wps:spPr>
                        <wps:txbx>
                          <w:txbxContent>
                            <w:p w:rsidR="002A1831" w:rsidRDefault="00294B37">
                              <w:pPr>
                                <w:spacing w:after="160" w:line="259" w:lineRule="auto"/>
                                <w:ind w:left="0" w:firstLine="0"/>
                              </w:pPr>
                              <w:r>
                                <w:rPr>
                                  <w:w w:val="83"/>
                                  <w:sz w:val="17"/>
                                </w:rPr>
                                <w:t>Přímé</w:t>
                              </w:r>
                              <w:r>
                                <w:rPr>
                                  <w:spacing w:val="-6"/>
                                  <w:w w:val="83"/>
                                  <w:sz w:val="17"/>
                                </w:rPr>
                                <w:t xml:space="preserve"> </w:t>
                              </w:r>
                              <w:r>
                                <w:rPr>
                                  <w:w w:val="83"/>
                                  <w:sz w:val="17"/>
                                </w:rPr>
                                <w:t>bankovnictví</w:t>
                              </w:r>
                            </w:p>
                          </w:txbxContent>
                        </wps:txbx>
                        <wps:bodyPr horzOverflow="overflow" vert="horz" lIns="0" tIns="0" rIns="0" bIns="0" rtlCol="0">
                          <a:noAutofit/>
                        </wps:bodyPr>
                      </wps:wsp>
                      <wps:wsp>
                        <wps:cNvPr id="505" name="Shape 505"/>
                        <wps:cNvSpPr/>
                        <wps:spPr>
                          <a:xfrm>
                            <a:off x="219544" y="118711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6" name="Rectangle 506"/>
                        <wps:cNvSpPr/>
                        <wps:spPr>
                          <a:xfrm>
                            <a:off x="303703" y="1147033"/>
                            <a:ext cx="634892" cy="154481"/>
                          </a:xfrm>
                          <a:prstGeom prst="rect">
                            <a:avLst/>
                          </a:prstGeom>
                          <a:ln>
                            <a:noFill/>
                          </a:ln>
                        </wps:spPr>
                        <wps:txbx>
                          <w:txbxContent>
                            <w:p w:rsidR="002A1831" w:rsidRDefault="00294B37">
                              <w:pPr>
                                <w:spacing w:after="160" w:line="259" w:lineRule="auto"/>
                                <w:ind w:left="0" w:firstLine="0"/>
                              </w:pPr>
                              <w:r>
                                <w:rPr>
                                  <w:w w:val="83"/>
                                  <w:sz w:val="17"/>
                                </w:rPr>
                                <w:t>Platební</w:t>
                              </w:r>
                              <w:r>
                                <w:rPr>
                                  <w:spacing w:val="-2"/>
                                  <w:w w:val="83"/>
                                  <w:sz w:val="17"/>
                                </w:rPr>
                                <w:t xml:space="preserve"> </w:t>
                              </w:r>
                              <w:r>
                                <w:rPr>
                                  <w:w w:val="83"/>
                                  <w:sz w:val="17"/>
                                </w:rPr>
                                <w:t>styk</w:t>
                              </w:r>
                            </w:p>
                          </w:txbxContent>
                        </wps:txbx>
                        <wps:bodyPr horzOverflow="overflow" vert="horz" lIns="0" tIns="0" rIns="0" bIns="0" rtlCol="0">
                          <a:noAutofit/>
                        </wps:bodyPr>
                      </wps:wsp>
                      <wps:wsp>
                        <wps:cNvPr id="507" name="Rectangle 507"/>
                        <wps:cNvSpPr/>
                        <wps:spPr>
                          <a:xfrm>
                            <a:off x="0" y="1375810"/>
                            <a:ext cx="887077" cy="231721"/>
                          </a:xfrm>
                          <a:prstGeom prst="rect">
                            <a:avLst/>
                          </a:prstGeom>
                          <a:ln>
                            <a:noFill/>
                          </a:ln>
                        </wps:spPr>
                        <wps:txbx>
                          <w:txbxContent>
                            <w:p w:rsidR="002A1831" w:rsidRDefault="00294B37">
                              <w:pPr>
                                <w:spacing w:after="160" w:line="259" w:lineRule="auto"/>
                                <w:ind w:left="0" w:firstLine="0"/>
                              </w:pPr>
                              <w:r>
                                <w:rPr>
                                  <w:w w:val="84"/>
                                  <w:sz w:val="26"/>
                                </w:rPr>
                                <w:t>Financování</w:t>
                              </w:r>
                            </w:p>
                          </w:txbxContent>
                        </wps:txbx>
                        <wps:bodyPr horzOverflow="overflow" vert="horz" lIns="0" tIns="0" rIns="0" bIns="0" rtlCol="0">
                          <a:noAutofit/>
                        </wps:bodyPr>
                      </wps:wsp>
                      <wps:wsp>
                        <wps:cNvPr id="508" name="Shape 508"/>
                        <wps:cNvSpPr/>
                        <wps:spPr>
                          <a:xfrm>
                            <a:off x="219544" y="171036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9" name="Rectangle 509"/>
                        <wps:cNvSpPr/>
                        <wps:spPr>
                          <a:xfrm>
                            <a:off x="303703" y="1670281"/>
                            <a:ext cx="287176" cy="154480"/>
                          </a:xfrm>
                          <a:prstGeom prst="rect">
                            <a:avLst/>
                          </a:prstGeom>
                          <a:ln>
                            <a:noFill/>
                          </a:ln>
                        </wps:spPr>
                        <wps:txbx>
                          <w:txbxContent>
                            <w:p w:rsidR="002A1831" w:rsidRDefault="00294B37">
                              <w:pPr>
                                <w:spacing w:after="160" w:line="259" w:lineRule="auto"/>
                                <w:ind w:left="0" w:firstLine="0"/>
                              </w:pPr>
                              <w:r>
                                <w:rPr>
                                  <w:w w:val="83"/>
                                  <w:sz w:val="17"/>
                                </w:rPr>
                                <w:t>Úvěry</w:t>
                              </w:r>
                            </w:p>
                          </w:txbxContent>
                        </wps:txbx>
                        <wps:bodyPr horzOverflow="overflow" vert="horz" lIns="0" tIns="0" rIns="0" bIns="0" rtlCol="0">
                          <a:noAutofit/>
                        </wps:bodyPr>
                      </wps:wsp>
                      <wps:wsp>
                        <wps:cNvPr id="510" name="Shape 510"/>
                        <wps:cNvSpPr/>
                        <wps:spPr>
                          <a:xfrm>
                            <a:off x="219544" y="182013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1" name="Rectangle 511"/>
                        <wps:cNvSpPr/>
                        <wps:spPr>
                          <a:xfrm>
                            <a:off x="303703" y="1780053"/>
                            <a:ext cx="345575" cy="154481"/>
                          </a:xfrm>
                          <a:prstGeom prst="rect">
                            <a:avLst/>
                          </a:prstGeom>
                          <a:ln>
                            <a:noFill/>
                          </a:ln>
                        </wps:spPr>
                        <wps:txbx>
                          <w:txbxContent>
                            <w:p w:rsidR="002A1831" w:rsidRDefault="00294B37">
                              <w:pPr>
                                <w:spacing w:after="160" w:line="259" w:lineRule="auto"/>
                                <w:ind w:left="0" w:firstLine="0"/>
                              </w:pPr>
                              <w:r>
                                <w:rPr>
                                  <w:spacing w:val="3"/>
                                  <w:w w:val="86"/>
                                  <w:sz w:val="17"/>
                                </w:rPr>
                                <w:t>Záruky</w:t>
                              </w:r>
                            </w:p>
                          </w:txbxContent>
                        </wps:txbx>
                        <wps:bodyPr horzOverflow="overflow" vert="horz" lIns="0" tIns="0" rIns="0" bIns="0" rtlCol="0">
                          <a:noAutofit/>
                        </wps:bodyPr>
                      </wps:wsp>
                      <wps:wsp>
                        <wps:cNvPr id="512" name="Shape 512"/>
                        <wps:cNvSpPr/>
                        <wps:spPr>
                          <a:xfrm>
                            <a:off x="219544" y="192990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3" name="Rectangle 513"/>
                        <wps:cNvSpPr/>
                        <wps:spPr>
                          <a:xfrm>
                            <a:off x="303703" y="1889824"/>
                            <a:ext cx="394240" cy="154481"/>
                          </a:xfrm>
                          <a:prstGeom prst="rect">
                            <a:avLst/>
                          </a:prstGeom>
                          <a:ln>
                            <a:noFill/>
                          </a:ln>
                        </wps:spPr>
                        <wps:txbx>
                          <w:txbxContent>
                            <w:p w:rsidR="002A1831" w:rsidRDefault="00294B37">
                              <w:pPr>
                                <w:spacing w:after="160" w:line="259" w:lineRule="auto"/>
                                <w:ind w:left="0" w:firstLine="0"/>
                              </w:pPr>
                              <w:r>
                                <w:rPr>
                                  <w:w w:val="84"/>
                                  <w:sz w:val="17"/>
                                </w:rPr>
                                <w:t>Směnky</w:t>
                              </w:r>
                            </w:p>
                          </w:txbxContent>
                        </wps:txbx>
                        <wps:bodyPr horzOverflow="overflow" vert="horz" lIns="0" tIns="0" rIns="0" bIns="0" rtlCol="0">
                          <a:noAutofit/>
                        </wps:bodyPr>
                      </wps:wsp>
                      <wps:wsp>
                        <wps:cNvPr id="514" name="Shape 514"/>
                        <wps:cNvSpPr/>
                        <wps:spPr>
                          <a:xfrm>
                            <a:off x="219544" y="203967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5" name="Rectangle 515"/>
                        <wps:cNvSpPr/>
                        <wps:spPr>
                          <a:xfrm>
                            <a:off x="303703" y="1999597"/>
                            <a:ext cx="1065826" cy="154481"/>
                          </a:xfrm>
                          <a:prstGeom prst="rect">
                            <a:avLst/>
                          </a:prstGeom>
                          <a:ln>
                            <a:noFill/>
                          </a:ln>
                        </wps:spPr>
                        <wps:txbx>
                          <w:txbxContent>
                            <w:p w:rsidR="002A1831" w:rsidRDefault="00294B37">
                              <w:pPr>
                                <w:spacing w:after="160" w:line="259" w:lineRule="auto"/>
                                <w:ind w:left="0" w:firstLine="0"/>
                              </w:pPr>
                              <w:r>
                                <w:rPr>
                                  <w:w w:val="84"/>
                                  <w:sz w:val="17"/>
                                </w:rPr>
                                <w:t>Dokumentární</w:t>
                              </w:r>
                              <w:r>
                                <w:rPr>
                                  <w:spacing w:val="-2"/>
                                  <w:w w:val="84"/>
                                  <w:sz w:val="17"/>
                                </w:rPr>
                                <w:t xml:space="preserve"> </w:t>
                              </w:r>
                              <w:r>
                                <w:rPr>
                                  <w:w w:val="84"/>
                                  <w:sz w:val="17"/>
                                </w:rPr>
                                <w:t>platby</w:t>
                              </w:r>
                            </w:p>
                          </w:txbxContent>
                        </wps:txbx>
                        <wps:bodyPr horzOverflow="overflow" vert="horz" lIns="0" tIns="0" rIns="0" bIns="0" rtlCol="0">
                          <a:noAutofit/>
                        </wps:bodyPr>
                      </wps:wsp>
                      <wps:wsp>
                        <wps:cNvPr id="516" name="Rectangle 516"/>
                        <wps:cNvSpPr/>
                        <wps:spPr>
                          <a:xfrm>
                            <a:off x="0" y="2228373"/>
                            <a:ext cx="1690060" cy="231720"/>
                          </a:xfrm>
                          <a:prstGeom prst="rect">
                            <a:avLst/>
                          </a:prstGeom>
                          <a:ln>
                            <a:noFill/>
                          </a:ln>
                        </wps:spPr>
                        <wps:txbx>
                          <w:txbxContent>
                            <w:p w:rsidR="002A1831" w:rsidRDefault="00294B37">
                              <w:pPr>
                                <w:spacing w:after="160" w:line="259" w:lineRule="auto"/>
                                <w:ind w:left="0" w:firstLine="0"/>
                              </w:pPr>
                              <w:r>
                                <w:rPr>
                                  <w:w w:val="83"/>
                                  <w:sz w:val="26"/>
                                </w:rPr>
                                <w:t>Investiční</w:t>
                              </w:r>
                              <w:r>
                                <w:rPr>
                                  <w:spacing w:val="-8"/>
                                  <w:w w:val="83"/>
                                  <w:sz w:val="26"/>
                                </w:rPr>
                                <w:t xml:space="preserve"> </w:t>
                              </w:r>
                              <w:r>
                                <w:rPr>
                                  <w:w w:val="83"/>
                                  <w:sz w:val="26"/>
                                </w:rPr>
                                <w:t>bankovnictví</w:t>
                              </w:r>
                            </w:p>
                          </w:txbxContent>
                        </wps:txbx>
                        <wps:bodyPr horzOverflow="overflow" vert="horz" lIns="0" tIns="0" rIns="0" bIns="0" rtlCol="0">
                          <a:noAutofit/>
                        </wps:bodyPr>
                      </wps:wsp>
                      <wps:wsp>
                        <wps:cNvPr id="517" name="Shape 517"/>
                        <wps:cNvSpPr/>
                        <wps:spPr>
                          <a:xfrm>
                            <a:off x="219544" y="256292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8" name="Rectangle 518"/>
                        <wps:cNvSpPr/>
                        <wps:spPr>
                          <a:xfrm>
                            <a:off x="303703" y="2522843"/>
                            <a:ext cx="1338353" cy="154481"/>
                          </a:xfrm>
                          <a:prstGeom prst="rect">
                            <a:avLst/>
                          </a:prstGeom>
                          <a:ln>
                            <a:noFill/>
                          </a:ln>
                        </wps:spPr>
                        <wps:txbx>
                          <w:txbxContent>
                            <w:p w:rsidR="002A1831" w:rsidRDefault="00294B37">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wps:txbx>
                        <wps:bodyPr horzOverflow="overflow" vert="horz" lIns="0" tIns="0" rIns="0" bIns="0" rtlCol="0">
                          <a:noAutofit/>
                        </wps:bodyPr>
                      </wps:wsp>
                      <wps:wsp>
                        <wps:cNvPr id="519" name="Shape 519"/>
                        <wps:cNvSpPr/>
                        <wps:spPr>
                          <a:xfrm>
                            <a:off x="219544" y="267269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0" name="Rectangle 520"/>
                        <wps:cNvSpPr/>
                        <wps:spPr>
                          <a:xfrm>
                            <a:off x="303703" y="2632616"/>
                            <a:ext cx="734900" cy="154481"/>
                          </a:xfrm>
                          <a:prstGeom prst="rect">
                            <a:avLst/>
                          </a:prstGeom>
                          <a:ln>
                            <a:noFill/>
                          </a:ln>
                        </wps:spPr>
                        <wps:txbx>
                          <w:txbxContent>
                            <w:p w:rsidR="002A1831" w:rsidRDefault="00294B37">
                              <w:pPr>
                                <w:spacing w:after="160" w:line="259" w:lineRule="auto"/>
                                <w:ind w:left="0" w:firstLine="0"/>
                              </w:pPr>
                              <w:r>
                                <w:rPr>
                                  <w:w w:val="83"/>
                                  <w:sz w:val="17"/>
                                </w:rPr>
                                <w:t>Podílové</w:t>
                              </w:r>
                              <w:r>
                                <w:rPr>
                                  <w:spacing w:val="-6"/>
                                  <w:w w:val="83"/>
                                  <w:sz w:val="17"/>
                                </w:rPr>
                                <w:t xml:space="preserve"> </w:t>
                              </w:r>
                              <w:r>
                                <w:rPr>
                                  <w:w w:val="83"/>
                                  <w:sz w:val="17"/>
                                </w:rPr>
                                <w:t>fondy</w:t>
                              </w:r>
                            </w:p>
                          </w:txbxContent>
                        </wps:txbx>
                        <wps:bodyPr horzOverflow="overflow" vert="horz" lIns="0" tIns="0" rIns="0" bIns="0" rtlCol="0">
                          <a:noAutofit/>
                        </wps:bodyPr>
                      </wps:wsp>
                      <wps:wsp>
                        <wps:cNvPr id="521" name="Shape 521"/>
                        <wps:cNvSpPr/>
                        <wps:spPr>
                          <a:xfrm>
                            <a:off x="219544" y="278247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2" name="Rectangle 522"/>
                        <wps:cNvSpPr/>
                        <wps:spPr>
                          <a:xfrm>
                            <a:off x="303703" y="2742388"/>
                            <a:ext cx="1131573" cy="154481"/>
                          </a:xfrm>
                          <a:prstGeom prst="rect">
                            <a:avLst/>
                          </a:prstGeom>
                          <a:ln>
                            <a:noFill/>
                          </a:ln>
                        </wps:spPr>
                        <wps:txbx>
                          <w:txbxContent>
                            <w:p w:rsidR="002A1831" w:rsidRDefault="00294B37">
                              <w:pPr>
                                <w:spacing w:after="160" w:line="259" w:lineRule="auto"/>
                                <w:ind w:left="0" w:firstLine="0"/>
                              </w:pPr>
                              <w:r>
                                <w:rPr>
                                  <w:w w:val="83"/>
                                  <w:sz w:val="17"/>
                                </w:rPr>
                                <w:t>Investiční</w:t>
                              </w:r>
                              <w:r>
                                <w:rPr>
                                  <w:spacing w:val="-2"/>
                                  <w:w w:val="83"/>
                                  <w:sz w:val="17"/>
                                </w:rPr>
                                <w:t xml:space="preserve"> </w:t>
                              </w:r>
                              <w:r>
                                <w:rPr>
                                  <w:w w:val="83"/>
                                  <w:sz w:val="17"/>
                                </w:rPr>
                                <w:t>bankovnictví</w:t>
                              </w:r>
                            </w:p>
                          </w:txbxContent>
                        </wps:txbx>
                        <wps:bodyPr horzOverflow="overflow" vert="horz" lIns="0" tIns="0" rIns="0" bIns="0" rtlCol="0">
                          <a:noAutofit/>
                        </wps:bodyPr>
                      </wps:wsp>
                      <wps:wsp>
                        <wps:cNvPr id="523" name="Rectangle 523"/>
                        <wps:cNvSpPr/>
                        <wps:spPr>
                          <a:xfrm>
                            <a:off x="0" y="2971164"/>
                            <a:ext cx="1053684" cy="231720"/>
                          </a:xfrm>
                          <a:prstGeom prst="rect">
                            <a:avLst/>
                          </a:prstGeom>
                          <a:ln>
                            <a:noFill/>
                          </a:ln>
                        </wps:spPr>
                        <wps:txbx>
                          <w:txbxContent>
                            <w:p w:rsidR="002A1831" w:rsidRDefault="00294B37">
                              <w:pPr>
                                <w:spacing w:after="160" w:line="259" w:lineRule="auto"/>
                                <w:ind w:left="0" w:firstLine="0"/>
                              </w:pPr>
                              <w:r>
                                <w:rPr>
                                  <w:w w:val="84"/>
                                  <w:sz w:val="26"/>
                                </w:rPr>
                                <w:t>Ostatní</w:t>
                              </w:r>
                              <w:r>
                                <w:rPr>
                                  <w:spacing w:val="-8"/>
                                  <w:w w:val="84"/>
                                  <w:sz w:val="26"/>
                                </w:rPr>
                                <w:t xml:space="preserve"> </w:t>
                              </w:r>
                              <w:r>
                                <w:rPr>
                                  <w:w w:val="84"/>
                                  <w:sz w:val="26"/>
                                </w:rPr>
                                <w:t>služby</w:t>
                              </w:r>
                            </w:p>
                          </w:txbxContent>
                        </wps:txbx>
                        <wps:bodyPr horzOverflow="overflow" vert="horz" lIns="0" tIns="0" rIns="0" bIns="0" rtlCol="0">
                          <a:noAutofit/>
                        </wps:bodyPr>
                      </wps:wsp>
                      <wps:wsp>
                        <wps:cNvPr id="524" name="Shape 524"/>
                        <wps:cNvSpPr/>
                        <wps:spPr>
                          <a:xfrm>
                            <a:off x="219544" y="3305717"/>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5" name="Rectangle 525"/>
                        <wps:cNvSpPr/>
                        <wps:spPr>
                          <a:xfrm>
                            <a:off x="303703" y="3265635"/>
                            <a:ext cx="228777" cy="154480"/>
                          </a:xfrm>
                          <a:prstGeom prst="rect">
                            <a:avLst/>
                          </a:prstGeom>
                          <a:ln>
                            <a:noFill/>
                          </a:ln>
                        </wps:spPr>
                        <wps:txbx>
                          <w:txbxContent>
                            <w:p w:rsidR="002A1831" w:rsidRDefault="00294B37">
                              <w:pPr>
                                <w:spacing w:after="160" w:line="259" w:lineRule="auto"/>
                                <w:ind w:left="0" w:firstLine="0"/>
                              </w:pPr>
                              <w:r>
                                <w:rPr>
                                  <w:w w:val="84"/>
                                  <w:sz w:val="17"/>
                                </w:rPr>
                                <w:t>Šeky</w:t>
                              </w:r>
                            </w:p>
                          </w:txbxContent>
                        </wps:txbx>
                        <wps:bodyPr horzOverflow="overflow" vert="horz" lIns="0" tIns="0" rIns="0" bIns="0" rtlCol="0">
                          <a:noAutofit/>
                        </wps:bodyPr>
                      </wps:wsp>
                      <wps:wsp>
                        <wps:cNvPr id="526" name="Shape 526"/>
                        <wps:cNvSpPr/>
                        <wps:spPr>
                          <a:xfrm>
                            <a:off x="219544" y="341548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7" name="Rectangle 527"/>
                        <wps:cNvSpPr/>
                        <wps:spPr>
                          <a:xfrm>
                            <a:off x="303703" y="3375407"/>
                            <a:ext cx="998959" cy="154480"/>
                          </a:xfrm>
                          <a:prstGeom prst="rect">
                            <a:avLst/>
                          </a:prstGeom>
                          <a:ln>
                            <a:noFill/>
                          </a:ln>
                        </wps:spPr>
                        <wps:txbx>
                          <w:txbxContent>
                            <w:p w:rsidR="002A1831" w:rsidRDefault="00294B37">
                              <w:pPr>
                                <w:spacing w:after="160" w:line="259" w:lineRule="auto"/>
                                <w:ind w:left="0" w:firstLine="0"/>
                              </w:pPr>
                              <w:r>
                                <w:rPr>
                                  <w:w w:val="84"/>
                                  <w:sz w:val="17"/>
                                </w:rPr>
                                <w:t>Bankovní</w:t>
                              </w:r>
                              <w:r>
                                <w:rPr>
                                  <w:spacing w:val="-2"/>
                                  <w:w w:val="84"/>
                                  <w:sz w:val="17"/>
                                </w:rPr>
                                <w:t xml:space="preserve"> </w:t>
                              </w:r>
                              <w:r>
                                <w:rPr>
                                  <w:w w:val="84"/>
                                  <w:sz w:val="17"/>
                                </w:rPr>
                                <w:t>informace</w:t>
                              </w:r>
                            </w:p>
                          </w:txbxContent>
                        </wps:txbx>
                        <wps:bodyPr horzOverflow="overflow" vert="horz" lIns="0" tIns="0" rIns="0" bIns="0" rtlCol="0">
                          <a:noAutofit/>
                        </wps:bodyPr>
                      </wps:wsp>
                      <wps:wsp>
                        <wps:cNvPr id="528" name="Shape 528"/>
                        <wps:cNvSpPr/>
                        <wps:spPr>
                          <a:xfrm>
                            <a:off x="219544" y="35252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9" name="Rectangle 529"/>
                        <wps:cNvSpPr/>
                        <wps:spPr>
                          <a:xfrm>
                            <a:off x="303703" y="3485179"/>
                            <a:ext cx="705700" cy="154480"/>
                          </a:xfrm>
                          <a:prstGeom prst="rect">
                            <a:avLst/>
                          </a:prstGeom>
                          <a:ln>
                            <a:noFill/>
                          </a:ln>
                        </wps:spPr>
                        <wps:txbx>
                          <w:txbxContent>
                            <w:p w:rsidR="002A1831" w:rsidRDefault="00294B37">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30" name="Rectangle 530"/>
                        <wps:cNvSpPr/>
                        <wps:spPr>
                          <a:xfrm>
                            <a:off x="0" y="3713955"/>
                            <a:ext cx="1574406" cy="231721"/>
                          </a:xfrm>
                          <a:prstGeom prst="rect">
                            <a:avLst/>
                          </a:prstGeom>
                          <a:ln>
                            <a:noFill/>
                          </a:ln>
                        </wps:spPr>
                        <wps:txbx>
                          <w:txbxContent>
                            <w:p w:rsidR="002A1831" w:rsidRDefault="00294B37">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wps:txbx>
                        <wps:bodyPr horzOverflow="overflow" vert="horz" lIns="0" tIns="0" rIns="0" bIns="0" rtlCol="0">
                          <a:noAutofit/>
                        </wps:bodyPr>
                      </wps:wsp>
                      <wps:wsp>
                        <wps:cNvPr id="531" name="Shape 531"/>
                        <wps:cNvSpPr/>
                        <wps:spPr>
                          <a:xfrm>
                            <a:off x="219544" y="404850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2" name="Rectangle 532"/>
                        <wps:cNvSpPr/>
                        <wps:spPr>
                          <a:xfrm>
                            <a:off x="303703" y="4008427"/>
                            <a:ext cx="676501" cy="154479"/>
                          </a:xfrm>
                          <a:prstGeom prst="rect">
                            <a:avLst/>
                          </a:prstGeom>
                          <a:ln>
                            <a:noFill/>
                          </a:ln>
                        </wps:spPr>
                        <wps:txbx>
                          <w:txbxContent>
                            <w:p w:rsidR="002A1831" w:rsidRDefault="00294B37">
                              <w:pPr>
                                <w:spacing w:after="160" w:line="259" w:lineRule="auto"/>
                                <w:ind w:left="0" w:firstLine="0"/>
                              </w:pPr>
                              <w:r>
                                <w:rPr>
                                  <w:w w:val="83"/>
                                  <w:sz w:val="17"/>
                                </w:rPr>
                                <w:t>Debetní</w:t>
                              </w:r>
                              <w:r>
                                <w:rPr>
                                  <w:spacing w:val="-2"/>
                                  <w:w w:val="83"/>
                                  <w:sz w:val="17"/>
                                </w:rPr>
                                <w:t xml:space="preserve"> </w:t>
                              </w:r>
                              <w:r>
                                <w:rPr>
                                  <w:w w:val="83"/>
                                  <w:sz w:val="17"/>
                                </w:rPr>
                                <w:t>karty</w:t>
                              </w:r>
                            </w:p>
                          </w:txbxContent>
                        </wps:txbx>
                        <wps:bodyPr horzOverflow="overflow" vert="horz" lIns="0" tIns="0" rIns="0" bIns="0" rtlCol="0">
                          <a:noAutofit/>
                        </wps:bodyPr>
                      </wps:wsp>
                      <wps:wsp>
                        <wps:cNvPr id="533" name="Shape 533"/>
                        <wps:cNvSpPr/>
                        <wps:spPr>
                          <a:xfrm>
                            <a:off x="219544" y="415828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4" name="Rectangle 534"/>
                        <wps:cNvSpPr/>
                        <wps:spPr>
                          <a:xfrm>
                            <a:off x="303703" y="4118198"/>
                            <a:ext cx="705700" cy="154480"/>
                          </a:xfrm>
                          <a:prstGeom prst="rect">
                            <a:avLst/>
                          </a:prstGeom>
                          <a:ln>
                            <a:noFill/>
                          </a:ln>
                        </wps:spPr>
                        <wps:txbx>
                          <w:txbxContent>
                            <w:p w:rsidR="002A1831" w:rsidRDefault="00294B37">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wps:txbx>
                        <wps:bodyPr horzOverflow="overflow" vert="horz" lIns="0" tIns="0" rIns="0" bIns="0" rtlCol="0">
                          <a:noAutofit/>
                        </wps:bodyPr>
                      </wps:wsp>
                      <wps:wsp>
                        <wps:cNvPr id="535" name="Shape 535"/>
                        <wps:cNvSpPr/>
                        <wps:spPr>
                          <a:xfrm>
                            <a:off x="219544" y="426805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6" name="Rectangle 536"/>
                        <wps:cNvSpPr/>
                        <wps:spPr>
                          <a:xfrm>
                            <a:off x="303703" y="4227970"/>
                            <a:ext cx="1692298" cy="154480"/>
                          </a:xfrm>
                          <a:prstGeom prst="rect">
                            <a:avLst/>
                          </a:prstGeom>
                          <a:ln>
                            <a:noFill/>
                          </a:ln>
                        </wps:spPr>
                        <wps:txbx>
                          <w:txbxContent>
                            <w:p w:rsidR="002A1831" w:rsidRDefault="00294B37">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wps:txbx>
                        <wps:bodyPr horzOverflow="overflow" vert="horz" lIns="0" tIns="0" rIns="0" bIns="0" rtlCol="0">
                          <a:noAutofit/>
                        </wps:bodyPr>
                      </wps:wsp>
                      <wps:wsp>
                        <wps:cNvPr id="537" name="Shape 537"/>
                        <wps:cNvSpPr/>
                        <wps:spPr>
                          <a:xfrm>
                            <a:off x="219544" y="43778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8" name="Rectangle 538"/>
                        <wps:cNvSpPr/>
                        <wps:spPr>
                          <a:xfrm>
                            <a:off x="303703" y="4337743"/>
                            <a:ext cx="807898" cy="154479"/>
                          </a:xfrm>
                          <a:prstGeom prst="rect">
                            <a:avLst/>
                          </a:prstGeom>
                          <a:ln>
                            <a:noFill/>
                          </a:ln>
                        </wps:spPr>
                        <wps:txbx>
                          <w:txbxContent>
                            <w:p w:rsidR="002A1831" w:rsidRDefault="00294B37">
                              <w:pPr>
                                <w:spacing w:after="160" w:line="259" w:lineRule="auto"/>
                                <w:ind w:left="0" w:firstLine="0"/>
                              </w:pPr>
                              <w:r>
                                <w:rPr>
                                  <w:w w:val="83"/>
                                  <w:sz w:val="17"/>
                                </w:rPr>
                                <w:t>Hypoteční</w:t>
                              </w:r>
                              <w:r>
                                <w:rPr>
                                  <w:spacing w:val="-2"/>
                                  <w:w w:val="83"/>
                                  <w:sz w:val="17"/>
                                </w:rPr>
                                <w:t xml:space="preserve"> </w:t>
                              </w:r>
                              <w:r>
                                <w:rPr>
                                  <w:w w:val="83"/>
                                  <w:sz w:val="17"/>
                                </w:rPr>
                                <w:t>úvěry</w:t>
                              </w:r>
                            </w:p>
                          </w:txbxContent>
                        </wps:txbx>
                        <wps:bodyPr horzOverflow="overflow" vert="horz" lIns="0" tIns="0" rIns="0" bIns="0" rtlCol="0">
                          <a:noAutofit/>
                        </wps:bodyPr>
                      </wps:wsp>
                      <wps:wsp>
                        <wps:cNvPr id="539" name="Shape 539"/>
                        <wps:cNvSpPr/>
                        <wps:spPr>
                          <a:xfrm>
                            <a:off x="219544" y="44875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0" name="Rectangle 540"/>
                        <wps:cNvSpPr/>
                        <wps:spPr>
                          <a:xfrm>
                            <a:off x="303703" y="4447515"/>
                            <a:ext cx="1268761" cy="154479"/>
                          </a:xfrm>
                          <a:prstGeom prst="rect">
                            <a:avLst/>
                          </a:prstGeom>
                          <a:ln>
                            <a:noFill/>
                          </a:ln>
                        </wps:spPr>
                        <wps:txbx>
                          <w:txbxContent>
                            <w:p w:rsidR="002A1831" w:rsidRDefault="00294B37">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wps:txbx>
                        <wps:bodyPr horzOverflow="overflow" vert="horz" lIns="0" tIns="0" rIns="0" bIns="0" rtlCol="0">
                          <a:noAutofit/>
                        </wps:bodyPr>
                      </wps:wsp>
                      <wps:wsp>
                        <wps:cNvPr id="541" name="Shape 541"/>
                        <wps:cNvSpPr/>
                        <wps:spPr>
                          <a:xfrm>
                            <a:off x="219544" y="459736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2" name="Rectangle 542"/>
                        <wps:cNvSpPr/>
                        <wps:spPr>
                          <a:xfrm>
                            <a:off x="303703" y="4557287"/>
                            <a:ext cx="859046" cy="154480"/>
                          </a:xfrm>
                          <a:prstGeom prst="rect">
                            <a:avLst/>
                          </a:prstGeom>
                          <a:ln>
                            <a:noFill/>
                          </a:ln>
                        </wps:spPr>
                        <wps:txbx>
                          <w:txbxContent>
                            <w:p w:rsidR="002A1831" w:rsidRDefault="00294B37">
                              <w:pPr>
                                <w:spacing w:after="160" w:line="259" w:lineRule="auto"/>
                                <w:ind w:left="0" w:firstLine="0"/>
                              </w:pPr>
                              <w:r>
                                <w:rPr>
                                  <w:w w:val="83"/>
                                  <w:sz w:val="17"/>
                                </w:rPr>
                                <w:t>Úrazové</w:t>
                              </w:r>
                              <w:r>
                                <w:rPr>
                                  <w:spacing w:val="-6"/>
                                  <w:w w:val="83"/>
                                  <w:sz w:val="17"/>
                                </w:rPr>
                                <w:t xml:space="preserve"> </w:t>
                              </w:r>
                              <w:r>
                                <w:rPr>
                                  <w:w w:val="83"/>
                                  <w:sz w:val="17"/>
                                </w:rPr>
                                <w:t>pojištění</w:t>
                              </w:r>
                            </w:p>
                          </w:txbxContent>
                        </wps:txbx>
                        <wps:bodyPr horzOverflow="overflow" vert="horz" lIns="0" tIns="0" rIns="0" bIns="0" rtlCol="0">
                          <a:noAutofit/>
                        </wps:bodyPr>
                      </wps:wsp>
                      <wps:wsp>
                        <wps:cNvPr id="543" name="Shape 543"/>
                        <wps:cNvSpPr/>
                        <wps:spPr>
                          <a:xfrm>
                            <a:off x="219544" y="4707141"/>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4" name="Rectangle 544"/>
                        <wps:cNvSpPr/>
                        <wps:spPr>
                          <a:xfrm>
                            <a:off x="303703" y="4667059"/>
                            <a:ext cx="1793231" cy="154480"/>
                          </a:xfrm>
                          <a:prstGeom prst="rect">
                            <a:avLst/>
                          </a:prstGeom>
                          <a:ln>
                            <a:noFill/>
                          </a:ln>
                        </wps:spPr>
                        <wps:txbx>
                          <w:txbxContent>
                            <w:p w:rsidR="002A1831" w:rsidRDefault="00294B37">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wps:txbx>
                        <wps:bodyPr horzOverflow="overflow" vert="horz" lIns="0" tIns="0" rIns="0" bIns="0" rtlCol="0">
                          <a:noAutofit/>
                        </wps:bodyPr>
                      </wps:wsp>
                      <wps:wsp>
                        <wps:cNvPr id="545" name="Shape 545"/>
                        <wps:cNvSpPr/>
                        <wps:spPr>
                          <a:xfrm>
                            <a:off x="219544" y="481691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6" name="Rectangle 546"/>
                        <wps:cNvSpPr/>
                        <wps:spPr>
                          <a:xfrm>
                            <a:off x="303703" y="4776831"/>
                            <a:ext cx="1627427" cy="154480"/>
                          </a:xfrm>
                          <a:prstGeom prst="rect">
                            <a:avLst/>
                          </a:prstGeom>
                          <a:ln>
                            <a:noFill/>
                          </a:ln>
                        </wps:spPr>
                        <wps:txbx>
                          <w:txbxContent>
                            <w:p w:rsidR="002A1831" w:rsidRDefault="00294B37">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wps:txbx>
                        <wps:bodyPr horzOverflow="overflow" vert="horz" lIns="0" tIns="0" rIns="0" bIns="0" rtlCol="0">
                          <a:noAutofit/>
                        </wps:bodyPr>
                      </wps:wsp>
                      <wps:wsp>
                        <wps:cNvPr id="547" name="Rectangle 547"/>
                        <wps:cNvSpPr/>
                        <wps:spPr>
                          <a:xfrm>
                            <a:off x="0" y="5005607"/>
                            <a:ext cx="2400578" cy="231721"/>
                          </a:xfrm>
                          <a:prstGeom prst="rect">
                            <a:avLst/>
                          </a:prstGeom>
                          <a:ln>
                            <a:noFill/>
                          </a:ln>
                        </wps:spPr>
                        <wps:txbx>
                          <w:txbxContent>
                            <w:p w:rsidR="002A1831" w:rsidRDefault="00294B37">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wps:txbx>
                        <wps:bodyPr horzOverflow="overflow" vert="horz" lIns="0" tIns="0" rIns="0" bIns="0" rtlCol="0">
                          <a:noAutofit/>
                        </wps:bodyPr>
                      </wps:wsp>
                      <wps:wsp>
                        <wps:cNvPr id="548" name="Shape 548"/>
                        <wps:cNvSpPr/>
                        <wps:spPr>
                          <a:xfrm>
                            <a:off x="219544" y="534016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9" name="Rectangle 549"/>
                        <wps:cNvSpPr/>
                        <wps:spPr>
                          <a:xfrm>
                            <a:off x="303703" y="5300078"/>
                            <a:ext cx="1841556" cy="154479"/>
                          </a:xfrm>
                          <a:prstGeom prst="rect">
                            <a:avLst/>
                          </a:prstGeom>
                          <a:ln>
                            <a:noFill/>
                          </a:ln>
                        </wps:spPr>
                        <wps:txbx>
                          <w:txbxContent>
                            <w:p w:rsidR="002A1831" w:rsidRDefault="00294B37">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wps:txbx>
                        <wps:bodyPr horzOverflow="overflow" vert="horz" lIns="0" tIns="0" rIns="0" bIns="0" rtlCol="0">
                          <a:noAutofit/>
                        </wps:bodyPr>
                      </wps:wsp>
                      <wps:wsp>
                        <wps:cNvPr id="550" name="Shape 550"/>
                        <wps:cNvSpPr/>
                        <wps:spPr>
                          <a:xfrm>
                            <a:off x="219544" y="544993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51" name="Rectangle 551"/>
                        <wps:cNvSpPr/>
                        <wps:spPr>
                          <a:xfrm>
                            <a:off x="303703" y="5409849"/>
                            <a:ext cx="1112107" cy="154481"/>
                          </a:xfrm>
                          <a:prstGeom prst="rect">
                            <a:avLst/>
                          </a:prstGeom>
                          <a:ln>
                            <a:noFill/>
                          </a:ln>
                        </wps:spPr>
                        <wps:txbx>
                          <w:txbxContent>
                            <w:p w:rsidR="002A1831" w:rsidRDefault="00294B37">
                              <w:pPr>
                                <w:spacing w:after="160" w:line="259" w:lineRule="auto"/>
                                <w:ind w:left="0" w:firstLine="0"/>
                              </w:pPr>
                              <w:r>
                                <w:rPr>
                                  <w:w w:val="83"/>
                                  <w:sz w:val="17"/>
                                </w:rPr>
                                <w:t>Všeobecná</w:t>
                              </w:r>
                              <w:r>
                                <w:rPr>
                                  <w:spacing w:val="-5"/>
                                  <w:w w:val="83"/>
                                  <w:sz w:val="17"/>
                                </w:rPr>
                                <w:t xml:space="preserve"> </w:t>
                              </w:r>
                              <w:r>
                                <w:rPr>
                                  <w:w w:val="83"/>
                                  <w:sz w:val="17"/>
                                </w:rPr>
                                <w:t>ustanovení</w:t>
                              </w:r>
                            </w:p>
                          </w:txbxContent>
                        </wps:txbx>
                        <wps:bodyPr horzOverflow="overflow" vert="horz" lIns="0" tIns="0" rIns="0" bIns="0" rtlCol="0">
                          <a:noAutofit/>
                        </wps:bodyPr>
                      </wps:wsp>
                    </wpg:wgp>
                  </a:graphicData>
                </a:graphic>
              </wp:inline>
            </w:drawing>
          </mc:Choice>
          <mc:Fallback>
            <w:pict>
              <v:group id="Group 58738" o:spid="_x0000_s1026" style="width:529pt;height:435.1pt;mso-position-horizontal-relative:char;mso-position-vertical-relative:line" coordsize="67180,5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">
                <v:shape id="Shape 93479" o:spid="_x0000_s1027" style="position:absolute;top:1625;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acYA&#10;AADeAAAADwAAAGRycy9kb3ducmV2LnhtbESPT2vCQBTE7wW/w/IKvTUbW7EmZg1SELwapeLtkX35&#10;Q7NvY3Zr4rfvCoUeh5n5DZPlk+nEjQbXWlYwj2IQxKXVLdcKTsfd6wqE88gaO8uk4E4O8s3sKcNU&#10;25EPdCt8LQKEXYoKGu/7VEpXNmTQRbYnDl5lB4M+yKGWesAxwE0n3+J4KQ22HBYa7OmzofK7+DEK&#10;it3RT1dXXe5zXn7J/eF03nKs1MvztF2D8DT5//Bfe68VJO+LjwQed8IV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RacYAAADeAAAADwAAAAAAAAAAAAAAAACYAgAAZHJz&#10;L2Rvd25yZXYueG1sUEsFBgAAAAAEAAQA9QAAAIsDAAAAAA==&#10;" path="m,l6718051,r,9144l,9144,,e" fillcolor="#dcdcdc" stroked="f" strokeweight="0">
                  <v:stroke miterlimit="83231f" joinstyle="miter"/>
                  <v:path arrowok="t" textboxrect="0,0,6718051,9144"/>
                </v:shape>
                <v:shape id="Shape 93480" o:spid="_x0000_s1028" style="position:absolute;top:685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I08AA&#10;AADeAAAADwAAAGRycy9kb3ducmV2LnhtbESPywrCMBBF94L/EEZwp6kPpFajiCC4tYribmjGtthM&#10;ahO1/r1ZCC4v98VZrltTiRc1rrSsYDSMQBBnVpecKzgdd4MYhPPIGivLpOBDDtarbmeJibZvPtAr&#10;9bkII+wSVFB4XydSuqwgg25oa+Lg3Wxj0AfZ5FI3+A7jppLjKJpJgyWHhwJr2haU3dOnUZDujr59&#10;uNv1M+LZWe4Pp8uGI6X6vXazAOGp9f/wr73XCuaTaRwAAk5AAbn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fI08AAAADeAAAADwAAAAAAAAAAAAAAAACYAgAAZHJzL2Rvd25y&#10;ZXYueG1sUEsFBgAAAAAEAAQA9QAAAIUDAAAAAA==&#10;" path="m,l6718051,r,9144l,9144,,e" fillcolor="#dcdcdc" stroked="f" strokeweight="0">
                  <v:stroke miterlimit="83231f" joinstyle="miter"/>
                  <v:path arrowok="t" textboxrect="0,0,6718051,9144"/>
                </v:shape>
                <v:shape id="Shape 93481" o:spid="_x0000_s1029" style="position:absolute;top:153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tSMUA&#10;AADeAAAADwAAAGRycy9kb3ducmV2LnhtbESPQWuDQBSE74X+h+UFemtW0xKszSoSEHLVhJTeHu6L&#10;Sty31t0m+u+7hUKPw8x8w+zy2QziRpPrLSuI1xEI4sbqnlsFp2P5nIBwHlnjYJkULOQgzx4fdphq&#10;e+eKbrVvRYCwS1FB5/2YSumajgy6tR2Jg3exk0Ef5NRKPeE9wM0gN1G0lQZ7DgsdjrTvqLnW30ZB&#10;XR79/OUun0vM27M8VKePgiOlnlZz8Q7C0+z/w3/tg1bw9vKaxPB7J1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21IxQAAAN4AAAAPAAAAAAAAAAAAAAAAAJgCAABkcnMv&#10;ZG93bnJldi54bWxQSwUGAAAAAAQABAD1AAAAigMAAAAA&#10;" path="m,l6718051,r,9144l,9144,,e" fillcolor="#dcdcdc" stroked="f" strokeweight="0">
                  <v:stroke miterlimit="83231f" joinstyle="miter"/>
                  <v:path arrowok="t" textboxrect="0,0,6718051,9144"/>
                </v:shape>
                <v:shape id="Shape 93482" o:spid="_x0000_s1030" style="position:absolute;top:2390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zP8EA&#10;AADeAAAADwAAAGRycy9kb3ducmV2LnhtbESPzQrCMBCE74LvEFbwpqk/iFajiCB4tYribWnWtths&#10;ahO1vr0RBI/DzHzDLFaNKcWTaldYVjDoRyCIU6sLzhQcD9veFITzyBpLy6TgTQ5Wy3ZrgbG2L97T&#10;M/GZCBB2MSrIva9iKV2ak0HXtxVx8K62NuiDrDOpa3wFuCnlMIom0mDBYSHHijY5pbfkYRQk24Nv&#10;7u56eQ94cpK7/fG85kipbqdZz0F4avw//GvvtILZaDwdwv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J8z/BAAAA3gAAAA8AAAAAAAAAAAAAAAAAmAIAAGRycy9kb3du&#10;cmV2LnhtbFBLBQYAAAAABAAEAPUAAACGAwAAAAA=&#10;" path="m,l6718051,r,9144l,9144,,e" fillcolor="#dcdcdc" stroked="f" strokeweight="0">
                  <v:stroke miterlimit="83231f" joinstyle="miter"/>
                  <v:path arrowok="t" textboxrect="0,0,6718051,9144"/>
                </v:shape>
                <v:shape id="Shape 93483" o:spid="_x0000_s1031" style="position:absolute;top:31337;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VWpMEA&#10;AADeAAAADwAAAGRycy9kb3ducmV2LnhtbESPzQrCMBCE74LvEFbwpqk/iFajiCB4tYribWnWtths&#10;ahO1vr0RBI/DzHzDLFaNKcWTaldYVjDoRyCIU6sLzhQcD9veFITzyBpLy6TgTQ5Wy3ZrgbG2L97T&#10;M/GZCBB2MSrIva9iKV2ak0HXtxVx8K62NuiDrDOpa3wFuCnlMIom0mDBYSHHijY5pbfkYRQk24Nv&#10;7u56eQ94cpK7/fG85kipbqdZz0F4avw//GvvtILZaDwdwf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FVqTBAAAA3gAAAA8AAAAAAAAAAAAAAAAAmAIAAGRycy9kb3du&#10;cmV2LnhtbFBLBQYAAAAABAAEAPUAAACGAwAAAAA=&#10;" path="m,l6718051,r,9144l,9144,,e" fillcolor="#dcdcdc" stroked="f" strokeweight="0">
                  <v:stroke miterlimit="83231f" joinstyle="miter"/>
                  <v:path arrowok="t" textboxrect="0,0,6718051,9144"/>
                </v:shape>
                <v:shape id="Shape 93484" o:spid="_x0000_s1032" style="position:absolute;top:38765;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O0MEA&#10;AADeAAAADwAAAGRycy9kb3ducmV2LnhtbESPzQrCMBCE74LvEFbwpqk/iFajiCB4tYribWnWtths&#10;ahO1vr0RBI/DzHzDLFaNKcWTaldYVjDoRyCIU6sLzhQcD9veFITzyBpLy6TgTQ5Wy3ZrgbG2L97T&#10;M/GZCBB2MSrIva9iKV2ak0HXtxVx8K62NuiDrDOpa3wFuCnlMIom0mDBYSHHijY5pbfkYRQk24Nv&#10;7u56eQ94cpK7/fG85kipbqdZz0F4avw//GvvtILZaDwdw/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sztDBAAAA3gAAAA8AAAAAAAAAAAAAAAAAmAIAAGRycy9kb3du&#10;cmV2LnhtbFBLBQYAAAAABAAEAPUAAACGAwAAAAA=&#10;" path="m,l6718051,r,9144l,9144,,e" fillcolor="#dcdcdc" stroked="f" strokeweight="0">
                  <v:stroke miterlimit="83231f" joinstyle="miter"/>
                  <v:path arrowok="t" textboxrect="0,0,6718051,9144"/>
                </v:shape>
                <v:shape id="Shape 93485" o:spid="_x0000_s1033" style="position:absolute;top:51681;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BrS8UA&#10;AADeAAAADwAAAGRycy9kb3ducmV2LnhtbESPT4vCMBTE7wt+h/AEb2vqnxXtNooIgldr2cXbo3m2&#10;ZZuX2kRbv70RhD0OM/MbJtn0phZ3al1lWcFkHIEgzq2uuFCQnfafSxDOI2usLZOCBznYrAcfCcba&#10;dnyke+oLESDsYlRQet/EUrq8JINubBvi4F1sa9AH2RZSt9gFuKnlNIoW0mDFYaHEhnYl5X/pzShI&#10;9yffX93l/Jjw4kcejtnvliOlRsN++w3CU+//w+/2QStYzebLL3jdCV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GtLxQAAAN4AAAAPAAAAAAAAAAAAAAAAAJgCAABkcnMv&#10;ZG93bnJldi54bWxQSwUGAAAAAAQABAD1AAAAigMAAAAA&#10;" path="m,l6718051,r,9144l,9144,,e" fillcolor="#dcdcdc" stroked="f" strokeweight="0">
                  <v:stroke miterlimit="83231f" joinstyle="miter"/>
                  <v:path arrowok="t" textboxrect="0,0,6718051,9144"/>
                </v:shape>
                <v:rect id="Rectangle 495" o:spid="_x0000_s1034" style="position:absolute;width:1136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26"/>
                          </w:rPr>
                          <w:t>Garance</w:t>
                        </w:r>
                        <w:r>
                          <w:rPr>
                            <w:spacing w:val="-3"/>
                            <w:w w:val="83"/>
                            <w:sz w:val="26"/>
                          </w:rPr>
                          <w:t xml:space="preserve"> </w:t>
                        </w:r>
                        <w:r>
                          <w:rPr>
                            <w:w w:val="83"/>
                            <w:sz w:val="26"/>
                          </w:rPr>
                          <w:t>kvality</w:t>
                        </w:r>
                      </w:p>
                    </w:txbxContent>
                  </v:textbox>
                </v:rect>
                <v:shape id="Shape 496" o:spid="_x0000_s1035" style="position:absolute;left:2195;top:334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kFcYA&#10;AADcAAAADwAAAGRycy9kb3ducmV2LnhtbESPQWvCQBSE74X+h+UVvNWNEoJN3QQRBS9K1R56fM2+&#10;JqnZtyG7mqS/vlsQehxm5htmmQ+mETfqXG1ZwWwagSAurK65VPB+3j4vQDiPrLGxTApGcpBnjw9L&#10;TLXt+Ui3ky9FgLBLUUHlfZtK6YqKDLqpbYmD92U7gz7IrpS6wz7ATSPnUZRIgzWHhQpbWldUXE5X&#10;o6Dcf46rRYw/V5r7w/m73rx96I1Sk6dh9QrC0+D/w/f2TiuIXx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UkF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7" o:spid="_x0000_s1036" style="position:absolute;left:3037;top:2944;width:1584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2A1831" w:rsidRDefault="00294B37">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v:textbox>
                </v:rect>
                <v:rect id="Rectangle 498" o:spid="_x0000_s1037" style="position:absolute;top:5232;width:18603;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rsidR="002A1831" w:rsidRDefault="00294B37">
                        <w:pPr>
                          <w:spacing w:after="160" w:line="259" w:lineRule="auto"/>
                          <w:ind w:left="0" w:firstLine="0"/>
                        </w:pPr>
                        <w:r>
                          <w:rPr>
                            <w:w w:val="84"/>
                            <w:sz w:val="26"/>
                          </w:rPr>
                          <w:t>Každodenní</w:t>
                        </w:r>
                        <w:r>
                          <w:rPr>
                            <w:spacing w:val="-8"/>
                            <w:w w:val="84"/>
                            <w:sz w:val="26"/>
                          </w:rPr>
                          <w:t xml:space="preserve"> </w:t>
                        </w:r>
                        <w:r>
                          <w:rPr>
                            <w:w w:val="84"/>
                            <w:sz w:val="26"/>
                          </w:rPr>
                          <w:t>bankovnictví</w:t>
                        </w:r>
                      </w:p>
                    </w:txbxContent>
                  </v:textbox>
                </v:rect>
                <v:shape id="Shape 499" o:spid="_x0000_s1038" style="position:absolute;left:2195;top:8578;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CzcYA&#10;AADcAAAADwAAAGRycy9kb3ducmV2LnhtbESPQWvCQBSE7wX/w/KEXkrdVIpodBURCrYXMYmU3l6z&#10;zySYfRt2txr/fVcQPA4z8w2zWPWmFWdyvrGs4G2UgCAurW64UlDkH69TED4ga2wtk4IreVgtB08L&#10;TLW98J7OWahEhLBPUUEdQpdK6cuaDPqR7Yijd7TOYIjSVVI7vES4aeU4SSbSYMNxocaONjWVp+zP&#10;KDhN8+z75XPX57vfyYG/fhJ3LQqlnof9eg4iUB8e4Xt7qxW8z2Z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ZCz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00" o:spid="_x0000_s1039" style="position:absolute;left:3037;top:8177;width:9976;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rsidR="002A1831" w:rsidRDefault="00294B37">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v:textbox>
                </v:rect>
                <v:shape id="Shape 501" o:spid="_x0000_s1040" style="position:absolute;left:2195;top:96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me8UA&#10;AADcAAAADwAAAGRycy9kb3ducmV2LnhtbESPQWvCQBSE74L/YXmCN91EbAnRVaRY8GJptYceX7PP&#10;JJp9G7JrTPz1bkHocZiZb5jlujOVaKlxpWUF8TQCQZxZXXKu4Pv4PklAOI+ssbJMCnpysF4NB0tM&#10;tb3xF7UHn4sAYZeigsL7OpXSZQUZdFNbEwfvZBuDPsgml7rBW4CbSs6i6FUaLDksFFjTW0HZ5XA1&#10;CvL9b79J5ni/0sx/HM/l9vNHb5Uaj7rNAoSnzv+Hn+2dVvASxfB3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yZ7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02" o:spid="_x0000_s1041" style="position:absolute;left:3037;top:9274;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2A1831" w:rsidRDefault="00294B37">
                        <w:pPr>
                          <w:spacing w:after="160" w:line="259" w:lineRule="auto"/>
                          <w:ind w:left="0" w:firstLine="0"/>
                        </w:pPr>
                        <w:r>
                          <w:rPr>
                            <w:w w:val="84"/>
                            <w:sz w:val="17"/>
                          </w:rPr>
                          <w:t>Karty</w:t>
                        </w:r>
                      </w:p>
                    </w:txbxContent>
                  </v:textbox>
                </v:rect>
                <v:shape id="Shape 503" o:spid="_x0000_s1042" style="position:absolute;left:2195;top:107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dl8YA&#10;AADcAAAADwAAAGRycy9kb3ducmV2LnhtbESPzWvCQBTE70L/h+UVetON9gOJ2QQpFrwo9ePg8Zl9&#10;JtHs25DdaOxf7xYKPQ4z8xsmyXpTiyu1rrKsYDyKQBDnVldcKNjvvoZTEM4ja6wtk4I7OcjSp0GC&#10;sbY33tB16wsRIOxiVFB638RSurwkg25kG+LgnWxr0AfZFlK3eAtwU8tJFH1IgxWHhRIb+iwpv2w7&#10;o6BYHe/z6Rv+dDTx6925Wnwf9EKpl+d+PgPhqff/4b/2Uit4j17h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dl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4" o:spid="_x0000_s1043" style="position:absolute;left:3037;top:10372;width:95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Přímé</w:t>
                        </w:r>
                        <w:r>
                          <w:rPr>
                            <w:spacing w:val="-6"/>
                            <w:w w:val="83"/>
                            <w:sz w:val="17"/>
                          </w:rPr>
                          <w:t xml:space="preserve"> </w:t>
                        </w:r>
                        <w:r>
                          <w:rPr>
                            <w:w w:val="83"/>
                            <w:sz w:val="17"/>
                          </w:rPr>
                          <w:t>bankovnictví</w:t>
                        </w:r>
                      </w:p>
                    </w:txbxContent>
                  </v:textbox>
                </v:rect>
                <v:shape id="Shape 505" o:spid="_x0000_s1044" style="position:absolute;left:2195;top:11871;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geMYA&#10;AADcAAAADwAAAGRycy9kb3ducmV2LnhtbESPQWvCQBSE7wX/w/KE3upGqUViNiGIgpeWVnvo8TX7&#10;TNJm34bsahJ/vVsQehxm5hsmyQbTiAt1rrasYD6LQBAXVtdcKvg87p5WIJxH1thYJgUjOcjSyUOC&#10;sbY9f9Dl4EsRIOxiVFB538ZSuqIig25mW+LgnWxn0AfZlVJ32Ae4aeQiil6kwZrDQoUtbSoqfg9n&#10;o6B8/R7z1TNez7Twb8efevv+pbdKPU6HfA3C0+D/w/f2XitYRkv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ge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6" o:spid="_x0000_s1045" style="position:absolute;left:3037;top:11470;width:634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Platební</w:t>
                        </w:r>
                        <w:r>
                          <w:rPr>
                            <w:spacing w:val="-2"/>
                            <w:w w:val="83"/>
                            <w:sz w:val="17"/>
                          </w:rPr>
                          <w:t xml:space="preserve"> </w:t>
                        </w:r>
                        <w:r>
                          <w:rPr>
                            <w:w w:val="83"/>
                            <w:sz w:val="17"/>
                          </w:rPr>
                          <w:t>styk</w:t>
                        </w:r>
                      </w:p>
                    </w:txbxContent>
                  </v:textbox>
                </v:rect>
                <v:rect id="Rectangle 507" o:spid="_x0000_s1046" style="position:absolute;top:13758;width:887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3YJ8UA&#10;AADcAAAADwAAAGRycy9kb3ducmV2LnhtbESPS4vCQBCE7wv7H4Ze8LZOVtD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dgnxQAAANwAAAAPAAAAAAAAAAAAAAAAAJgCAABkcnMv&#10;ZG93bnJldi54bWxQSwUGAAAAAAQABAD1AAAAigMAAAAA&#10;" filled="f" stroked="f">
                  <v:textbox inset="0,0,0,0">
                    <w:txbxContent>
                      <w:p w:rsidR="002A1831" w:rsidRDefault="00294B37">
                        <w:pPr>
                          <w:spacing w:after="160" w:line="259" w:lineRule="auto"/>
                          <w:ind w:left="0" w:firstLine="0"/>
                        </w:pPr>
                        <w:r>
                          <w:rPr>
                            <w:w w:val="84"/>
                            <w:sz w:val="26"/>
                          </w:rPr>
                          <w:t>Financování</w:t>
                        </w:r>
                      </w:p>
                    </w:txbxContent>
                  </v:textbox>
                </v:rect>
                <v:shape id="Shape 508" o:spid="_x0000_s1047" style="position:absolute;left:2195;top:1710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9TMMA&#10;AADcAAAADwAAAGRycy9kb3ducmV2LnhtbERPz2vCMBS+C/4P4Qm7iCYbKNIZZQwGmxdZWxFvb81b&#10;W2xeSpJp/e+Xg+Dx4/u93g62ExfyoXWs4XmuQBBXzrRcayiLj9kKRIjIBjvHpOFGAbab8WiNmXFX&#10;/qZLHmuRQjhkqKGJsc+kDFVDFsPc9cSJ+3XeYkzQ19J4vKZw28kXpZbSYsupocGe3huqzvmf1XBe&#10;Fflx+rUfiv3P8sC7k/K3stT6aTK8vYKINMSH+O7+NBoWKq1N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9TM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509" o:spid="_x0000_s1048" style="position:absolute;left:3037;top:16702;width:28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zsYA&#10;AADcAAAADwAAAGRycy9kb3ducmV2LnhtbESPT2vCQBTE70K/w/KE3nRjo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7pzsYAAADcAAAADwAAAAAAAAAAAAAAAACYAgAAZHJz&#10;L2Rvd25yZXYueG1sUEsFBgAAAAAEAAQA9QAAAIsDAAAAAA==&#10;" filled="f" stroked="f">
                  <v:textbox inset="0,0,0,0">
                    <w:txbxContent>
                      <w:p w:rsidR="002A1831" w:rsidRDefault="00294B37">
                        <w:pPr>
                          <w:spacing w:after="160" w:line="259" w:lineRule="auto"/>
                          <w:ind w:left="0" w:firstLine="0"/>
                        </w:pPr>
                        <w:r>
                          <w:rPr>
                            <w:w w:val="83"/>
                            <w:sz w:val="17"/>
                          </w:rPr>
                          <w:t>Úvěry</w:t>
                        </w:r>
                      </w:p>
                    </w:txbxContent>
                  </v:textbox>
                </v:rect>
                <v:shape id="Shape 510" o:spid="_x0000_s1049" style="position:absolute;left:2195;top:18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VPcEA&#10;AADcAAAADwAAAGRycy9kb3ducmV2LnhtbERPTYvCMBC9C/6HMII3TRVdpBpLEQUviqt78Dg2Y1tt&#10;JqWJWvfXbw7CHh/ve5G0phJPalxpWcFoGIEgzqwuOVfwc9oMZiCcR9ZYWSYFb3KQLLudBcbavvib&#10;nkefixDCLkYFhfd1LKXLCjLohrYmDtzVNgZ9gE0udYOvEG4qOY6iL2mw5NBQYE2rgrL78WEU5LvL&#10;O51N8PdBY78/3cr14azXSvV7bToH4an1/+KPe6sVTEdhfjg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FT3BAAAA3AAAAA8AAAAAAAAAAAAAAAAAmAIAAGRycy9kb3du&#10;cmV2LnhtbFBLBQYAAAAABAAEAPUAAACGAwAAAAA=&#10;" path="m14636,v8084,,14637,6553,14637,14636c29273,22720,22720,29273,14636,29273,6553,29273,,22720,,14636,,6553,6553,,14636,xe" fillcolor="black" strokeweight=".1016mm">
                  <v:stroke miterlimit="83231f" joinstyle="miter" endcap="square"/>
                  <v:path arrowok="t" textboxrect="0,0,29273,29273"/>
                </v:shape>
                <v:rect id="Rectangle 511" o:spid="_x0000_s1050" style="position:absolute;left:3037;top:17800;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2A1831" w:rsidRDefault="00294B37">
                        <w:pPr>
                          <w:spacing w:after="160" w:line="259" w:lineRule="auto"/>
                          <w:ind w:left="0" w:firstLine="0"/>
                        </w:pPr>
                        <w:r>
                          <w:rPr>
                            <w:spacing w:val="3"/>
                            <w:w w:val="86"/>
                            <w:sz w:val="17"/>
                          </w:rPr>
                          <w:t>Záruky</w:t>
                        </w:r>
                      </w:p>
                    </w:txbxContent>
                  </v:textbox>
                </v:rect>
                <v:shape id="Shape 512" o:spid="_x0000_s1051" style="position:absolute;left:2195;top:19299;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ce8YA&#10;AADcAAAADwAAAGRycy9kb3ducmV2LnhtbESPQWvCQBSE7wX/w/KEXkrdRFAkdZUiCNaLNEkpvb1m&#10;X5OQ7Nuwu2r8991CweMwM98w6+1oenEh51vLCtJZAoK4srrlWkFZ7J9XIHxA1thbJgU38rDdTB7W&#10;mGl75Xe65KEWEcI+QwVNCEMmpa8aMuhndiCO3o91BkOUrpba4TXCTS/nSbKUBluOCw0OtGuo6vKz&#10;UdCtivzz6e00Fqfv5QcfvxJ3K0ulHqfj6wuIQGO4h//bB61gkc7h70w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Dce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13" o:spid="_x0000_s1052" style="position:absolute;left:3037;top:18898;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2A1831" w:rsidRDefault="00294B37">
                        <w:pPr>
                          <w:spacing w:after="160" w:line="259" w:lineRule="auto"/>
                          <w:ind w:left="0" w:firstLine="0"/>
                        </w:pPr>
                        <w:r>
                          <w:rPr>
                            <w:w w:val="84"/>
                            <w:sz w:val="17"/>
                          </w:rPr>
                          <w:t>Směnky</w:t>
                        </w:r>
                      </w:p>
                    </w:txbxContent>
                  </v:textbox>
                </v:rect>
                <v:shape id="Shape 514" o:spid="_x0000_s1053" style="position:absolute;left:2195;top:20396;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TPsMA&#10;AADcAAAADwAAAGRycy9kb3ducmV2LnhtbESPzarCMBSE9xd8h3AEd9dUUZFqFBEv3I3i38LlsTm2&#10;1eakNFGrT28EweUwM98w42ltCnGjyuWWFXTaEQjixOqcUwX73d/vEITzyBoLy6TgQQ6mk8bPGGNt&#10;77yh29anIkDYxagg876MpXRJRgZd25bEwTvZyqAPskqlrvAe4KaQ3SgaSIM5h4UMS5pnlFy2V6Mg&#10;XR4fs2EPn1fq+tXunC/WB71QqtWsZyMQnmr/DX/a/1pBv9OD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kTP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15" o:spid="_x0000_s1054" style="position:absolute;left:3037;top:19995;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2A1831" w:rsidRDefault="00294B37">
                        <w:pPr>
                          <w:spacing w:after="160" w:line="259" w:lineRule="auto"/>
                          <w:ind w:left="0" w:firstLine="0"/>
                        </w:pPr>
                        <w:r>
                          <w:rPr>
                            <w:w w:val="84"/>
                            <w:sz w:val="17"/>
                          </w:rPr>
                          <w:t>Dokumentární</w:t>
                        </w:r>
                        <w:r>
                          <w:rPr>
                            <w:spacing w:val="-2"/>
                            <w:w w:val="84"/>
                            <w:sz w:val="17"/>
                          </w:rPr>
                          <w:t xml:space="preserve"> </w:t>
                        </w:r>
                        <w:r>
                          <w:rPr>
                            <w:w w:val="84"/>
                            <w:sz w:val="17"/>
                          </w:rPr>
                          <w:t>platby</w:t>
                        </w:r>
                      </w:p>
                    </w:txbxContent>
                  </v:textbox>
                </v:rect>
                <v:rect id="Rectangle 516" o:spid="_x0000_s1055" style="position:absolute;top:22283;width:1690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2A1831" w:rsidRDefault="00294B37">
                        <w:pPr>
                          <w:spacing w:after="160" w:line="259" w:lineRule="auto"/>
                          <w:ind w:left="0" w:firstLine="0"/>
                        </w:pPr>
                        <w:r>
                          <w:rPr>
                            <w:w w:val="83"/>
                            <w:sz w:val="26"/>
                          </w:rPr>
                          <w:t>Investiční</w:t>
                        </w:r>
                        <w:r>
                          <w:rPr>
                            <w:spacing w:val="-8"/>
                            <w:w w:val="83"/>
                            <w:sz w:val="26"/>
                          </w:rPr>
                          <w:t xml:space="preserve"> </w:t>
                        </w:r>
                        <w:r>
                          <w:rPr>
                            <w:w w:val="83"/>
                            <w:sz w:val="26"/>
                          </w:rPr>
                          <w:t>bankovnictví</w:t>
                        </w:r>
                      </w:p>
                    </w:txbxContent>
                  </v:textbox>
                </v:rect>
                <v:shape id="Shape 517" o:spid="_x0000_s1056" style="position:absolute;left:2195;top:2562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ScYA&#10;AADcAAAADwAAAGRycy9kb3ducmV2LnhtbESPQWvCQBSE7wX/w/KE3upGqVWiawjFQi8tajz0+Jp9&#10;Jmmzb0N2TaK/visUPA4z8w2zTgZTi45aV1lWMJ1EIIhzqysuFByzt6clCOeRNdaWScGFHCSb0cMa&#10;Y2173lN38IUIEHYxKii9b2IpXV6SQTexDXHwTrY16INsC6lb7APc1HIWRS/SYMVhocSGXkvKfw9n&#10;o6D4+L6ky2e8nmnmP7Ofarv70lulHsdDugLhafD38H/7XSuYTx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NS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18" o:spid="_x0000_s1057" style="position:absolute;left:3037;top:25228;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2A1831" w:rsidRDefault="00294B37">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v:textbox>
                </v:rect>
                <v:shape id="Shape 519" o:spid="_x0000_s1058" style="position:absolute;left:2195;top:267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OCsYA&#10;AADcAAAADwAAAGRycy9kb3ducmV2LnhtbESPQWvCQBSE74X+h+UVeil1o6DY6CqlUFAvYpIi3p7Z&#10;1ySYfRt2txr/vSsIPQ4z8w0zX/amFWdyvrGsYDhIQBCXVjdcKSjy7/cpCB+QNbaWScGVPCwXz09z&#10;TLW98I7OWahEhLBPUUEdQpdK6cuaDPqB7Yij92udwRClq6R2eIlw08pRkkykwYbjQo0dfdVUnrI/&#10;o+A0zbP923rb59vj5Ic3h8Rdi0Kp15f+cwYiUB/+w4/2SisYDz/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ROC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0" o:spid="_x0000_s1059" style="position:absolute;left:3037;top:26326;width:734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cM8MA&#10;AADcAAAADwAAAGRycy9kb3ducmV2LnhtbERPy2rCQBTdF/yH4Qrd1YkBi4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EcM8MAAADcAAAADwAAAAAAAAAAAAAAAACYAgAAZHJzL2Rv&#10;d25yZXYueG1sUEsFBgAAAAAEAAQA9QAAAIgDAAAAAA==&#10;" filled="f" stroked="f">
                  <v:textbox inset="0,0,0,0">
                    <w:txbxContent>
                      <w:p w:rsidR="002A1831" w:rsidRDefault="00294B37">
                        <w:pPr>
                          <w:spacing w:after="160" w:line="259" w:lineRule="auto"/>
                          <w:ind w:left="0" w:firstLine="0"/>
                        </w:pPr>
                        <w:r>
                          <w:rPr>
                            <w:w w:val="83"/>
                            <w:sz w:val="17"/>
                          </w:rPr>
                          <w:t>Podílové</w:t>
                        </w:r>
                        <w:r>
                          <w:rPr>
                            <w:spacing w:val="-6"/>
                            <w:w w:val="83"/>
                            <w:sz w:val="17"/>
                          </w:rPr>
                          <w:t xml:space="preserve"> </w:t>
                        </w:r>
                        <w:r>
                          <w:rPr>
                            <w:w w:val="83"/>
                            <w:sz w:val="17"/>
                          </w:rPr>
                          <w:t>fondy</w:t>
                        </w:r>
                      </w:p>
                    </w:txbxContent>
                  </v:textbox>
                </v:rect>
                <v:shape id="Shape 521" o:spid="_x0000_s1060" style="position:absolute;left:2195;top:27824;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J6G8QA&#10;AADcAAAADwAAAGRycy9kb3ducmV2LnhtbESPQYvCMBSE74L/ITxhb5pa3EW6RhFR8LKLaz14fDZv&#10;22rzUpqo1V9vBMHjMDPfMJNZaypxocaVlhUMBxEI4szqknMFu3TVH4NwHlljZZkU3MjBbNrtTDDR&#10;9sp/dNn6XAQIuwQVFN7XiZQuK8igG9iaOHj/tjHog2xyqRu8BripZBxFX9JgyWGhwJoWBWWn7dko&#10;yH8Ot/l4hPczxf43PZbLzV4vlfrotfNvEJ5a/w6/2mut4DMewv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Sehv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2" o:spid="_x0000_s1061" style="position:absolute;left:3037;top:27423;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Investiční</w:t>
                        </w:r>
                        <w:r>
                          <w:rPr>
                            <w:spacing w:val="-2"/>
                            <w:w w:val="83"/>
                            <w:sz w:val="17"/>
                          </w:rPr>
                          <w:t xml:space="preserve"> </w:t>
                        </w:r>
                        <w:r>
                          <w:rPr>
                            <w:w w:val="83"/>
                            <w:sz w:val="17"/>
                          </w:rPr>
                          <w:t>bankovnictví</w:t>
                        </w:r>
                      </w:p>
                    </w:txbxContent>
                  </v:textbox>
                </v:rect>
                <v:rect id="Rectangle 523" o:spid="_x0000_s1062" style="position:absolute;top:29711;width:10536;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2A1831" w:rsidRDefault="00294B37">
                        <w:pPr>
                          <w:spacing w:after="160" w:line="259" w:lineRule="auto"/>
                          <w:ind w:left="0" w:firstLine="0"/>
                        </w:pPr>
                        <w:r>
                          <w:rPr>
                            <w:w w:val="84"/>
                            <w:sz w:val="26"/>
                          </w:rPr>
                          <w:t>Ostatní</w:t>
                        </w:r>
                        <w:r>
                          <w:rPr>
                            <w:spacing w:val="-8"/>
                            <w:w w:val="84"/>
                            <w:sz w:val="26"/>
                          </w:rPr>
                          <w:t xml:space="preserve"> </w:t>
                        </w:r>
                        <w:r>
                          <w:rPr>
                            <w:w w:val="84"/>
                            <w:sz w:val="26"/>
                          </w:rPr>
                          <w:t>služby</w:t>
                        </w:r>
                      </w:p>
                    </w:txbxContent>
                  </v:textbox>
                </v:rect>
                <v:shape id="Shape 524" o:spid="_x0000_s1063" style="position:absolute;left:2195;top:3305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Zg8QA&#10;AADcAAAADwAAAGRycy9kb3ducmV2LnhtbESPT4vCMBTE74LfITzBm6YWV6QaRcSFvbisfw4en82z&#10;rTYvpYla/fRmQfA4zMxvmOm8MaW4Ue0KywoG/QgEcWp1wZmC/e67NwbhPLLG0jIpeJCD+azdmmKi&#10;7Z03dNv6TAQIuwQV5N5XiZQuzcmg69uKOHgnWxv0QdaZ1DXeA9yUMo6ikTRYcFjIsaJlTullezUK&#10;svXxsRgP8Xml2P/uzsXq76BXSnU7zWICwlPjP+F3+0cr+IqH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2YP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5" o:spid="_x0000_s1064" style="position:absolute;left:3037;top:32656;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2A1831" w:rsidRDefault="00294B37">
                        <w:pPr>
                          <w:spacing w:after="160" w:line="259" w:lineRule="auto"/>
                          <w:ind w:left="0" w:firstLine="0"/>
                        </w:pPr>
                        <w:r>
                          <w:rPr>
                            <w:w w:val="84"/>
                            <w:sz w:val="17"/>
                          </w:rPr>
                          <w:t>Šeky</w:t>
                        </w:r>
                      </w:p>
                    </w:txbxContent>
                  </v:textbox>
                </v:rect>
                <v:shape id="Shape 526" o:spid="_x0000_s1065" style="position:absolute;left:2195;top:34154;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QxcYA&#10;AADcAAAADwAAAGRycy9kb3ducmV2LnhtbESPQWvCQBSE7wX/w/IKvZS6UWiQ6CpFENpexCRSvD2z&#10;zySYfRt2txr/vVsoeBxm5htmsRpMJy7kfGtZwWScgCCurG65VlAWm7cZCB+QNXaWScGNPKyWo6cF&#10;ZtpeeUeXPNQiQthnqKAJoc+k9FVDBv3Y9sTRO1lnMETpaqkdXiPcdHKaJKk02HJcaLCndUPVOf81&#10;Cs6zIv95/doOxfaY7vn7kLhbWSr18jx8zEEEGsIj/N/+1Arepyn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cQx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7" o:spid="_x0000_s1066" style="position:absolute;left:3037;top:33754;width:998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2A1831" w:rsidRDefault="00294B37">
                        <w:pPr>
                          <w:spacing w:after="160" w:line="259" w:lineRule="auto"/>
                          <w:ind w:left="0" w:firstLine="0"/>
                        </w:pPr>
                        <w:r>
                          <w:rPr>
                            <w:w w:val="84"/>
                            <w:sz w:val="17"/>
                          </w:rPr>
                          <w:t>Bankovní</w:t>
                        </w:r>
                        <w:r>
                          <w:rPr>
                            <w:spacing w:val="-2"/>
                            <w:w w:val="84"/>
                            <w:sz w:val="17"/>
                          </w:rPr>
                          <w:t xml:space="preserve"> </w:t>
                        </w:r>
                        <w:r>
                          <w:rPr>
                            <w:w w:val="84"/>
                            <w:sz w:val="17"/>
                          </w:rPr>
                          <w:t>informace</w:t>
                        </w:r>
                      </w:p>
                    </w:txbxContent>
                  </v:textbox>
                </v:rect>
                <v:shape id="Shape 528" o:spid="_x0000_s1067" style="position:absolute;left:2195;top:3525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ThsMA&#10;AADcAAAADwAAAGRycy9kb3ducmV2LnhtbERPy2rCQBTdF/yH4Qru6qTBFkmdBCkW3FhadeHyNnNN&#10;YjN3Qmby6td3FgWXh/PeZKOpRU+tqywreFpGIIhzqysuFJxP749rEM4ja6wtk4KJHGTp7GGDibYD&#10;f1F/9IUIIewSVFB63yRSurwkg25pG+LAXW1r0AfYFlK3OIRwU8s4il6kwYpDQ4kNvZWU/xw7o6A4&#10;fE/b9Qp/O4r9x+lW7T4veqfUYj5uX0F4Gv1d/O/eawXPcVgb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jTh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29" o:spid="_x0000_s1068" style="position:absolute;left:3037;top:3485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2A1831" w:rsidRDefault="00294B37">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30" o:spid="_x0000_s1069" style="position:absolute;top:37139;width:1574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rsidR="002A1831" w:rsidRDefault="00294B37">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v:textbox>
                </v:rect>
                <v:shape id="Shape 531" o:spid="_x0000_s1070" style="position:absolute;left:2195;top:40485;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sxsYA&#10;AADcAAAADwAAAGRycy9kb3ducmV2LnhtbESPQWvCQBSE7wX/w/KE3upGa0WiawjFQi8tajz0+Jp9&#10;Jmmzb0N2TaK/visUPA4z8w2zTgZTi45aV1lWMJ1EIIhzqysuFByzt6clCOeRNdaWScGFHCSb0cMa&#10;Y2173lN38IUIEHYxKii9b2IpXV6SQTexDXHwTrY16INsC6lb7APc1HIWRQtpsOKwUGJDryXlv4ez&#10;UVB8fF/S5RyvZ5r5z+yn2u6+9Fapx/GQrkB4Gvw9/N9+1wpenq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vsx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2" o:spid="_x0000_s1071" style="position:absolute;left:3037;top:40084;width:676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Debetní</w:t>
                        </w:r>
                        <w:r>
                          <w:rPr>
                            <w:spacing w:val="-2"/>
                            <w:w w:val="83"/>
                            <w:sz w:val="17"/>
                          </w:rPr>
                          <w:t xml:space="preserve"> </w:t>
                        </w:r>
                        <w:r>
                          <w:rPr>
                            <w:w w:val="83"/>
                            <w:sz w:val="17"/>
                          </w:rPr>
                          <w:t>karty</w:t>
                        </w:r>
                      </w:p>
                    </w:txbxContent>
                  </v:textbox>
                </v:rect>
                <v:shape id="Shape 533" o:spid="_x0000_s1072" style="position:absolute;left:2195;top:4158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XKsYA&#10;AADcAAAADwAAAGRycy9kb3ducmV2LnhtbESPQWvCQBSE7wX/w/KE3pqNsUqIrhLEghelVQ89vmaf&#10;Sdrs25BdNfbXuwWhx2FmvmHmy9404kKdqy0rGEUxCOLC6ppLBcfD20sKwnlkjY1lUnAjB8vF4GmO&#10;mbZX/qDL3pciQNhlqKDyvs2kdEVFBl1kW+LgnWxn0AfZlVJ3eA1w08gkjqfSYM1hocKWVhUVP/uz&#10;UVBuv255+oq/Z0r87vBdr98/9Vqp52Gfz0B46v1/+NHeaAWT8Rj+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XXK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4" o:spid="_x0000_s1073" style="position:absolute;left:3037;top:4118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2A1831" w:rsidRDefault="00294B37">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v:textbox>
                </v:rect>
                <v:shape id="Shape 535" o:spid="_x0000_s1074" style="position:absolute;left:2195;top:42680;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Yb8YA&#10;AADcAAAADwAAAGRycy9kb3ducmV2LnhtbESPQWvCQBSE7wX/w/KEXkrd1KJIdBURCrYXMYmU3l6z&#10;zySYfRt2txr/fVcQPA4z8w2zWPWmFWdyvrGs4G2UgCAurW64UlDkH68zED4ga2wtk4IreVgtB08L&#10;TLW98J7OWahEhLBPUUEdQpdK6cuaDPqR7Yijd7TOYIjSVVI7vES4aeU4SabSYMNxocaONjWVp+zP&#10;KDjN8uz75XPX57vf6YG/fhJ3LQqlnof9eg4iUB8e4Xt7qxVM3i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Yb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36" o:spid="_x0000_s1075" style="position:absolute;left:3037;top:42279;width:1692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2A1831" w:rsidRDefault="00294B37">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v:textbox>
                </v:rect>
                <v:shape id="Shape 537" o:spid="_x0000_s1076" style="position:absolute;left:2195;top:43778;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RKcYA&#10;AADcAAAADwAAAGRycy9kb3ducmV2LnhtbESPQWvCQBSE70L/w/IKvemm1qpEV5FiwYtFkx56fGZf&#10;s2mzb0N21eiv7xYEj8PMfMPMl52txYlaXzlW8DxIQBAXTldcKvjM3/tTED4ga6wdk4ILeVguHnpz&#10;TLU7855OWShFhLBPUYEJoUml9IUhi37gGuLofbvWYoiyLaVu8RzhtpbDJBlLixXHBYMNvRkqfrOj&#10;VVBuD5fVdITXIw3DR/5TrXdfeq3U02O3moEI1IV7+NbeaAWvLxP4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7RK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8" o:spid="_x0000_s1077" style="position:absolute;left:3037;top:43377;width:807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2A1831" w:rsidRDefault="00294B37">
                        <w:pPr>
                          <w:spacing w:after="160" w:line="259" w:lineRule="auto"/>
                          <w:ind w:left="0" w:firstLine="0"/>
                        </w:pPr>
                        <w:r>
                          <w:rPr>
                            <w:w w:val="83"/>
                            <w:sz w:val="17"/>
                          </w:rPr>
                          <w:t>Hypoteční</w:t>
                        </w:r>
                        <w:r>
                          <w:rPr>
                            <w:spacing w:val="-2"/>
                            <w:w w:val="83"/>
                            <w:sz w:val="17"/>
                          </w:rPr>
                          <w:t xml:space="preserve"> </w:t>
                        </w:r>
                        <w:r>
                          <w:rPr>
                            <w:w w:val="83"/>
                            <w:sz w:val="17"/>
                          </w:rPr>
                          <w:t>úvěry</w:t>
                        </w:r>
                      </w:p>
                    </w:txbxContent>
                  </v:textbox>
                </v:rect>
                <v:shape id="Shape 539" o:spid="_x0000_s1078" style="position:absolute;left:2195;top:448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3gwMYA&#10;AADcAAAADwAAAGRycy9kb3ducmV2LnhtbESPT2vCQBTE74LfYXlCb7rR1qKpq4hE8NLSag89PrOv&#10;STT7NmQ3f+yn7xaEHoeZ+Q2z2vSmFC3VrrCsYDqJQBCnVhecKfg87ccLEM4jaywtk4IbOdish4MV&#10;xtp2/EHt0WciQNjFqCD3voqldGlOBt3EVsTB+7a1QR9knUldYxfgppSzKHqWBgsOCzlWtMspvR4b&#10;oyB7Pd+2iyf8aWjm306XInn/0olSD6N++wLCU+//w/f2QSuYPy7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3gw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0" o:spid="_x0000_s1079" style="position:absolute;left:3037;top:44475;width:1268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2A1831" w:rsidRDefault="00294B37">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v:textbox>
                </v:rect>
                <v:shape id="Shape 541" o:spid="_x0000_s1080" style="position:absolute;left:2195;top:459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2fu8MA&#10;AADcAAAADwAAAGRycy9kb3ducmV2LnhtbESPzarCMBSE9xd8h3AEd9dUUZFqFBEv3I3i38LlsTm2&#10;1eakNFGrT28EweUwM98w42ltCnGjyuWWFXTaEQjixOqcUwX73d/vEITzyBoLy6TgQQ6mk8bPGGNt&#10;77yh29anIkDYxagg876MpXRJRgZd25bEwTvZyqAPskqlrvAe4KaQ3SgaSIM5h4UMS5pnlFy2V6Mg&#10;XR4fs2EPn1fq+tXunC/WB71QqtWsZyMQnmr/DX/a/1pBv9eB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2fu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42" o:spid="_x0000_s1081" style="position:absolute;left:3037;top:45572;width:859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Úrazové</w:t>
                        </w:r>
                        <w:r>
                          <w:rPr>
                            <w:spacing w:val="-6"/>
                            <w:w w:val="83"/>
                            <w:sz w:val="17"/>
                          </w:rPr>
                          <w:t xml:space="preserve"> </w:t>
                        </w:r>
                        <w:r>
                          <w:rPr>
                            <w:w w:val="83"/>
                            <w:sz w:val="17"/>
                          </w:rPr>
                          <w:t>pojištění</w:t>
                        </w:r>
                      </w:p>
                    </w:txbxContent>
                  </v:textbox>
                </v:rect>
                <v:shape id="Shape 543" o:spid="_x0000_s1082" style="position:absolute;left:2195;top:4707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W/ccA&#10;AADcAAAADwAAAGRycy9kb3ducmV2LnhtbESPQWvCQBSE74X+h+UVvBTdtFaR1FVKodB6EZOIeHvN&#10;vibB7Nuwu2r8965Q8DjMzDfMfNmbVpzI+caygpdRAoK4tLrhSkGRfw1nIHxA1thaJgUX8rBcPD7M&#10;MdX2zBs6ZaESEcI+RQV1CF0qpS9rMuhHtiOO3p91BkOUrpLa4TnCTStfk2QqDTYcF2rs6LOm8pAd&#10;jYLDLM92zz/rPl//Tre82ifuUhRKDZ76j3cQgfpwD/+3v7WCydsY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Vv3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544" o:spid="_x0000_s1083" style="position:absolute;left:3037;top:46670;width:1793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v:textbox>
                </v:rect>
                <v:shape id="Shape 545" o:spid="_x0000_s1084" style="position:absolute;left:2195;top:4816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ZuMYA&#10;AADcAAAADwAAAGRycy9kb3ducmV2LnhtbESPQWvCQBSE70L/w/IK3nSjJEVSN0FEwYvSag89vmZf&#10;k9Ts25BdTdJf3y0Uehxm5htmnQ+mEXfqXG1ZwWIegSAurK65VPB22c9WIJxH1thYJgUjOcizh8ka&#10;U217fqX72ZciQNilqKDyvk2ldEVFBt3ctsTB+7SdQR9kV0rdYR/gppHLKHqSBmsOCxW2tK2ouJ5v&#10;RkF5/Bg3qxi/b7T0p8tXvXt51zulpo/D5hmEp8H/h//aB60giR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aZu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6" o:spid="_x0000_s1085" style="position:absolute;left:3037;top:47768;width:16274;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2A1831" w:rsidRDefault="00294B37">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v:textbox>
                </v:rect>
                <v:rect id="Rectangle 547" o:spid="_x0000_s1086" style="position:absolute;top:50056;width:24005;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2A1831" w:rsidRDefault="00294B37">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v:textbox>
                </v:rect>
                <v:shape id="Shape 548" o:spid="_x0000_s1087" style="position:absolute;left:2195;top:534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2JsIA&#10;AADcAAAADwAAAGRycy9kb3ducmV2LnhtbERPy4rCMBTdC/5DuAOz03REpVRjKeLAbEZ8LWZ5p7m2&#10;1eamNFGrX28WgsvDec/TztTiSq2rLCv4GkYgiHOrKy4UHPbfgxiE88gaa8uk4E4O0kW/N8dE2xtv&#10;6brzhQgh7BJUUHrfJFK6vCSDbmgb4sAdbWvQB9gWUrd4C+GmlqMomkqDFYeGEhtalpSfdxejoPj9&#10;v2fxGB8XGvn1/lStNn96pdTnR5fNQHjq/Fv8cv9oBZNxWBv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zYm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49" o:spid="_x0000_s1088" style="position:absolute;left:3037;top:53000;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v:textbox>
                </v:rect>
                <v:shape id="Shape 550" o:spid="_x0000_s1089" style="position:absolute;left:2195;top:54499;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s/cIA&#10;AADcAAAADwAAAGRycy9kb3ducmV2LnhtbERPTYvCMBC9L/gfwgje1lTRpVRjKeLCXhRX9+BxbMa2&#10;2kxKE7X6681B2OPjfc/TztTiRq2rLCsYDSMQxLnVFRcK/vbfnzEI55E11pZJwYMcpIvexxwTbe/8&#10;S7edL0QIYZeggtL7JpHS5SUZdEPbEAfuZFuDPsC2kLrFewg3tRxH0Zc0WHFoKLGhZUn5ZXc1Cor1&#10;8ZHFE3xeaew3+3O12h70SqlBv8tmIDx1/l/8dv9oBdNpmB/Oh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Kz9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51" o:spid="_x0000_s1090" style="position:absolute;left:3037;top:54098;width:1112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2A1831" w:rsidRDefault="00294B37">
                        <w:pPr>
                          <w:spacing w:after="160" w:line="259" w:lineRule="auto"/>
                          <w:ind w:left="0" w:firstLine="0"/>
                        </w:pPr>
                        <w:r>
                          <w:rPr>
                            <w:w w:val="83"/>
                            <w:sz w:val="17"/>
                          </w:rPr>
                          <w:t>Všeobecná</w:t>
                        </w:r>
                        <w:r>
                          <w:rPr>
                            <w:spacing w:val="-5"/>
                            <w:w w:val="83"/>
                            <w:sz w:val="17"/>
                          </w:rPr>
                          <w:t xml:space="preserve"> </w:t>
                        </w:r>
                        <w:r>
                          <w:rPr>
                            <w:w w:val="83"/>
                            <w:sz w:val="17"/>
                          </w:rPr>
                          <w:t>ustanovení</w:t>
                        </w:r>
                      </w:p>
                    </w:txbxContent>
                  </v:textbox>
                </v:rect>
                <w10:anchorlock/>
              </v:group>
            </w:pict>
          </mc:Fallback>
        </mc:AlternateContent>
      </w:r>
    </w:p>
    <w:p w:rsidR="002A1831" w:rsidRDefault="00294B37">
      <w:pPr>
        <w:spacing w:after="608" w:line="265" w:lineRule="auto"/>
        <w:ind w:left="10" w:right="102"/>
        <w:jc w:val="right"/>
      </w:pPr>
      <w:r>
        <w:rPr>
          <w:rFonts w:ascii="Tahoma" w:eastAsia="Tahoma" w:hAnsi="Tahoma" w:cs="Tahoma"/>
          <w:sz w:val="19"/>
        </w:rPr>
        <w:t xml:space="preserve">GARANCE KVALITY  </w:t>
      </w:r>
    </w:p>
    <w:p w:rsidR="002A1831" w:rsidRDefault="00294B37">
      <w:pPr>
        <w:pStyle w:val="Nadpis2"/>
        <w:ind w:left="-5"/>
      </w:pPr>
      <w:r>
        <w:t>GARANCE KVALITY</w:t>
      </w:r>
    </w:p>
    <w:p w:rsidR="002A1831" w:rsidRDefault="00294B37">
      <w:pPr>
        <w:spacing w:after="303" w:line="259" w:lineRule="auto"/>
        <w:ind w:left="0" w:firstLine="0"/>
      </w:pPr>
      <w:r>
        <w:rPr>
          <w:noProof/>
          <w:sz w:val="22"/>
        </w:rPr>
        <mc:AlternateContent>
          <mc:Choice Requires="wpg">
            <w:drawing>
              <wp:inline distT="0" distB="0" distL="0" distR="0">
                <wp:extent cx="6718051" cy="7318"/>
                <wp:effectExtent l="0" t="0" r="0" b="0"/>
                <wp:docPr id="58429" name="Group 58429"/>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6" name="Shape 9364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26077DA" id="Group 58429"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Dkm4VqF&#10;AgAAWQYAAA4AAAAAAAAAAAAAAAAALgIAAGRycy9lMm9Eb2MueG1sUEsBAi0AFAAGAAgAAAAhADfD&#10;ANbaAAAABAEAAA8AAAAAAAAAAAAAAAAA3wQAAGRycy9kb3ducmV2LnhtbFBLBQYAAAAABAAEAPMA&#10;AADmBQAAAAA=&#10;">
                <v:shape id="Shape 9364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mNsoA&#10;AADeAAAADwAAAGRycy9kb3ducmV2LnhtbESP0UrDQBRE3wX/YbmCL6Xd1Na0xm6LKBahYNO0H3DN&#10;XrOh2bshu7bRr3eFgo/DzJxhFqveNuJEna8dKxiPEhDEpdM1VwoO+9fhHIQPyBobx6TgmzysltdX&#10;C8y0O/OOTkWoRISwz1CBCaHNpPSlIYt+5Fri6H26zmKIsquk7vAc4baRd0mSSos1xwWDLT0bKo/F&#10;l1UwK9b5hH4+zCYd3G/fpy/5fjPIlbq96Z8eQQTqw3/40n7TCh4m6TSFvzvxCs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HH5jb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2A1831" w:rsidRDefault="00294B37">
      <w:pPr>
        <w:pStyle w:val="Nadpis3"/>
        <w:spacing w:after="73"/>
        <w:ind w:left="151"/>
      </w:pPr>
      <w:r>
        <w:t>Záleží nám na Vaší spokojenosti</w:t>
      </w:r>
    </w:p>
    <w:p w:rsidR="002A1831" w:rsidRDefault="00294B37">
      <w:pPr>
        <w:spacing w:after="314" w:line="259" w:lineRule="auto"/>
        <w:ind w:left="0" w:firstLine="0"/>
      </w:pPr>
      <w:r>
        <w:rPr>
          <w:sz w:val="17"/>
        </w:rPr>
        <w:t xml:space="preserve"> </w:t>
      </w:r>
    </w:p>
    <w:p w:rsidR="002A1831" w:rsidRDefault="00294B37">
      <w:pPr>
        <w:spacing w:after="110" w:line="216" w:lineRule="auto"/>
        <w:ind w:left="115" w:right="326" w:firstLine="0"/>
        <w:jc w:val="both"/>
      </w:pPr>
      <w:r>
        <w:rPr>
          <w:sz w:val="17"/>
        </w:rPr>
        <w:t xml:space="preserve">Komerční banka neustále usiluje o poskytování služeb nejvyšší kvality, k čemuž se zavázala v rámci programu </w:t>
      </w:r>
      <w:hyperlink r:id="rId8">
        <w:r>
          <w:rPr>
            <w:color w:val="0000EE"/>
            <w:sz w:val="17"/>
            <w:u w:val="single" w:color="0000EE"/>
          </w:rPr>
          <w:t>Garance kvality</w:t>
        </w:r>
      </w:hyperlink>
      <w:r>
        <w:rPr>
          <w:sz w:val="17"/>
        </w:rPr>
        <w:t>. Nastane-li však přesto situace, kdy nejste spokojeni</w:t>
      </w:r>
      <w:r>
        <w:rPr>
          <w:sz w:val="17"/>
        </w:rPr>
        <w:t xml:space="preserve">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w:t>
      </w:r>
      <w:r>
        <w:rPr>
          <w:sz w:val="17"/>
        </w:rPr>
        <w:t xml:space="preserve"> ze strany pobočky, obraťte se prosím na útvar Kvalita a zákaznická zkušenost. V případě, že nesouhlasíte ani s tímto řešením, je možné se písemně obrátit v duchu principů Charty ombudsmana, na nezávislého ombudsmana skupiny Komerční banky.</w:t>
      </w:r>
    </w:p>
    <w:p w:rsidR="002A1831" w:rsidRDefault="00294B37">
      <w:pPr>
        <w:spacing w:after="491" w:line="259" w:lineRule="auto"/>
        <w:ind w:left="115" w:firstLine="0"/>
      </w:pPr>
      <w:r>
        <w:rPr>
          <w:sz w:val="17"/>
        </w:rPr>
        <w:t xml:space="preserve"> </w:t>
      </w:r>
    </w:p>
    <w:p w:rsidR="002A1831" w:rsidRDefault="00294B37">
      <w:pPr>
        <w:spacing w:after="8" w:line="259" w:lineRule="auto"/>
        <w:ind w:left="795" w:firstLine="0"/>
      </w:pPr>
      <w:r>
        <w:rPr>
          <w:sz w:val="17"/>
        </w:rPr>
        <w:t xml:space="preserve"> </w:t>
      </w:r>
      <w:r>
        <w:rPr>
          <w:sz w:val="17"/>
        </w:rPr>
        <w:tab/>
      </w:r>
      <w:r>
        <w:rPr>
          <w:sz w:val="26"/>
        </w:rPr>
        <w:t xml:space="preserve"> </w:t>
      </w:r>
      <w:r>
        <w:rPr>
          <w:sz w:val="26"/>
        </w:rPr>
        <w:tab/>
      </w:r>
      <w:r>
        <w:rPr>
          <w:sz w:val="26"/>
          <w:vertAlign w:val="subscript"/>
        </w:rPr>
        <w:t xml:space="preserve"> </w:t>
      </w:r>
    </w:p>
    <w:p w:rsidR="002A1831" w:rsidRDefault="00294B37">
      <w:pPr>
        <w:tabs>
          <w:tab w:val="center" w:pos="1470"/>
          <w:tab w:val="center" w:pos="6582"/>
        </w:tabs>
        <w:spacing w:after="0" w:line="259" w:lineRule="auto"/>
        <w:ind w:left="0" w:firstLine="0"/>
      </w:pPr>
      <w:r>
        <w:rPr>
          <w:sz w:val="22"/>
        </w:rPr>
        <w:tab/>
      </w:r>
      <w:r>
        <w:rPr>
          <w:b/>
          <w:sz w:val="17"/>
        </w:rPr>
        <w:t>Komerč</w:t>
      </w:r>
      <w:r>
        <w:rPr>
          <w:b/>
          <w:sz w:val="17"/>
        </w:rPr>
        <w:t>ní banka, a. s.</w:t>
      </w:r>
      <w:r>
        <w:rPr>
          <w:b/>
          <w:sz w:val="17"/>
        </w:rPr>
        <w:tab/>
        <w:t>Ombudsman skupiny Komerční banky</w:t>
      </w:r>
    </w:p>
    <w:p w:rsidR="002A1831" w:rsidRDefault="00294B37">
      <w:pPr>
        <w:tabs>
          <w:tab w:val="center" w:pos="1693"/>
          <w:tab w:val="center" w:pos="5922"/>
        </w:tabs>
        <w:spacing w:after="0" w:line="259" w:lineRule="auto"/>
        <w:ind w:left="0" w:firstLine="0"/>
      </w:pPr>
      <w:r>
        <w:rPr>
          <w:sz w:val="22"/>
        </w:rPr>
        <w:tab/>
      </w:r>
      <w:r>
        <w:rPr>
          <w:sz w:val="17"/>
        </w:rPr>
        <w:t>Kvalita a zákaznická zkušenost</w:t>
      </w:r>
      <w:r>
        <w:rPr>
          <w:sz w:val="17"/>
        </w:rPr>
        <w:tab/>
        <w:t>Na Příkopě 969/33</w:t>
      </w:r>
    </w:p>
    <w:p w:rsidR="002A1831" w:rsidRDefault="00294B37">
      <w:pPr>
        <w:spacing w:after="75" w:line="259" w:lineRule="auto"/>
        <w:ind w:left="805" w:right="4147"/>
      </w:pPr>
      <w:r>
        <w:rPr>
          <w:sz w:val="17"/>
        </w:rPr>
        <w:t>Na Příkopě 969/33</w:t>
      </w:r>
      <w:r>
        <w:rPr>
          <w:sz w:val="17"/>
        </w:rPr>
        <w:tab/>
        <w:t>114 07 Praha 1 114 07 Praha 1</w:t>
      </w:r>
      <w:r>
        <w:rPr>
          <w:sz w:val="17"/>
        </w:rPr>
        <w:tab/>
      </w:r>
      <w:r>
        <w:rPr>
          <w:color w:val="0000EE"/>
          <w:sz w:val="17"/>
          <w:u w:val="single" w:color="0000EE"/>
        </w:rPr>
        <w:t>ombudsman@kb.cz stiznostiareklamace@kb.cz</w:t>
      </w:r>
    </w:p>
    <w:p w:rsidR="002A1831" w:rsidRDefault="002A1831">
      <w:pPr>
        <w:sectPr w:rsidR="002A1831">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0" w:h="16840"/>
          <w:pgMar w:top="384" w:right="568" w:bottom="4803" w:left="661" w:header="708" w:footer="708" w:gutter="0"/>
          <w:cols w:space="708"/>
          <w:titlePg/>
        </w:sectPr>
      </w:pPr>
    </w:p>
    <w:p w:rsidR="002A1831" w:rsidRDefault="00294B37">
      <w:pPr>
        <w:pStyle w:val="Nadpis2"/>
        <w:ind w:left="-5"/>
      </w:pPr>
      <w:r>
        <w:t>KAŽDODENNÍ BANKOVNICTVÍ</w:t>
      </w:r>
    </w:p>
    <w:p w:rsidR="002A1831" w:rsidRDefault="00294B37">
      <w:pPr>
        <w:spacing w:after="303" w:line="259" w:lineRule="auto"/>
        <w:ind w:left="0" w:right="-55" w:firstLine="0"/>
      </w:pPr>
      <w:r>
        <w:rPr>
          <w:noProof/>
          <w:sz w:val="22"/>
        </w:rPr>
        <mc:AlternateContent>
          <mc:Choice Requires="wpg">
            <w:drawing>
              <wp:inline distT="0" distB="0" distL="0" distR="0">
                <wp:extent cx="6718051" cy="7318"/>
                <wp:effectExtent l="0" t="0" r="0" b="0"/>
                <wp:docPr id="70423" name="Group 70423"/>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7" name="Shape 93647"/>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1E73FA0D" id="Group 70423"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PhLGEKF&#10;AgAAWQYAAA4AAAAAAAAAAAAAAAAALgIAAGRycy9lMm9Eb2MueG1sUEsBAi0AFAAGAAgAAAAhADfD&#10;ANbaAAAABAEAAA8AAAAAAAAAAAAAAAAA3wQAAGRycy9kb3ducmV2LnhtbFBLBQYAAAAABAAEAPMA&#10;AADmBQAAAAA=&#10;">
                <v:shape id="Shape 93647"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DrcoA&#10;AADeAAAADwAAAGRycy9kb3ducmV2LnhtbESP0UrDQBRE3wX/YbmCL8VuamuqsdsiLZZCQWPqB1yz&#10;12xo9m7Ibtvo13eFgo/DzJxhZoveNuJIna8dKxgNExDEpdM1Vwo+d693jyB8QNbYOCYFP+RhMb++&#10;mmGm3Yk/6FiESkQI+wwVmBDaTEpfGrLoh64ljt636yyGKLtK6g5PEW4beZ8kqbRYc1ww2NLSULkv&#10;DlbBtFjnY/r9Mtt08PD+Nlnlu+0gV+r2pn95BhGoD//hS3ujFTyN08kU/u7EKyDn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6LQ63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2A1831" w:rsidRDefault="00294B37">
      <w:pPr>
        <w:pStyle w:val="Nadpis3"/>
        <w:ind w:left="151"/>
      </w:pPr>
      <w:r>
        <w:t>Balíčky a běžné účty</w:t>
      </w:r>
    </w:p>
    <w:tbl>
      <w:tblPr>
        <w:tblStyle w:val="TableGrid"/>
        <w:tblW w:w="10580" w:type="dxa"/>
        <w:tblInd w:w="0" w:type="dxa"/>
        <w:tblLayout w:type="fixed"/>
        <w:tblCellMar>
          <w:top w:w="69" w:type="dxa"/>
          <w:left w:w="0" w:type="dxa"/>
          <w:bottom w:w="0" w:type="dxa"/>
          <w:right w:w="30" w:type="dxa"/>
        </w:tblCellMar>
        <w:tblLook w:val="04A0" w:firstRow="1" w:lastRow="0" w:firstColumn="1" w:lastColumn="0" w:noHBand="0" w:noVBand="1"/>
      </w:tblPr>
      <w:tblGrid>
        <w:gridCol w:w="1585"/>
        <w:gridCol w:w="1124"/>
        <w:gridCol w:w="990"/>
        <w:gridCol w:w="134"/>
        <w:gridCol w:w="1124"/>
        <w:gridCol w:w="333"/>
        <w:gridCol w:w="702"/>
        <w:gridCol w:w="89"/>
        <w:gridCol w:w="264"/>
        <w:gridCol w:w="529"/>
        <w:gridCol w:w="331"/>
        <w:gridCol w:w="195"/>
        <w:gridCol w:w="885"/>
        <w:gridCol w:w="44"/>
        <w:gridCol w:w="130"/>
        <w:gridCol w:w="1"/>
        <w:gridCol w:w="993"/>
        <w:gridCol w:w="67"/>
        <w:gridCol w:w="1058"/>
        <w:gridCol w:w="1"/>
        <w:gridCol w:w="1"/>
        <w:gridCol w:w="2"/>
      </w:tblGrid>
      <w:tr w:rsidR="002A1831" w:rsidTr="00294B37">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121"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21" w:firstLine="0"/>
              <w:jc w:val="center"/>
            </w:pPr>
            <w:r>
              <w:rPr>
                <w:sz w:val="20"/>
              </w:rPr>
              <w:t>Měsíční cena</w:t>
            </w:r>
          </w:p>
        </w:tc>
      </w:tr>
      <w:tr w:rsidR="002A1831" w:rsidTr="00294B37">
        <w:trPr>
          <w:gridAfter w:val="1"/>
          <w:trHeight w:val="715"/>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Balíček Komplet</w:t>
            </w:r>
          </w:p>
          <w:p w:rsidR="002A1831" w:rsidRDefault="00294B37">
            <w:pPr>
              <w:spacing w:after="0" w:line="259" w:lineRule="auto"/>
              <w:ind w:left="0" w:firstLine="0"/>
            </w:pPr>
            <w:r>
              <w:rPr>
                <w:sz w:val="20"/>
              </w:rPr>
              <w:t>Běžný účet v Kč a druhý Běžný účet v Kč nebo cizí měně, Stříbrná firemní karta, elektronický výpis ke každému účtu v balíčku, Služba Profibanka, MojeBanka Business včetně služby Přímý kanál a Mobilní banka</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20" w:firstLine="0"/>
              <w:jc w:val="center"/>
            </w:pPr>
            <w:r>
              <w:rPr>
                <w:sz w:val="17"/>
              </w:rPr>
              <w:t>569</w:t>
            </w:r>
          </w:p>
        </w:tc>
      </w:tr>
      <w:tr w:rsidR="002A1831" w:rsidTr="00294B37">
        <w:trPr>
          <w:gridAfter w:val="1"/>
          <w:trHeight w:val="323"/>
        </w:trPr>
        <w:tc>
          <w:tcPr>
            <w:tcW w:w="5290" w:type="dxa"/>
            <w:gridSpan w:val="6"/>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61" w:firstLine="0"/>
            </w:pPr>
            <w:r>
              <w:rPr>
                <w:sz w:val="20"/>
              </w:rPr>
              <w:t>Balíčky elektronického zpracování odchozích plateb</w:t>
            </w:r>
          </w:p>
        </w:tc>
        <w:tc>
          <w:tcPr>
            <w:tcW w:w="1055" w:type="dxa"/>
            <w:gridSpan w:val="3"/>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055" w:type="dxa"/>
            <w:gridSpan w:val="3"/>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060" w:type="dxa"/>
            <w:gridSpan w:val="4"/>
            <w:tcBorders>
              <w:top w:val="single" w:sz="5" w:space="0" w:color="DCDCDC"/>
              <w:left w:val="nil"/>
              <w:bottom w:val="single" w:sz="5" w:space="0" w:color="DCDCDC"/>
              <w:right w:val="nil"/>
            </w:tcBorders>
            <w:shd w:val="clear" w:color="auto" w:fill="EDEDED"/>
          </w:tcPr>
          <w:p w:rsidR="002A1831" w:rsidRDefault="00294B37">
            <w:pPr>
              <w:spacing w:after="0" w:line="259" w:lineRule="auto"/>
              <w:ind w:left="17" w:firstLine="0"/>
              <w:jc w:val="both"/>
            </w:pPr>
            <w:r>
              <w:rPr>
                <w:sz w:val="20"/>
              </w:rPr>
              <w:t>Počet zpracová</w:t>
            </w:r>
          </w:p>
        </w:tc>
        <w:tc>
          <w:tcPr>
            <w:tcW w:w="1060" w:type="dxa"/>
            <w:gridSpan w:val="2"/>
            <w:tcBorders>
              <w:top w:val="single" w:sz="5" w:space="0" w:color="DCDCDC"/>
              <w:left w:val="nil"/>
              <w:bottom w:val="single" w:sz="5" w:space="0" w:color="DCDCDC"/>
              <w:right w:val="nil"/>
            </w:tcBorders>
            <w:shd w:val="clear" w:color="auto" w:fill="EDEDED"/>
          </w:tcPr>
          <w:p w:rsidR="002A1831" w:rsidRDefault="00294B37">
            <w:pPr>
              <w:spacing w:after="0" w:line="259" w:lineRule="auto"/>
              <w:ind w:left="-29" w:firstLine="0"/>
            </w:pPr>
            <w:r>
              <w:rPr>
                <w:sz w:val="20"/>
              </w:rPr>
              <w:t>ní</w:t>
            </w:r>
          </w:p>
        </w:tc>
        <w:tc>
          <w:tcPr>
            <w:tcW w:w="1060" w:type="dxa"/>
            <w:gridSpan w:val="3"/>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gridAfter w:val="1"/>
          <w:trHeight w:val="323"/>
        </w:trPr>
        <w:tc>
          <w:tcPr>
            <w:tcW w:w="0" w:type="auto"/>
            <w:gridSpan w:val="6"/>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29" w:firstLine="0"/>
              <w:jc w:val="center"/>
            </w:pPr>
            <w:r>
              <w:rPr>
                <w:sz w:val="20"/>
              </w:rPr>
              <w:t>100</w:t>
            </w: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29" w:firstLine="0"/>
              <w:jc w:val="center"/>
            </w:pPr>
            <w:r>
              <w:rPr>
                <w:sz w:val="20"/>
              </w:rPr>
              <w:t>200</w:t>
            </w:r>
          </w:p>
        </w:tc>
        <w:tc>
          <w:tcPr>
            <w:tcW w:w="1060" w:type="dxa"/>
            <w:gridSpan w:val="4"/>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29" w:firstLine="0"/>
              <w:jc w:val="center"/>
            </w:pPr>
            <w:r>
              <w:rPr>
                <w:sz w:val="20"/>
              </w:rPr>
              <w:t>500</w:t>
            </w:r>
          </w:p>
        </w:tc>
        <w:tc>
          <w:tcPr>
            <w:tcW w:w="1060"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29" w:firstLine="0"/>
              <w:jc w:val="center"/>
            </w:pPr>
            <w:r>
              <w:rPr>
                <w:sz w:val="20"/>
              </w:rPr>
              <w:t>800</w:t>
            </w:r>
          </w:p>
        </w:tc>
        <w:tc>
          <w:tcPr>
            <w:tcW w:w="1060"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29" w:firstLine="0"/>
              <w:jc w:val="center"/>
            </w:pPr>
            <w:r>
              <w:rPr>
                <w:sz w:val="20"/>
              </w:rPr>
              <w:t>1 000</w:t>
            </w:r>
          </w:p>
        </w:tc>
      </w:tr>
      <w:tr w:rsidR="002A1831" w:rsidTr="00294B37">
        <w:trPr>
          <w:gridAfter w:val="1"/>
          <w:trHeight w:val="323"/>
        </w:trPr>
        <w:tc>
          <w:tcPr>
            <w:tcW w:w="5290"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Měsíční cena</w:t>
            </w:r>
          </w:p>
        </w:tc>
        <w:tc>
          <w:tcPr>
            <w:tcW w:w="105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25" w:firstLine="0"/>
              <w:jc w:val="center"/>
            </w:pPr>
            <w:r>
              <w:rPr>
                <w:sz w:val="17"/>
              </w:rPr>
              <w:t>240</w:t>
            </w:r>
          </w:p>
        </w:tc>
        <w:tc>
          <w:tcPr>
            <w:tcW w:w="105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25" w:firstLine="0"/>
              <w:jc w:val="center"/>
            </w:pPr>
            <w:r>
              <w:rPr>
                <w:sz w:val="17"/>
              </w:rPr>
              <w:t>460</w:t>
            </w:r>
          </w:p>
        </w:tc>
        <w:tc>
          <w:tcPr>
            <w:tcW w:w="106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25" w:firstLine="0"/>
              <w:jc w:val="center"/>
            </w:pPr>
            <w:r>
              <w:rPr>
                <w:sz w:val="17"/>
              </w:rPr>
              <w:t>930</w:t>
            </w:r>
          </w:p>
        </w:tc>
        <w:tc>
          <w:tcPr>
            <w:tcW w:w="1060"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25" w:firstLine="0"/>
              <w:jc w:val="center"/>
            </w:pPr>
            <w:r>
              <w:rPr>
                <w:sz w:val="17"/>
              </w:rPr>
              <w:t>1 390</w:t>
            </w:r>
          </w:p>
        </w:tc>
        <w:tc>
          <w:tcPr>
            <w:tcW w:w="1060"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25" w:firstLine="0"/>
              <w:jc w:val="center"/>
            </w:pPr>
            <w:r>
              <w:rPr>
                <w:sz w:val="17"/>
              </w:rPr>
              <w:t>1 690</w:t>
            </w:r>
          </w:p>
        </w:tc>
      </w:tr>
      <w:tr w:rsidR="002A1831" w:rsidTr="00294B37">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Další Běžné a speciální účty</w:t>
            </w:r>
          </w:p>
        </w:tc>
        <w:tc>
          <w:tcPr>
            <w:tcW w:w="2121"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Měsíční cena</w:t>
            </w:r>
          </w:p>
        </w:tc>
      </w:tr>
      <w:tr w:rsidR="002A1831" w:rsidTr="00294B37">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Běžný účet v Kč nebo cizí měně</w:t>
            </w:r>
          </w:p>
        </w:tc>
        <w:tc>
          <w:tcPr>
            <w:tcW w:w="2121"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195</w:t>
            </w:r>
          </w:p>
        </w:tc>
      </w:tr>
      <w:tr w:rsidR="002A1831" w:rsidTr="00294B37">
        <w:trPr>
          <w:gridAfter w:val="1"/>
          <w:trHeight w:val="1106"/>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0" w:right="3983" w:firstLine="0"/>
            </w:pPr>
            <w:r>
              <w:rPr>
                <w:b/>
                <w:sz w:val="20"/>
              </w:rPr>
              <w:t xml:space="preserve">Běžný účet v balíčku pro Municipality v Kč a cizí měně </w:t>
            </w:r>
            <w:r>
              <w:rPr>
                <w:sz w:val="20"/>
              </w:rPr>
              <w:t>jeden měsíční výpis zasílaný poštou nebo elektronicky</w:t>
            </w:r>
          </w:p>
          <w:p w:rsidR="002A1831" w:rsidRDefault="00294B37">
            <w:pPr>
              <w:spacing w:after="0" w:line="259" w:lineRule="auto"/>
              <w:ind w:left="0" w:right="1042" w:firstLine="0"/>
            </w:pPr>
            <w:r>
              <w:rPr>
                <w:sz w:val="20"/>
              </w:rPr>
              <w:t xml:space="preserve">první rok zdarma Expresní linka včetně zmocněných osob a jednorázového poplatku za zmocnění první rok zdarma služba MojeBanka / MojeBanka Business </w:t>
            </w:r>
            <w:r>
              <w:rPr>
                <w:sz w:val="20"/>
              </w:rPr>
              <w:t>se službou Přímý kanál včetně zmocněných osob první rok zdarma služba Profibanka včetně zmocněných osob</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gridAfter w:val="1"/>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Běžný účet v Kč pro církevní organizace</w:t>
            </w:r>
          </w:p>
          <w:p w:rsidR="002A1831" w:rsidRDefault="00294B37">
            <w:pPr>
              <w:spacing w:after="0" w:line="259" w:lineRule="auto"/>
              <w:ind w:left="0" w:firstLine="0"/>
            </w:pPr>
            <w:r>
              <w:rPr>
                <w:sz w:val="20"/>
              </w:rPr>
              <w:t>Součástí je MojeBanka, MojeBanka Business a 1x měsíčně elektronický výpis</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gridAfter w:val="1"/>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03" w:firstLine="0"/>
            </w:pPr>
            <w:r>
              <w:rPr>
                <w:b/>
                <w:sz w:val="20"/>
              </w:rPr>
              <w:t xml:space="preserve">Běžný účet v Kč nebo cizí měně pro složení peněžitých prostředků právnické osoby před vznikem </w:t>
            </w:r>
            <w:r>
              <w:rPr>
                <w:sz w:val="20"/>
              </w:rPr>
              <w:t>Elektronický výpis s libovolnou četností nebo poštou denně při pohybu na účtě</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gridAfter w:val="1"/>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Běžný účet Fondu rozvoje bydlení</w:t>
            </w:r>
          </w:p>
          <w:p w:rsidR="002A1831" w:rsidRDefault="00294B37">
            <w:pPr>
              <w:spacing w:after="0" w:line="259" w:lineRule="auto"/>
              <w:ind w:left="0" w:firstLine="0"/>
            </w:pPr>
            <w:r>
              <w:rPr>
                <w:sz w:val="20"/>
              </w:rPr>
              <w:t>Každý navázaný účelový účet půjčky včetně p</w:t>
            </w:r>
            <w:r>
              <w:rPr>
                <w:sz w:val="20"/>
              </w:rPr>
              <w:t>ředávání či zasílání výpisu z účtu 35 měsíčně</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195</w:t>
            </w:r>
          </w:p>
        </w:tc>
      </w:tr>
      <w:tr w:rsidR="002A1831" w:rsidTr="00294B37">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Doplňkové účty</w:t>
            </w:r>
          </w:p>
        </w:tc>
        <w:tc>
          <w:tcPr>
            <w:tcW w:w="2121"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Měsíční cena</w:t>
            </w:r>
          </w:p>
        </w:tc>
      </w:tr>
      <w:tr w:rsidR="002A1831" w:rsidTr="00294B37">
        <w:trPr>
          <w:gridAfter w:val="1"/>
          <w:trHeight w:val="300"/>
        </w:trPr>
        <w:tc>
          <w:tcPr>
            <w:tcW w:w="8459" w:type="dxa"/>
            <w:gridSpan w:val="15"/>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17"/>
              </w:rPr>
              <w:t>(pro tyto účty je podmínkou vlastnit některý z výše uvedených Běžných účtů)</w:t>
            </w:r>
          </w:p>
        </w:tc>
        <w:tc>
          <w:tcPr>
            <w:tcW w:w="2121" w:type="dxa"/>
            <w:gridSpan w:val="6"/>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Vázaný Běžný účet v Kč</w:t>
            </w:r>
          </w:p>
        </w:tc>
        <w:tc>
          <w:tcPr>
            <w:tcW w:w="2121"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195</w:t>
            </w:r>
          </w:p>
        </w:tc>
      </w:tr>
      <w:tr w:rsidR="002A1831" w:rsidTr="00294B37">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Běžný účet v Kč pro financování developerského projektu</w:t>
            </w:r>
          </w:p>
        </w:tc>
        <w:tc>
          <w:tcPr>
            <w:tcW w:w="2121"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195</w:t>
            </w:r>
          </w:p>
        </w:tc>
      </w:tr>
      <w:tr w:rsidR="002A1831" w:rsidTr="00294B37">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Cash pooling</w:t>
            </w:r>
          </w:p>
        </w:tc>
        <w:tc>
          <w:tcPr>
            <w:tcW w:w="2121"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gridAfter w:val="1"/>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Běžný kontokorentní účet</w:t>
            </w:r>
          </w:p>
          <w:p w:rsidR="002A1831" w:rsidRDefault="00294B37">
            <w:pPr>
              <w:spacing w:after="0" w:line="259" w:lineRule="auto"/>
              <w:ind w:left="0" w:firstLine="0"/>
            </w:pPr>
            <w:r>
              <w:rPr>
                <w:sz w:val="20"/>
              </w:rPr>
              <w:t>Celková cena se skládá ze součtu ceny za vedení Běžného účtu nebo balíčku a ceny za spravování kontokorentního úvěru</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individuálně</w:t>
            </w:r>
          </w:p>
        </w:tc>
      </w:tr>
      <w:tr w:rsidR="002A1831" w:rsidTr="00294B37">
        <w:trPr>
          <w:gridAfter w:val="1"/>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Neúročené Běžné účty v Kč, USD, EUR</w:t>
            </w:r>
          </w:p>
          <w:p w:rsidR="002A1831" w:rsidRDefault="00294B37">
            <w:pPr>
              <w:spacing w:after="0" w:line="259" w:lineRule="auto"/>
              <w:ind w:left="0" w:firstLine="0"/>
            </w:pPr>
            <w:r>
              <w:rPr>
                <w:sz w:val="20"/>
              </w:rPr>
              <w:t>Podmínkou pro zřízení tohoto účtu je aktivní podnikatelský Běžný účet / balíček v obsluze poboček, Korporátních a</w:t>
            </w:r>
          </w:p>
          <w:p w:rsidR="002A1831" w:rsidRDefault="00294B37">
            <w:pPr>
              <w:spacing w:after="0" w:line="259" w:lineRule="auto"/>
              <w:ind w:left="0" w:firstLine="0"/>
            </w:pPr>
            <w:r>
              <w:rPr>
                <w:sz w:val="20"/>
              </w:rPr>
              <w:t>Obchodních divizí. Účty jsou určeny pro specifické obchody a zajištění aktivních obchodů a dále subjektům se specifickými potřebami pro uložen</w:t>
            </w:r>
            <w:r>
              <w:rPr>
                <w:sz w:val="20"/>
              </w:rPr>
              <w:t>í depozit za účelem evidence - zejména insolvenční správci, municipality, municipalitami zřizované organizace / založené společnosti, veřejné vysoké školy, fakultní nemocnice, veřejné výzkumné instituce, nadace a nadační fondy a notáři pro výběr soudních p</w:t>
            </w:r>
            <w:r>
              <w:rPr>
                <w:sz w:val="20"/>
              </w:rPr>
              <w:t>oplatků.</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gridAfter w:val="1"/>
          <w:trHeight w:val="323"/>
        </w:trPr>
        <w:tc>
          <w:tcPr>
            <w:tcW w:w="8459" w:type="dxa"/>
            <w:gridSpan w:val="15"/>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Ostatní služby</w:t>
            </w:r>
          </w:p>
        </w:tc>
        <w:tc>
          <w:tcPr>
            <w:tcW w:w="2121" w:type="dxa"/>
            <w:gridSpan w:val="6"/>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změna a zrušení blokace a rezervace prostředků na účtech v Kč a v cizí měně</w:t>
            </w:r>
          </w:p>
        </w:tc>
        <w:tc>
          <w:tcPr>
            <w:tcW w:w="2121"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100</w:t>
            </w:r>
          </w:p>
        </w:tc>
      </w:tr>
      <w:tr w:rsidR="002A1831" w:rsidTr="00294B37">
        <w:trPr>
          <w:gridAfter w:val="1"/>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Zaslání upomínky - oznámení o vzniku nepovoleného debetu/oznámení o prodlení</w:t>
            </w:r>
          </w:p>
        </w:tc>
        <w:tc>
          <w:tcPr>
            <w:tcW w:w="2121"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100</w:t>
            </w:r>
          </w:p>
        </w:tc>
      </w:tr>
      <w:tr w:rsidR="002A1831" w:rsidTr="00294B37">
        <w:trPr>
          <w:gridAfter w:val="1"/>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Zaslání upomínky - výzvy k vyrovnání nepovoleného debetu / výzvy k vyrovnání debetu (upomínka je zpoplatněna pokud je dlužná částka rovna nebo vyšší než 1 000 Kč)</w:t>
            </w:r>
          </w:p>
        </w:tc>
        <w:tc>
          <w:tcPr>
            <w:tcW w:w="2121"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500</w:t>
            </w:r>
          </w:p>
        </w:tc>
      </w:tr>
      <w:tr w:rsidR="002A1831" w:rsidTr="00294B37">
        <w:trPr>
          <w:gridAfter w:val="3"/>
          <w:trHeight w:val="323"/>
        </w:trPr>
        <w:tc>
          <w:tcPr>
            <w:tcW w:w="10580" w:type="dxa"/>
            <w:gridSpan w:val="19"/>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Výpisy (pokud není součástí balíčku)</w:t>
            </w:r>
          </w:p>
        </w:tc>
      </w:tr>
      <w:tr w:rsidR="002A1831" w:rsidTr="00294B37">
        <w:trPr>
          <w:gridAfter w:val="3"/>
          <w:trHeight w:val="323"/>
        </w:trPr>
        <w:tc>
          <w:tcPr>
            <w:tcW w:w="3699" w:type="dxa"/>
            <w:gridSpan w:val="3"/>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Frekvence zasílání</w:t>
            </w:r>
          </w:p>
        </w:tc>
        <w:tc>
          <w:tcPr>
            <w:tcW w:w="6880" w:type="dxa"/>
            <w:gridSpan w:val="1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Měsíční cena</w:t>
            </w:r>
          </w:p>
        </w:tc>
      </w:tr>
      <w:tr w:rsidR="002A1831" w:rsidTr="00294B37">
        <w:trPr>
          <w:gridAfter w:val="3"/>
          <w:trHeight w:val="323"/>
        </w:trPr>
        <w:tc>
          <w:tcPr>
            <w:tcW w:w="0" w:type="auto"/>
            <w:gridSpan w:val="3"/>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293" w:type="dxa"/>
            <w:gridSpan w:val="4"/>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9" w:firstLine="0"/>
              <w:jc w:val="center"/>
            </w:pPr>
            <w:r>
              <w:rPr>
                <w:sz w:val="20"/>
              </w:rPr>
              <w:t>Elektronicky</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2" w:firstLine="0"/>
              <w:jc w:val="center"/>
            </w:pPr>
            <w:r>
              <w:rPr>
                <w:sz w:val="20"/>
              </w:rPr>
              <w:t>Osobní odběr</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Poštou</w:t>
            </w:r>
          </w:p>
        </w:tc>
      </w:tr>
      <w:tr w:rsidR="002A1831" w:rsidTr="00294B37">
        <w:trPr>
          <w:gridAfter w:val="3"/>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Měsíčně</w:t>
            </w:r>
          </w:p>
        </w:tc>
        <w:tc>
          <w:tcPr>
            <w:tcW w:w="2293"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w:t>
            </w:r>
          </w:p>
        </w:tc>
        <w:tc>
          <w:tcPr>
            <w:tcW w:w="2293"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190</w:t>
            </w:r>
          </w:p>
        </w:tc>
        <w:tc>
          <w:tcPr>
            <w:tcW w:w="2293"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85</w:t>
            </w:r>
          </w:p>
        </w:tc>
      </w:tr>
      <w:tr w:rsidR="002A1831" w:rsidTr="00294B37">
        <w:trPr>
          <w:gridAfter w:val="3"/>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Týdně</w:t>
            </w:r>
          </w:p>
        </w:tc>
        <w:tc>
          <w:tcPr>
            <w:tcW w:w="2293"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95</w:t>
            </w:r>
          </w:p>
        </w:tc>
        <w:tc>
          <w:tcPr>
            <w:tcW w:w="2293"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650</w:t>
            </w:r>
          </w:p>
        </w:tc>
        <w:tc>
          <w:tcPr>
            <w:tcW w:w="2293"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350</w:t>
            </w:r>
          </w:p>
        </w:tc>
      </w:tr>
      <w:tr w:rsidR="002A1831" w:rsidTr="00294B37">
        <w:trPr>
          <w:gridAfter w:val="3"/>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Denně při pohybu na účtu</w:t>
            </w:r>
          </w:p>
        </w:tc>
        <w:tc>
          <w:tcPr>
            <w:tcW w:w="2293"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395</w:t>
            </w:r>
          </w:p>
        </w:tc>
        <w:tc>
          <w:tcPr>
            <w:tcW w:w="2293"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1 450</w:t>
            </w:r>
          </w:p>
        </w:tc>
        <w:tc>
          <w:tcPr>
            <w:tcW w:w="2293"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650</w:t>
            </w:r>
          </w:p>
        </w:tc>
      </w:tr>
      <w:tr w:rsidR="002A1831" w:rsidTr="00294B37">
        <w:trPr>
          <w:gridAfter w:val="3"/>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Výpisy měsíčních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15</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60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35</w:t>
            </w:r>
          </w:p>
        </w:tc>
      </w:tr>
      <w:tr w:rsidR="002A1831" w:rsidTr="00294B37">
        <w:trPr>
          <w:gridAfter w:val="3"/>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Výpisy denních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50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90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200</w:t>
            </w:r>
          </w:p>
        </w:tc>
      </w:tr>
      <w:tr w:rsidR="002A1831" w:rsidTr="00294B37">
        <w:trPr>
          <w:gridAfter w:val="3"/>
          <w:trHeight w:val="473"/>
        </w:trPr>
        <w:tc>
          <w:tcPr>
            <w:tcW w:w="10580" w:type="dxa"/>
            <w:gridSpan w:val="19"/>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 Jestliže je u Běžného účtu využíván výpis poštou i elektronicky současně, pak je elektronick</w:t>
            </w:r>
            <w:r>
              <w:rPr>
                <w:sz w:val="17"/>
              </w:rPr>
              <w:t>ý zdarma.</w:t>
            </w:r>
          </w:p>
        </w:tc>
      </w:tr>
      <w:tr w:rsidR="002A1831" w:rsidTr="00294B37">
        <w:trPr>
          <w:gridAfter w:val="2"/>
          <w:trHeight w:val="300"/>
        </w:trPr>
        <w:tc>
          <w:tcPr>
            <w:tcW w:w="6874" w:type="dxa"/>
            <w:gridSpan w:val="10"/>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b/>
                <w:sz w:val="17"/>
              </w:rPr>
              <w:t>( + ) Zasílání výpisu z Běžného účtu do zahraničí se připočítává k cenám za jednotlivé výpisy</w:t>
            </w:r>
          </w:p>
        </w:tc>
        <w:tc>
          <w:tcPr>
            <w:tcW w:w="3705" w:type="dxa"/>
            <w:gridSpan w:val="10"/>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gridAfter w:val="2"/>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Zaslání výpisu z Běžného účtu do zahraničí za každou odeslanou obálku</w:t>
            </w:r>
          </w:p>
        </w:tc>
        <w:tc>
          <w:tcPr>
            <w:tcW w:w="3705"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69</w:t>
            </w:r>
          </w:p>
        </w:tc>
      </w:tr>
      <w:tr w:rsidR="002A1831" w:rsidTr="00294B37">
        <w:trPr>
          <w:gridAfter w:val="2"/>
          <w:trHeight w:val="519"/>
        </w:trPr>
        <w:tc>
          <w:tcPr>
            <w:tcW w:w="6874" w:type="dxa"/>
            <w:gridSpan w:val="10"/>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Výpisy ve formátu SWIFT</w:t>
            </w:r>
          </w:p>
        </w:tc>
        <w:tc>
          <w:tcPr>
            <w:tcW w:w="3705" w:type="dxa"/>
            <w:gridSpan w:val="10"/>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jc w:val="center"/>
            </w:pPr>
            <w:r>
              <w:rPr>
                <w:sz w:val="20"/>
              </w:rPr>
              <w:t>Zaslání výpisu z Běžného účtu do zahraničí z podnětu klienta</w:t>
            </w:r>
          </w:p>
        </w:tc>
      </w:tr>
      <w:tr w:rsidR="002A1831" w:rsidTr="00294B37">
        <w:trPr>
          <w:gridAfter w:val="2"/>
          <w:trHeight w:val="473"/>
        </w:trPr>
        <w:tc>
          <w:tcPr>
            <w:tcW w:w="6874" w:type="dxa"/>
            <w:gridSpan w:val="10"/>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Výpis do zahraničí ve formátu SWIFT MT 940</w:t>
            </w:r>
          </w:p>
        </w:tc>
        <w:tc>
          <w:tcPr>
            <w:tcW w:w="3705"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0" w:right="457" w:firstLine="0"/>
              <w:jc w:val="center"/>
            </w:pPr>
            <w:r>
              <w:rPr>
                <w:sz w:val="17"/>
              </w:rPr>
              <w:t>50 za jednu stranu zaslaného výpisu, max. 3 000 měsíčně</w:t>
            </w:r>
          </w:p>
        </w:tc>
      </w:tr>
      <w:tr w:rsidR="002A1831" w:rsidTr="00294B37">
        <w:trPr>
          <w:gridAfter w:val="2"/>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Denní výpis do zahraničí ve formátu MT 942</w:t>
            </w:r>
          </w:p>
        </w:tc>
        <w:tc>
          <w:tcPr>
            <w:tcW w:w="3705"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gridAfter w:val="2"/>
          <w:trHeight w:val="323"/>
        </w:trPr>
        <w:tc>
          <w:tcPr>
            <w:tcW w:w="6874" w:type="dxa"/>
            <w:gridSpan w:val="10"/>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Výpisy na vyžádání</w:t>
            </w:r>
          </w:p>
        </w:tc>
        <w:tc>
          <w:tcPr>
            <w:tcW w:w="3705" w:type="dxa"/>
            <w:gridSpan w:val="10"/>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gridAfter w:val="2"/>
          <w:trHeight w:val="519"/>
        </w:trPr>
        <w:tc>
          <w:tcPr>
            <w:tcW w:w="6874"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Objednání archivního výpisu prostřednictvím služeb MojeBanka, MojeBanka Business, Profibanka nebo MultiCash KB</w:t>
            </w:r>
          </w:p>
        </w:tc>
        <w:tc>
          <w:tcPr>
            <w:tcW w:w="3705" w:type="dxa"/>
            <w:gridSpan w:val="10"/>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gridAfter w:val="2"/>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Tištěný výpis na pobočce</w:t>
            </w:r>
          </w:p>
        </w:tc>
        <w:tc>
          <w:tcPr>
            <w:tcW w:w="3705"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8" w:firstLine="0"/>
              <w:jc w:val="center"/>
            </w:pPr>
            <w:r>
              <w:rPr>
                <w:sz w:val="17"/>
              </w:rPr>
              <w:t>100 + 2,50 za každou vytištěnou stranu</w:t>
            </w:r>
          </w:p>
        </w:tc>
      </w:tr>
      <w:tr w:rsidR="002A1831" w:rsidTr="00294B37">
        <w:trPr>
          <w:gridAfter w:val="2"/>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Zápis dat na CD na pobočce</w:t>
            </w:r>
          </w:p>
        </w:tc>
        <w:tc>
          <w:tcPr>
            <w:tcW w:w="3705"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100 + 200 za zápis na CD</w:t>
            </w:r>
          </w:p>
        </w:tc>
      </w:tr>
      <w:tr w:rsidR="002A1831" w:rsidTr="00294B37">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right="42" w:firstLine="0"/>
              <w:jc w:val="center"/>
            </w:pPr>
            <w:r>
              <w:rPr>
                <w:b/>
                <w:sz w:val="20"/>
              </w:rPr>
              <w:t>Poplatky z depozit</w:t>
            </w:r>
          </w:p>
        </w:tc>
        <w:tc>
          <w:tcPr>
            <w:tcW w:w="1124"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9" w:type="dxa"/>
            <w:gridSpan w:val="5"/>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Zpoplatněný objem depozit</w:t>
            </w:r>
          </w:p>
        </w:tc>
        <w:tc>
          <w:tcPr>
            <w:tcW w:w="1124"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 w:firstLine="0"/>
              <w:jc w:val="center"/>
            </w:pPr>
            <w:r>
              <w:rPr>
                <w:sz w:val="20"/>
              </w:rPr>
              <w:t>do</w:t>
            </w:r>
          </w:p>
          <w:p w:rsidR="002A1831" w:rsidRDefault="00294B37">
            <w:pPr>
              <w:spacing w:after="0" w:line="259" w:lineRule="auto"/>
              <w:ind w:left="0" w:right="9" w:firstLine="0"/>
              <w:jc w:val="right"/>
            </w:pPr>
            <w:r>
              <w:rPr>
                <w:sz w:val="20"/>
              </w:rPr>
              <w:t>stanoveného</w:t>
            </w:r>
          </w:p>
          <w:p w:rsidR="002A1831" w:rsidRDefault="00294B37">
            <w:pPr>
              <w:spacing w:after="0" w:line="259" w:lineRule="auto"/>
              <w:ind w:left="2" w:firstLine="0"/>
              <w:jc w:val="center"/>
            </w:pPr>
            <w:r>
              <w:rPr>
                <w:sz w:val="20"/>
              </w:rPr>
              <w:t>objemu vč. v</w:t>
            </w:r>
          </w:p>
          <w:p w:rsidR="002A1831" w:rsidRDefault="00294B37">
            <w:pPr>
              <w:spacing w:after="0" w:line="259" w:lineRule="auto"/>
              <w:ind w:left="0" w:firstLine="0"/>
              <w:jc w:val="center"/>
            </w:pPr>
            <w:r>
              <w:rPr>
                <w:sz w:val="20"/>
              </w:rPr>
              <w:t>příslušné měně</w:t>
            </w:r>
          </w:p>
        </w:tc>
        <w:tc>
          <w:tcPr>
            <w:tcW w:w="1124" w:type="dxa"/>
            <w:gridSpan w:val="2"/>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2A1831" w:rsidRDefault="00294B37">
            <w:pPr>
              <w:spacing w:after="0" w:line="259" w:lineRule="auto"/>
              <w:ind w:left="10" w:firstLine="0"/>
              <w:jc w:val="center"/>
            </w:pPr>
            <w:r>
              <w:rPr>
                <w:sz w:val="20"/>
              </w:rPr>
              <w:t>Měna</w:t>
            </w:r>
          </w:p>
        </w:tc>
        <w:tc>
          <w:tcPr>
            <w:tcW w:w="1124" w:type="dxa"/>
            <w:gridSpan w:val="3"/>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129" w:type="dxa"/>
            <w:gridSpan w:val="5"/>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784"/>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3" w:firstLine="0"/>
              <w:jc w:val="center"/>
            </w:pPr>
            <w:r>
              <w:rPr>
                <w:sz w:val="20"/>
              </w:rPr>
              <w:t>od 100 mil.</w:t>
            </w:r>
          </w:p>
          <w:p w:rsidR="002A1831" w:rsidRDefault="00294B37">
            <w:pPr>
              <w:spacing w:after="0" w:line="259" w:lineRule="auto"/>
              <w:ind w:left="3" w:firstLine="0"/>
              <w:jc w:val="center"/>
            </w:pPr>
            <w:r>
              <w:rPr>
                <w:sz w:val="20"/>
              </w:rPr>
              <w:t>Kč do 1 mld.</w:t>
            </w:r>
          </w:p>
          <w:p w:rsidR="002A1831" w:rsidRDefault="00294B37">
            <w:pPr>
              <w:spacing w:after="0" w:line="259" w:lineRule="auto"/>
              <w:ind w:left="4" w:firstLine="0"/>
              <w:jc w:val="center"/>
            </w:pPr>
            <w:r>
              <w:rPr>
                <w:sz w:val="20"/>
              </w:rPr>
              <w:t>Kč</w:t>
            </w:r>
          </w:p>
        </w:tc>
        <w:tc>
          <w:tcPr>
            <w:tcW w:w="1124"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4" w:firstLine="0"/>
              <w:jc w:val="center"/>
            </w:pPr>
            <w:r>
              <w:rPr>
                <w:sz w:val="20"/>
              </w:rPr>
              <w:t>nad 1 mld. Kč</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3" w:firstLine="0"/>
              <w:jc w:val="center"/>
            </w:pPr>
            <w:r>
              <w:rPr>
                <w:sz w:val="20"/>
              </w:rPr>
              <w:t>nad 10 mil.</w:t>
            </w:r>
          </w:p>
          <w:p w:rsidR="002A1831" w:rsidRDefault="00294B37">
            <w:pPr>
              <w:spacing w:after="0" w:line="259" w:lineRule="auto"/>
              <w:ind w:left="7" w:firstLine="0"/>
              <w:jc w:val="center"/>
            </w:pPr>
            <w:r>
              <w:rPr>
                <w:sz w:val="20"/>
              </w:rPr>
              <w:t>EUR</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3" w:firstLine="0"/>
              <w:jc w:val="center"/>
            </w:pPr>
            <w:r>
              <w:rPr>
                <w:sz w:val="20"/>
              </w:rPr>
              <w:t>nad 40 tis.</w:t>
            </w:r>
          </w:p>
          <w:p w:rsidR="002A1831" w:rsidRDefault="00294B37">
            <w:pPr>
              <w:spacing w:after="0" w:line="259" w:lineRule="auto"/>
              <w:ind w:left="4" w:firstLine="0"/>
              <w:jc w:val="center"/>
            </w:pPr>
            <w:r>
              <w:rPr>
                <w:sz w:val="20"/>
              </w:rPr>
              <w:t>CHF</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jc w:val="center"/>
            </w:pPr>
            <w:r>
              <w:rPr>
                <w:sz w:val="20"/>
              </w:rPr>
              <w:t>nad 400 tis. SEK</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3" w:firstLine="0"/>
              <w:jc w:val="center"/>
            </w:pPr>
            <w:r>
              <w:rPr>
                <w:sz w:val="20"/>
              </w:rPr>
              <w:t>nad 300 tis.</w:t>
            </w:r>
          </w:p>
          <w:p w:rsidR="002A1831" w:rsidRDefault="00294B37">
            <w:pPr>
              <w:spacing w:after="0" w:line="259" w:lineRule="auto"/>
              <w:ind w:left="7" w:firstLine="0"/>
              <w:jc w:val="center"/>
            </w:pPr>
            <w:r>
              <w:rPr>
                <w:sz w:val="20"/>
              </w:rPr>
              <w:t>DKK</w:t>
            </w:r>
          </w:p>
        </w:tc>
        <w:tc>
          <w:tcPr>
            <w:tcW w:w="1129" w:type="dxa"/>
            <w:gridSpan w:val="5"/>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5" w:firstLine="0"/>
              <w:jc w:val="center"/>
            </w:pPr>
            <w:r>
              <w:rPr>
                <w:sz w:val="20"/>
              </w:rPr>
              <w:t>nad 5 mil. JPY</w:t>
            </w:r>
          </w:p>
        </w:tc>
      </w:tr>
      <w:tr w:rsidR="002A1831" w:rsidTr="00294B37">
        <w:trPr>
          <w:trHeight w:val="346"/>
        </w:trPr>
        <w:tc>
          <w:tcPr>
            <w:tcW w:w="158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center"/>
            </w:pPr>
            <w:r>
              <w:rPr>
                <w:sz w:val="20"/>
              </w:rPr>
              <w:t xml:space="preserve">Poplatek z depozit </w:t>
            </w:r>
            <w:r>
              <w:rPr>
                <w:sz w:val="25"/>
                <w:vertAlign w:val="superscript"/>
              </w:rPr>
              <w:t>1)</w:t>
            </w:r>
          </w:p>
        </w:tc>
        <w:tc>
          <w:tcPr>
            <w:tcW w:w="112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 w:firstLine="0"/>
              <w:jc w:val="center"/>
            </w:pPr>
            <w:r>
              <w:rPr>
                <w:sz w:val="17"/>
              </w:rPr>
              <w:t>bez poplatku</w:t>
            </w:r>
          </w:p>
        </w:tc>
        <w:tc>
          <w:tcPr>
            <w:tcW w:w="1124"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0,15 % p. a.</w:t>
            </w:r>
          </w:p>
        </w:tc>
        <w:tc>
          <w:tcPr>
            <w:tcW w:w="112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0,3 % p.a.</w:t>
            </w:r>
          </w:p>
        </w:tc>
        <w:tc>
          <w:tcPr>
            <w:tcW w:w="112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0,5 % p.a.</w:t>
            </w:r>
          </w:p>
        </w:tc>
        <w:tc>
          <w:tcPr>
            <w:tcW w:w="112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1 % p.a.</w:t>
            </w:r>
          </w:p>
        </w:tc>
        <w:tc>
          <w:tcPr>
            <w:tcW w:w="1129" w:type="dxa"/>
            <w:gridSpan w:val="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0,5 % p.a.</w:t>
            </w:r>
          </w:p>
        </w:tc>
      </w:tr>
    </w:tbl>
    <w:p w:rsidR="002A1831" w:rsidRDefault="00294B37">
      <w:pPr>
        <w:ind w:left="199" w:right="4" w:hanging="156"/>
      </w:pPr>
      <w:r>
        <w:t xml:space="preserve">1) </w:t>
      </w:r>
      <w:r>
        <w:t>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w:t>
      </w:r>
      <w:r>
        <w:t>ně. Do základu depozit podléhajícímu zpoplatnění nejsou zahrnovány termínované vklady s individuální úrokovou sazbou a depozitní směnky Tradingu.</w:t>
      </w:r>
    </w:p>
    <w:p w:rsidR="002A1831" w:rsidRDefault="00294B37">
      <w:pPr>
        <w:ind w:left="223" w:right="4"/>
      </w:pPr>
      <w:r>
        <w:t>KB je oprávněna tento poplatek účtovat, a pokud tak učiní, účtuje ho klientovi měsíčně v měně příslušného účtu</w:t>
      </w:r>
      <w:r>
        <w:t xml:space="preserve">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Poplatek z přírů</w:t>
            </w:r>
            <w:r>
              <w:rPr>
                <w:sz w:val="20"/>
              </w:rPr>
              <w:t>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1" w:firstLine="0"/>
              <w:jc w:val="center"/>
            </w:pPr>
            <w:r>
              <w:rPr>
                <w:sz w:val="20"/>
              </w:rPr>
              <w:t xml:space="preserve">ročně </w:t>
            </w:r>
            <w:r>
              <w:rPr>
                <w:sz w:val="25"/>
                <w:vertAlign w:val="superscript"/>
              </w:rPr>
              <w:t>1)</w:t>
            </w:r>
            <w:r>
              <w:rPr>
                <w:sz w:val="20"/>
              </w:rPr>
              <w:t xml:space="preserve"> ke dni 31. prosince</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29" w:firstLine="0"/>
              <w:jc w:val="center"/>
            </w:pPr>
            <w:r>
              <w:rPr>
                <w:sz w:val="20"/>
              </w:rPr>
              <w:t>Poplatek z přírůstku depozit klienta, pokud celkový objem uložených prostředků za všechny měny k</w:t>
            </w:r>
          </w:p>
          <w:p w:rsidR="002A1831" w:rsidRDefault="00294B37">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8" w:firstLine="0"/>
              <w:jc w:val="center"/>
            </w:pPr>
            <w:r>
              <w:rPr>
                <w:sz w:val="17"/>
              </w:rPr>
              <w:t>bez poplatku</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29" w:firstLine="0"/>
              <w:jc w:val="center"/>
            </w:pPr>
            <w:r>
              <w:rPr>
                <w:sz w:val="20"/>
              </w:rPr>
              <w:t>Poplatek z přírůstku depozit klienta, pokud celkový objem uložených prostředků za všechny měny k</w:t>
            </w:r>
          </w:p>
          <w:p w:rsidR="002A1831" w:rsidRDefault="00294B37">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2" w:firstLine="0"/>
              <w:jc w:val="center"/>
            </w:pPr>
            <w:r>
              <w:rPr>
                <w:sz w:val="17"/>
              </w:rPr>
              <w:t>0,20 %</w:t>
            </w:r>
          </w:p>
        </w:tc>
      </w:tr>
    </w:tbl>
    <w:p w:rsidR="002A1831" w:rsidRDefault="00294B37">
      <w:pPr>
        <w:ind w:left="199" w:right="95" w:hanging="156"/>
      </w:pPr>
      <w:r>
        <w:t>1) Poplatek z přírůstku depozit je roven násobku poplatku a základu. Základ je roven rozdílu mezi celkovým objemem depo</w:t>
      </w:r>
      <w:r>
        <w:t>zit klienta ke dni 31.12. rozhodného roku a vyšší z následujících dvou hodnot: a) průměrný denní běžný zůstatek depozit klienta za období od 1. 10. předchozího roku do 30. 9. rozhodného roku nebo b) 100 mil Kč.</w:t>
      </w:r>
    </w:p>
    <w:p w:rsidR="002A1831" w:rsidRDefault="00294B37">
      <w:pPr>
        <w:ind w:left="223" w:right="4"/>
      </w:pPr>
      <w:r>
        <w:t>Do celkového objemu depozit klienta ke dni 31</w:t>
      </w:r>
      <w:r>
        <w:t xml:space="preserve">.12. rozhodného roku  se započítávají i všechny odchozí platby do jiné banky uskutečněné v tomto dni nebo v posledním Obchodním dni rozhodného roku, není-li 31.12. Obchodním dnem, a to s výjimkou plateb realizovaných a současně připsaných na účet příjemce </w:t>
      </w:r>
      <w:r>
        <w:t>v jiné bance poslední Obchodní den rozhodného roku.</w:t>
      </w:r>
    </w:p>
    <w:p w:rsidR="002A1831" w:rsidRDefault="00294B37">
      <w:pPr>
        <w:ind w:left="223" w:right="4"/>
      </w:pPr>
      <w:r>
        <w:t>Pokud je základ záporný, rovná se poplatek nule.</w:t>
      </w:r>
    </w:p>
    <w:p w:rsidR="002A1831" w:rsidRDefault="00294B37">
      <w:pPr>
        <w:ind w:left="223" w:right="4"/>
      </w:pPr>
      <w:r>
        <w:t>Základ tvoří prostředky klienta uložené na běžných, spořicích, termínovaných a vkladových účtech a depozitních směnkách ve všech měnách vyjma termínovaných</w:t>
      </w:r>
      <w:r>
        <w:t xml:space="preserve"> vkladů s individuální úrokovou sazbou a depozitních směnek Tradingu.</w:t>
      </w:r>
    </w:p>
    <w:p w:rsidR="002A1831" w:rsidRDefault="00294B37">
      <w:pPr>
        <w:ind w:left="223" w:right="4"/>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w:t>
      </w:r>
      <w:r>
        <w:t>depíše poplatek z jakéhokoli jeho účtu, který vede, dle svého určení. Při přepočtu cizích měn do Kč a naopak se používá kurz KB střed platný v den výpočtu poplatku.</w:t>
      </w:r>
    </w:p>
    <w:p w:rsidR="002A1831" w:rsidRDefault="00294B37">
      <w:pPr>
        <w:pStyle w:val="Nadpis3"/>
        <w:ind w:left="151"/>
      </w:pPr>
      <w:r>
        <w:t>Karty</w:t>
      </w:r>
    </w:p>
    <w:tbl>
      <w:tblPr>
        <w:tblStyle w:val="TableGrid"/>
        <w:tblW w:w="10580" w:type="dxa"/>
        <w:tblInd w:w="0" w:type="dxa"/>
        <w:tblLayout w:type="fixed"/>
        <w:tblCellMar>
          <w:top w:w="69" w:type="dxa"/>
          <w:left w:w="0" w:type="dxa"/>
          <w:bottom w:w="0" w:type="dxa"/>
          <w:right w:w="19" w:type="dxa"/>
        </w:tblCellMar>
        <w:tblLook w:val="04A0" w:firstRow="1" w:lastRow="0" w:firstColumn="1" w:lastColumn="0" w:noHBand="0" w:noVBand="1"/>
      </w:tblPr>
      <w:tblGrid>
        <w:gridCol w:w="3699"/>
        <w:gridCol w:w="1717"/>
        <w:gridCol w:w="1717"/>
        <w:gridCol w:w="1723"/>
        <w:gridCol w:w="288"/>
        <w:gridCol w:w="1435"/>
      </w:tblGrid>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Debetní karty</w:t>
            </w:r>
          </w:p>
        </w:tc>
        <w:tc>
          <w:tcPr>
            <w:tcW w:w="5445" w:type="dxa"/>
            <w:gridSpan w:val="4"/>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16"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17"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16" w:firstLine="0"/>
              <w:jc w:val="center"/>
            </w:pPr>
            <w:r>
              <w:rPr>
                <w:sz w:val="20"/>
              </w:rPr>
              <w:t>Stříbrná firemní karta</w:t>
            </w:r>
          </w:p>
        </w:tc>
        <w:tc>
          <w:tcPr>
            <w:tcW w:w="288" w:type="dxa"/>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14" w:firstLine="0"/>
            </w:pPr>
            <w:r>
              <w:rPr>
                <w:sz w:val="20"/>
              </w:rPr>
              <w:t>Zlatá firemní karta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Typ karty</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embosovaná</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Zdarma v rámci účtu</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7"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6" w:firstLine="0"/>
              <w:jc w:val="center"/>
            </w:pPr>
            <w:r>
              <w:rPr>
                <w:sz w:val="17"/>
              </w:rPr>
              <w:t>Komplet</w:t>
            </w:r>
          </w:p>
        </w:tc>
        <w:tc>
          <w:tcPr>
            <w:tcW w:w="288"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2A1831" w:rsidRDefault="00294B37">
            <w:pPr>
              <w:spacing w:after="0" w:line="259" w:lineRule="auto"/>
              <w:ind w:left="602" w:firstLine="0"/>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Roční cena karty (pokud není součástí účtu)</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390</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990</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990</w:t>
            </w:r>
          </w:p>
        </w:tc>
        <w:tc>
          <w:tcPr>
            <w:tcW w:w="288"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2A1831" w:rsidRDefault="00294B37">
            <w:pPr>
              <w:spacing w:after="0" w:line="259" w:lineRule="auto"/>
              <w:ind w:left="455" w:firstLine="0"/>
            </w:pPr>
            <w:r>
              <w:rPr>
                <w:sz w:val="17"/>
              </w:rPr>
              <w:t>1 990</w:t>
            </w:r>
          </w:p>
        </w:tc>
      </w:tr>
      <w:tr w:rsidR="002A1831" w:rsidTr="00294B37">
        <w:trPr>
          <w:trHeight w:val="818"/>
        </w:trPr>
        <w:tc>
          <w:tcPr>
            <w:tcW w:w="3699"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1" w:firstLine="0"/>
            </w:pPr>
            <w:r>
              <w:rPr>
                <w:sz w:val="20"/>
              </w:rPr>
              <w:t>Služby v ceně karty</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14" w:firstLine="0"/>
              <w:jc w:val="center"/>
            </w:pPr>
            <w:r>
              <w:rPr>
                <w:sz w:val="17"/>
              </w:rPr>
              <w:t>Cestovní pojištění k</w:t>
            </w:r>
          </w:p>
          <w:p w:rsidR="002A1831" w:rsidRDefault="00294B37">
            <w:pPr>
              <w:spacing w:after="0" w:line="259" w:lineRule="auto"/>
              <w:ind w:left="119" w:firstLine="0"/>
              <w:jc w:val="center"/>
            </w:pPr>
            <w:r>
              <w:rPr>
                <w:sz w:val="17"/>
              </w:rPr>
              <w:t>embosovaným kartám</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0" w:firstLine="0"/>
              <w:jc w:val="center"/>
            </w:pPr>
            <w:r>
              <w:rPr>
                <w:sz w:val="17"/>
              </w:rPr>
              <w:t>Cestovní pojištění k embosovaným kartám,</w:t>
            </w:r>
          </w:p>
          <w:p w:rsidR="002A1831" w:rsidRDefault="00294B37">
            <w:pPr>
              <w:spacing w:after="0" w:line="259" w:lineRule="auto"/>
              <w:ind w:left="6" w:firstLine="0"/>
              <w:jc w:val="center"/>
            </w:pPr>
            <w:r>
              <w:rPr>
                <w:sz w:val="17"/>
              </w:rPr>
              <w:t>Asistenční služba pro motoristy</w:t>
            </w:r>
          </w:p>
        </w:tc>
        <w:tc>
          <w:tcPr>
            <w:tcW w:w="288"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2A1831" w:rsidRDefault="00294B37">
            <w:pPr>
              <w:spacing w:after="0" w:line="216" w:lineRule="auto"/>
              <w:ind w:left="0" w:firstLine="0"/>
              <w:jc w:val="center"/>
            </w:pPr>
            <w:r>
              <w:rPr>
                <w:sz w:val="17"/>
              </w:rPr>
              <w:t>Cestovní pojištění ke zlatým kartám,</w:t>
            </w:r>
          </w:p>
          <w:p w:rsidR="002A1831" w:rsidRDefault="00294B37">
            <w:pPr>
              <w:spacing w:after="0" w:line="259" w:lineRule="auto"/>
              <w:ind w:left="340" w:hanging="340"/>
            </w:pPr>
            <w:r>
              <w:rPr>
                <w:sz w:val="17"/>
              </w:rPr>
              <w:t>Asistenční služba pro motoristy</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Roční poplatek za MojeKarta - karta s vlastním designem</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18" w:firstLine="0"/>
              <w:jc w:val="center"/>
            </w:pPr>
            <w:r>
              <w:rPr>
                <w:sz w:val="17"/>
              </w:rPr>
              <w:t>zdarma</w:t>
            </w:r>
          </w:p>
        </w:tc>
        <w:tc>
          <w:tcPr>
            <w:tcW w:w="2011" w:type="dxa"/>
            <w:gridSpan w:val="2"/>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right="66" w:firstLine="0"/>
              <w:jc w:val="both"/>
            </w:pPr>
            <w:r>
              <w:rPr>
                <w:sz w:val="20"/>
              </w:rPr>
              <w:t>Vydání karty s vlastním designem MojeKarta vlastní foto / galerie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15" w:firstLine="0"/>
              <w:jc w:val="center"/>
            </w:pPr>
            <w:r>
              <w:rPr>
                <w:sz w:val="17"/>
              </w:rPr>
              <w:t xml:space="preserve">149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Vydání karty s vlastním designem MojeKarta limitovaná edice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15" w:firstLine="0"/>
              <w:jc w:val="center"/>
            </w:pPr>
            <w:r>
              <w:rPr>
                <w:sz w:val="17"/>
              </w:rPr>
              <w:t xml:space="preserve">349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Výběry hotovosti</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Výběr hotovosti z bankomatu KB</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Výběr hotovosti z cizího bankomatu v ČR</w:t>
            </w:r>
          </w:p>
        </w:tc>
        <w:tc>
          <w:tcPr>
            <w:tcW w:w="515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39</w:t>
            </w:r>
          </w:p>
        </w:tc>
        <w:tc>
          <w:tcPr>
            <w:tcW w:w="288"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2A1831" w:rsidRDefault="00294B37">
            <w:pPr>
              <w:spacing w:after="0" w:line="259" w:lineRule="auto"/>
              <w:ind w:left="403" w:firstLine="0"/>
            </w:pPr>
            <w:r>
              <w:rPr>
                <w:sz w:val="17"/>
              </w:rPr>
              <w:t>zdarma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Výběr hotovosti z bankomatu v zahraničí</w:t>
            </w:r>
          </w:p>
        </w:tc>
        <w:tc>
          <w:tcPr>
            <w:tcW w:w="515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99</w:t>
            </w:r>
          </w:p>
        </w:tc>
        <w:tc>
          <w:tcPr>
            <w:tcW w:w="288"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2A1831" w:rsidRDefault="00294B37">
            <w:pPr>
              <w:spacing w:after="0" w:line="259" w:lineRule="auto"/>
              <w:ind w:left="403" w:firstLine="0"/>
            </w:pPr>
            <w:r>
              <w:rPr>
                <w:sz w:val="17"/>
              </w:rPr>
              <w:t>zdarma</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Výběr hotovosti na přepážce v ČR i v zahraničí Cash Advance</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49" w:firstLine="0"/>
              <w:jc w:val="center"/>
            </w:pPr>
            <w:r>
              <w:rPr>
                <w:sz w:val="17"/>
              </w:rPr>
              <w:t>149</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jc w:val="both"/>
            </w:pPr>
            <w:r>
              <w:rPr>
                <w:sz w:val="20"/>
              </w:rPr>
              <w:t>Výběr hotovosti na pokladně u obchodníka v ČR Cash back</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Vklad hotovosti</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right="48" w:firstLine="0"/>
            </w:pPr>
            <w:r>
              <w:rPr>
                <w:sz w:val="20"/>
              </w:rPr>
              <w:t>Vklad hotovosti pomocí vkladového bankomatu KB</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Dotaz na zůstatek</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Dotaz na zůstatek v bankomatu KB</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Dotaz na zůstatek v bankomatu jiných bank</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t>25</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Výpisy</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Zasílání jednoho výpisu z platební karty v elektronicky</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Výpis - poštou nebo předání na pobočce</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t>5</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PIN</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Změna PIN v bankomatech KB</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Standardní předání</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Předání PIN ke kartě na pobočku</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100</w:t>
            </w:r>
          </w:p>
        </w:tc>
        <w:tc>
          <w:tcPr>
            <w:tcW w:w="3728" w:type="dxa"/>
            <w:gridSpan w:val="3"/>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Opětovné předání PIN ke kartě</w:t>
            </w:r>
          </w:p>
        </w:tc>
        <w:tc>
          <w:tcPr>
            <w:tcW w:w="3434"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5" w:firstLine="0"/>
              <w:jc w:val="center"/>
            </w:pPr>
            <w:r>
              <w:rPr>
                <w:sz w:val="17"/>
              </w:rPr>
              <w:t xml:space="preserve">50 </w:t>
            </w:r>
            <w:r>
              <w:rPr>
                <w:sz w:val="23"/>
                <w:vertAlign w:val="superscript"/>
              </w:rPr>
              <w:t>2)</w:t>
            </w:r>
          </w:p>
        </w:tc>
        <w:tc>
          <w:tcPr>
            <w:tcW w:w="2011"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jc w:val="right"/>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Nestandardní služby</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94" w:firstLine="0"/>
              <w:jc w:val="center"/>
            </w:pPr>
            <w:r>
              <w:rPr>
                <w:sz w:val="20"/>
              </w:rPr>
              <w:t>Osobní převzetí karty a/nebo PIN na centrále KB</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Expresní zaslání karty a/nebo PIN v ČR (odděleně)</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46"/>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Zaslání karty a/nebo PIN do zahraničí (odděleně) </w:t>
            </w:r>
            <w:r>
              <w:rPr>
                <w:sz w:val="25"/>
                <w:vertAlign w:val="superscript"/>
              </w:rPr>
              <w:t>2)</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t>1 000</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Limity</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jc w:val="both"/>
            </w:pPr>
            <w:r>
              <w:rPr>
                <w:sz w:val="20"/>
              </w:rPr>
              <w:t>Změna týdenních limitů prostřednictvím služby MojeBanka, MojeBanka Business</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jc w:val="both"/>
            </w:pPr>
            <w:r>
              <w:rPr>
                <w:sz w:val="20"/>
              </w:rPr>
              <w:t>Změna týdenních limitů prostřednictvím služby Expresní linka KB</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Expresní změna týdenních limitů</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417"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Debetní karty</w:t>
            </w:r>
          </w:p>
        </w:tc>
        <w:tc>
          <w:tcPr>
            <w:tcW w:w="5163" w:type="dxa"/>
            <w:gridSpan w:val="4"/>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78"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79"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78" w:firstLine="0"/>
              <w:jc w:val="center"/>
            </w:pPr>
            <w:r>
              <w:rPr>
                <w:sz w:val="20"/>
              </w:rPr>
              <w:t>Stříbrná firemní karta</w:t>
            </w:r>
          </w:p>
        </w:tc>
        <w:tc>
          <w:tcPr>
            <w:tcW w:w="1723"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78" w:firstLine="0"/>
              <w:jc w:val="center"/>
            </w:pPr>
            <w:r>
              <w:rPr>
                <w:sz w:val="20"/>
              </w:rPr>
              <w:t>Zlatá firemní karta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Změna týdenních limitů přes přepážku</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tcPr>
          <w:p w:rsidR="002A1831" w:rsidRDefault="00294B37">
            <w:pPr>
              <w:spacing w:after="0" w:line="259" w:lineRule="auto"/>
              <w:ind w:left="1697" w:firstLine="0"/>
            </w:pPr>
            <w:r>
              <w:rPr>
                <w:sz w:val="17"/>
              </w:rPr>
              <w:t>69</w:t>
            </w:r>
          </w:p>
        </w:tc>
      </w:tr>
      <w:tr w:rsidR="002A1831" w:rsidTr="00294B37">
        <w:trPr>
          <w:trHeight w:val="323"/>
        </w:trPr>
        <w:tc>
          <w:tcPr>
            <w:tcW w:w="5417" w:type="dxa"/>
            <w:gridSpan w:val="2"/>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Ostatní</w:t>
            </w:r>
          </w:p>
        </w:tc>
        <w:tc>
          <w:tcPr>
            <w:tcW w:w="5163"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553" w:firstLine="0"/>
            </w:pPr>
            <w:r>
              <w:rPr>
                <w:sz w:val="17"/>
              </w:rPr>
              <w:t>zdarma</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jc w:val="both"/>
            </w:pPr>
            <w:r>
              <w:rPr>
                <w:sz w:val="20"/>
              </w:rPr>
              <w:t>Expresní 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697" w:firstLine="0"/>
            </w:pPr>
            <w:r>
              <w:rPr>
                <w:sz w:val="17"/>
              </w:rPr>
              <w:t>19</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Stoplistace karty</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77" w:firstLine="0"/>
              <w:jc w:val="center"/>
            </w:pPr>
            <w:r>
              <w:rPr>
                <w:sz w:val="17"/>
              </w:rPr>
              <w:t xml:space="preserve">1 000 </w:t>
            </w:r>
            <w:r>
              <w:rPr>
                <w:sz w:val="23"/>
                <w:vertAlign w:val="superscript"/>
              </w:rPr>
              <w:t>3)</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77" w:firstLine="0"/>
              <w:jc w:val="center"/>
            </w:pPr>
            <w:r>
              <w:rPr>
                <w:sz w:val="17"/>
              </w:rPr>
              <w:t xml:space="preserve">200 </w:t>
            </w:r>
            <w:r>
              <w:rPr>
                <w:sz w:val="23"/>
                <w:vertAlign w:val="superscript"/>
              </w:rPr>
              <w:t>3)</w:t>
            </w:r>
          </w:p>
        </w:tc>
        <w:tc>
          <w:tcPr>
            <w:tcW w:w="3446"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77" w:firstLine="0"/>
              <w:jc w:val="center"/>
            </w:pPr>
            <w:r>
              <w:rPr>
                <w:sz w:val="17"/>
              </w:rPr>
              <w:t xml:space="preserve">1 000 </w:t>
            </w:r>
            <w:r>
              <w:rPr>
                <w:sz w:val="23"/>
                <w:vertAlign w:val="superscript"/>
              </w:rPr>
              <w:t>3)</w:t>
            </w:r>
          </w:p>
        </w:tc>
      </w:tr>
      <w:tr w:rsidR="002A1831" w:rsidTr="00294B37">
        <w:trPr>
          <w:trHeight w:val="565"/>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Vydání náhradní karty po stoplistaci </w:t>
            </w:r>
            <w:r>
              <w:rPr>
                <w:sz w:val="25"/>
                <w:vertAlign w:val="superscript"/>
              </w:rPr>
              <w:t>3)</w:t>
            </w:r>
            <w:r>
              <w:rPr>
                <w:sz w:val="20"/>
              </w:rPr>
              <w:t xml:space="preserve"> / vydání duplikátu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660" w:firstLine="0"/>
            </w:pPr>
            <w:r>
              <w:rPr>
                <w:sz w:val="17"/>
              </w:rPr>
              <w:t>200</w:t>
            </w:r>
          </w:p>
        </w:tc>
      </w:tr>
      <w:tr w:rsidR="002A1831" w:rsidTr="00294B37">
        <w:trPr>
          <w:trHeight w:val="738"/>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Vydání duplikátu karty s vlastním designem</w:t>
            </w:r>
          </w:p>
          <w:p w:rsidR="002A1831" w:rsidRDefault="00294B37">
            <w:pPr>
              <w:spacing w:after="0" w:line="259" w:lineRule="auto"/>
              <w:ind w:left="294" w:firstLine="0"/>
            </w:pPr>
            <w:r>
              <w:rPr>
                <w:sz w:val="20"/>
              </w:rPr>
              <w:t xml:space="preserve">MojeKarta </w:t>
            </w:r>
            <w:r>
              <w:rPr>
                <w:sz w:val="25"/>
                <w:vertAlign w:val="superscript"/>
              </w:rPr>
              <w:t>2)</w:t>
            </w:r>
            <w:r>
              <w:rPr>
                <w:sz w:val="20"/>
              </w:rPr>
              <w:t xml:space="preserve"> / změna designu MojeKarta - vlastní foto / galerie</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63" w:firstLine="0"/>
            </w:pPr>
            <w:r>
              <w:rPr>
                <w:sz w:val="17"/>
              </w:rPr>
              <w:t>149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79" w:firstLine="0"/>
              <w:jc w:val="center"/>
            </w:pPr>
            <w:r>
              <w:rPr>
                <w:sz w:val="17"/>
              </w:rPr>
              <w:t>-</w:t>
            </w:r>
          </w:p>
        </w:tc>
      </w:tr>
      <w:tr w:rsidR="002A1831" w:rsidTr="00294B37">
        <w:trPr>
          <w:trHeight w:val="738"/>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Vydání duplikátu karty s vlastním designem MojeKarta </w:t>
            </w:r>
            <w:r>
              <w:rPr>
                <w:sz w:val="25"/>
                <w:vertAlign w:val="superscript"/>
              </w:rPr>
              <w:t>2)</w:t>
            </w:r>
            <w:r>
              <w:rPr>
                <w:sz w:val="20"/>
              </w:rPr>
              <w:t xml:space="preserve"> / změna designu MojeKarta limitovaná edice</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63" w:firstLine="0"/>
            </w:pPr>
            <w:r>
              <w:rPr>
                <w:sz w:val="17"/>
              </w:rPr>
              <w:t>349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79" w:firstLine="0"/>
              <w:jc w:val="center"/>
            </w:pPr>
            <w:r>
              <w:rPr>
                <w:sz w:val="17"/>
              </w:rPr>
              <w:t>-</w:t>
            </w:r>
          </w:p>
        </w:tc>
      </w:tr>
      <w:tr w:rsidR="002A1831" w:rsidTr="00294B37">
        <w:trPr>
          <w:trHeight w:val="542"/>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Emergency Cash Advance (náhradní hotovost na přepážce při ztrátě, krádeži karty apod.)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605" w:firstLine="0"/>
            </w:pPr>
            <w:r>
              <w:rPr>
                <w:sz w:val="17"/>
              </w:rPr>
              <w:t>3 500</w:t>
            </w:r>
          </w:p>
        </w:tc>
      </w:tr>
      <w:tr w:rsidR="002A1831" w:rsidTr="00294B37">
        <w:trPr>
          <w:trHeight w:val="715"/>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Emergency Card Replacement (vydání náhradní karty bez PIN do zahraničí při ztrátě, krádeži karty apod.)</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605" w:firstLine="0"/>
            </w:pPr>
            <w:r>
              <w:rPr>
                <w:sz w:val="17"/>
              </w:rPr>
              <w:t>4 000</w:t>
            </w:r>
          </w:p>
        </w:tc>
      </w:tr>
      <w:tr w:rsidR="002A1831" w:rsidTr="00294B37">
        <w:trPr>
          <w:trHeight w:val="738"/>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553" w:firstLine="0"/>
            </w:pPr>
            <w:r>
              <w:rPr>
                <w:sz w:val="17"/>
              </w:rPr>
              <w:t>zdarma</w:t>
            </w:r>
          </w:p>
        </w:tc>
      </w:tr>
      <w:tr w:rsidR="002A1831" w:rsidTr="00294B37">
        <w:trPr>
          <w:trHeight w:val="738"/>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409" w:firstLine="0"/>
            </w:pPr>
            <w:r>
              <w:rPr>
                <w:sz w:val="17"/>
              </w:rPr>
              <w:t>1 %, min. 29</w:t>
            </w:r>
          </w:p>
        </w:tc>
      </w:tr>
    </w:tbl>
    <w:p w:rsidR="002A1831" w:rsidRDefault="00294B37">
      <w:pPr>
        <w:numPr>
          <w:ilvl w:val="0"/>
          <w:numId w:val="1"/>
        </w:numPr>
        <w:ind w:left="199" w:right="4" w:hanging="156"/>
      </w:pPr>
      <w:r>
        <w:t>Poplatek je účtován společně s ročním poplatkem za kartu. V případě karty vydávané / sjednané v rámci účtu se tento poplatek účtuje samostatně.</w:t>
      </w:r>
    </w:p>
    <w:p w:rsidR="002A1831" w:rsidRDefault="00294B37">
      <w:pPr>
        <w:numPr>
          <w:ilvl w:val="0"/>
          <w:numId w:val="1"/>
        </w:numPr>
        <w:ind w:left="199" w:right="4" w:hanging="156"/>
      </w:pPr>
      <w:r>
        <w:t>V případě existence pojištění Profi Merlin bude poplatek vrácen.</w:t>
      </w:r>
    </w:p>
    <w:p w:rsidR="002A1831" w:rsidRDefault="00294B37">
      <w:pPr>
        <w:numPr>
          <w:ilvl w:val="0"/>
          <w:numId w:val="1"/>
        </w:numPr>
        <w:ind w:left="199" w:right="4" w:hanging="156"/>
      </w:pPr>
      <w:r>
        <w:t>Platí i pro mikropodnikatele. V případě existence pojištění Profi Merlin bude poplatek za vydání náhradní karty po stoplistaci vrácen.</w:t>
      </w:r>
    </w:p>
    <w:p w:rsidR="002A1831" w:rsidRDefault="00294B37">
      <w:pPr>
        <w:numPr>
          <w:ilvl w:val="0"/>
          <w:numId w:val="1"/>
        </w:numPr>
        <w:ind w:left="199" w:right="4" w:hanging="156"/>
      </w:pPr>
      <w:r>
        <w:t>Jedná se o příchozí platby typu VISA Direct nebo MasterCard MoneySend. Procentní část poplatku za příchozí Expresní platb</w:t>
      </w:r>
      <w:r>
        <w:t>u na kartu („Příchozí částka") je kalkulována z Příchozí částky v den jejího účetního zpracování u karetní společnosti.</w:t>
      </w:r>
    </w:p>
    <w:tbl>
      <w:tblPr>
        <w:tblStyle w:val="TableGrid"/>
        <w:tblW w:w="10580" w:type="dxa"/>
        <w:tblInd w:w="0" w:type="dxa"/>
        <w:tblLayout w:type="fixed"/>
        <w:tblCellMar>
          <w:top w:w="69" w:type="dxa"/>
          <w:left w:w="0" w:type="dxa"/>
          <w:bottom w:w="0" w:type="dxa"/>
          <w:right w:w="115" w:type="dxa"/>
        </w:tblCellMar>
        <w:tblLook w:val="04A0" w:firstRow="1" w:lastRow="0" w:firstColumn="1" w:lastColumn="0" w:noHBand="0" w:noVBand="1"/>
      </w:tblPr>
      <w:tblGrid>
        <w:gridCol w:w="5290"/>
        <w:gridCol w:w="2475"/>
        <w:gridCol w:w="170"/>
        <w:gridCol w:w="1150"/>
        <w:gridCol w:w="1495"/>
      </w:tblGrid>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Ostatní karty</w:t>
            </w:r>
          </w:p>
        </w:tc>
        <w:tc>
          <w:tcPr>
            <w:tcW w:w="2475"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47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712" w:firstLine="0"/>
            </w:pPr>
            <w:r>
              <w:rPr>
                <w:sz w:val="20"/>
              </w:rPr>
              <w:t>Vkladová karta VISA</w:t>
            </w:r>
          </w:p>
        </w:tc>
        <w:tc>
          <w:tcPr>
            <w:tcW w:w="170"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e-Card</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Roční cena karty (pokud není součástí účtu)</w:t>
            </w:r>
          </w:p>
        </w:tc>
        <w:tc>
          <w:tcPr>
            <w:tcW w:w="2475" w:type="dxa"/>
            <w:tcBorders>
              <w:top w:val="single" w:sz="5" w:space="0" w:color="DCDCDC"/>
              <w:left w:val="single" w:sz="5" w:space="0" w:color="DCDCDC"/>
              <w:bottom w:val="single" w:sz="5" w:space="0" w:color="DCDCDC"/>
              <w:right w:val="nil"/>
            </w:tcBorders>
          </w:tcPr>
          <w:p w:rsidR="002A1831" w:rsidRDefault="00294B37">
            <w:pPr>
              <w:spacing w:after="0" w:line="259" w:lineRule="auto"/>
              <w:ind w:left="380" w:firstLine="0"/>
              <w:jc w:val="center"/>
            </w:pPr>
            <w:r>
              <w:rPr>
                <w:sz w:val="17"/>
              </w:rPr>
              <w:t>99</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2A1831" w:rsidRDefault="00294B37">
            <w:pPr>
              <w:spacing w:after="0" w:line="259" w:lineRule="auto"/>
              <w:ind w:left="147" w:firstLine="0"/>
            </w:pPr>
            <w:r>
              <w:rPr>
                <w:sz w:val="17"/>
              </w:rPr>
              <w:t>65</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Vklad hotovosti</w:t>
            </w:r>
          </w:p>
        </w:tc>
        <w:tc>
          <w:tcPr>
            <w:tcW w:w="2475"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Vklad hotovosti pomocí vkladového bankomatu KB</w:t>
            </w:r>
          </w:p>
        </w:tc>
        <w:tc>
          <w:tcPr>
            <w:tcW w:w="2475" w:type="dxa"/>
            <w:tcBorders>
              <w:top w:val="single" w:sz="5" w:space="0" w:color="DCDCDC"/>
              <w:left w:val="single" w:sz="5" w:space="0" w:color="DCDCDC"/>
              <w:bottom w:val="single" w:sz="5" w:space="0" w:color="DCDCDC"/>
              <w:right w:val="nil"/>
            </w:tcBorders>
          </w:tcPr>
          <w:p w:rsidR="002A1831" w:rsidRDefault="00294B37">
            <w:pPr>
              <w:spacing w:after="0" w:line="259" w:lineRule="auto"/>
              <w:ind w:left="384" w:firstLine="0"/>
              <w:jc w:val="center"/>
            </w:pPr>
            <w:r>
              <w:rPr>
                <w:sz w:val="17"/>
              </w:rPr>
              <w:t>zdarma</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2A1831" w:rsidRDefault="00294B37">
            <w:pPr>
              <w:spacing w:after="0" w:line="259" w:lineRule="auto"/>
              <w:ind w:left="202" w:firstLine="0"/>
            </w:pPr>
            <w:r>
              <w:rPr>
                <w:sz w:val="17"/>
              </w:rPr>
              <w:t>-</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Výpisy</w:t>
            </w:r>
          </w:p>
        </w:tc>
        <w:tc>
          <w:tcPr>
            <w:tcW w:w="2475"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Zasílání jednoho výpisu z platební karty v elektronicky</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zdarma</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Výpis - poštou nebo předání na pobočce</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182" w:firstLine="0"/>
            </w:pPr>
            <w:r>
              <w:rPr>
                <w:sz w:val="17"/>
              </w:rPr>
              <w:t>5</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Nestandardní služby</w:t>
            </w:r>
          </w:p>
        </w:tc>
        <w:tc>
          <w:tcPr>
            <w:tcW w:w="2475"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Osobní převzetí karty a/nebo PIN na centrále KB</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Expresní zaslání karty a/nebo PIN v ČR (odděleně)</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46"/>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Zaslání karty a/nebo PIN do zahraničí (odděleně)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52" w:firstLine="0"/>
            </w:pPr>
            <w:r>
              <w:rPr>
                <w:sz w:val="17"/>
              </w:rPr>
              <w:t>1 000</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Limity</w:t>
            </w:r>
          </w:p>
        </w:tc>
        <w:tc>
          <w:tcPr>
            <w:tcW w:w="2475"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519"/>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Změna týdenních limitů prostřednictvím služby MojeBanka, MojeBanka Business</w:t>
            </w:r>
          </w:p>
        </w:tc>
        <w:tc>
          <w:tcPr>
            <w:tcW w:w="2475" w:type="dxa"/>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3" w:firstLine="0"/>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Změna týdenních limitů prostřednictvím služby Expresní linka KB</w:t>
            </w:r>
          </w:p>
        </w:tc>
        <w:tc>
          <w:tcPr>
            <w:tcW w:w="2475" w:type="dxa"/>
            <w:tcBorders>
              <w:top w:val="single" w:sz="5" w:space="0" w:color="DCDCDC"/>
              <w:left w:val="single" w:sz="5" w:space="0" w:color="DCDCDC"/>
              <w:bottom w:val="single" w:sz="5" w:space="0" w:color="DCDCDC"/>
              <w:right w:val="nil"/>
            </w:tcBorders>
          </w:tcPr>
          <w:p w:rsidR="002A1831" w:rsidRDefault="00294B37">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2A1831" w:rsidRDefault="00294B37">
            <w:pPr>
              <w:spacing w:after="0" w:line="259" w:lineRule="auto"/>
              <w:ind w:left="147" w:firstLine="0"/>
            </w:pPr>
            <w:r>
              <w:rPr>
                <w:sz w:val="17"/>
              </w:rPr>
              <w:t>19</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Změna týdenních limitů přes přepážku</w:t>
            </w:r>
          </w:p>
        </w:tc>
        <w:tc>
          <w:tcPr>
            <w:tcW w:w="2475" w:type="dxa"/>
            <w:tcBorders>
              <w:top w:val="single" w:sz="5" w:space="0" w:color="DCDCDC"/>
              <w:left w:val="single" w:sz="5" w:space="0" w:color="DCDCDC"/>
              <w:bottom w:val="single" w:sz="5" w:space="0" w:color="DCDCDC"/>
              <w:right w:val="nil"/>
            </w:tcBorders>
          </w:tcPr>
          <w:p w:rsidR="002A1831" w:rsidRDefault="00294B37">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2A1831" w:rsidRDefault="00294B37">
            <w:pPr>
              <w:spacing w:after="0" w:line="259" w:lineRule="auto"/>
              <w:ind w:left="147" w:firstLine="0"/>
            </w:pPr>
            <w:r>
              <w:rPr>
                <w:sz w:val="17"/>
              </w:rPr>
              <w:t>69</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Expresní změna týdenních limitů</w:t>
            </w:r>
          </w:p>
        </w:tc>
        <w:tc>
          <w:tcPr>
            <w:tcW w:w="2475" w:type="dxa"/>
            <w:tcBorders>
              <w:top w:val="single" w:sz="5" w:space="0" w:color="DCDCDC"/>
              <w:left w:val="single" w:sz="5" w:space="0" w:color="DCDCDC"/>
              <w:bottom w:val="single" w:sz="5" w:space="0" w:color="DCDCDC"/>
              <w:right w:val="nil"/>
            </w:tcBorders>
          </w:tcPr>
          <w:p w:rsidR="002A1831" w:rsidRDefault="00294B37">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2A1831" w:rsidRDefault="00294B37">
            <w:pPr>
              <w:spacing w:after="0" w:line="259" w:lineRule="auto"/>
              <w:ind w:left="147" w:firstLine="0"/>
            </w:pPr>
            <w:r>
              <w:rPr>
                <w:sz w:val="17"/>
              </w:rPr>
              <w:t>19</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Ostatní</w:t>
            </w:r>
          </w:p>
        </w:tc>
        <w:tc>
          <w:tcPr>
            <w:tcW w:w="2475"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Stoplistace karty</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40" w:firstLine="0"/>
            </w:pPr>
            <w:r>
              <w:rPr>
                <w:sz w:val="17"/>
              </w:rPr>
              <w:t xml:space="preserve">200 </w:t>
            </w:r>
            <w:r>
              <w:rPr>
                <w:sz w:val="23"/>
                <w:vertAlign w:val="superscript"/>
              </w:rPr>
              <w:t>2)</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46"/>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107" w:firstLine="0"/>
            </w:pPr>
            <w:r>
              <w:rPr>
                <w:sz w:val="17"/>
              </w:rPr>
              <w:t>200</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bl>
    <w:p w:rsidR="002A1831" w:rsidRDefault="00294B37">
      <w:pPr>
        <w:numPr>
          <w:ilvl w:val="0"/>
          <w:numId w:val="2"/>
        </w:numPr>
        <w:ind w:left="199" w:right="4" w:hanging="156"/>
      </w:pPr>
      <w:r>
        <w:t>V případě existence pojištění Profi Merlin bude poplatek vrácen.</w:t>
      </w:r>
    </w:p>
    <w:p w:rsidR="002A1831" w:rsidRDefault="00294B37">
      <w:pPr>
        <w:numPr>
          <w:ilvl w:val="0"/>
          <w:numId w:val="2"/>
        </w:numPr>
        <w:ind w:left="199" w:right="4" w:hanging="156"/>
      </w:pPr>
      <w:r>
        <w:t>Platí i pro mikropodnikatele. V případě existence pojištění Profi Merlin bude poplatek za vydání náhradní karty po stoplistaci vrácen.</w:t>
      </w:r>
      <w:r>
        <w:br w:type="page"/>
      </w:r>
    </w:p>
    <w:p w:rsidR="002A1831" w:rsidRDefault="002A1831">
      <w:pPr>
        <w:spacing w:after="0" w:line="259" w:lineRule="auto"/>
        <w:ind w:left="-661" w:right="11186" w:firstLine="0"/>
      </w:pPr>
    </w:p>
    <w:tbl>
      <w:tblPr>
        <w:tblStyle w:val="TableGrid"/>
        <w:tblW w:w="10580" w:type="dxa"/>
        <w:tblInd w:w="0" w:type="dxa"/>
        <w:tblLayout w:type="fixed"/>
        <w:tblCellMar>
          <w:top w:w="69" w:type="dxa"/>
          <w:left w:w="0" w:type="dxa"/>
          <w:bottom w:w="0" w:type="dxa"/>
          <w:right w:w="61" w:type="dxa"/>
        </w:tblCellMar>
        <w:tblLook w:val="04A0" w:firstRow="1" w:lastRow="0" w:firstColumn="1" w:lastColumn="0" w:noHBand="0" w:noVBand="1"/>
      </w:tblPr>
      <w:tblGrid>
        <w:gridCol w:w="5290"/>
        <w:gridCol w:w="2331"/>
        <w:gridCol w:w="314"/>
        <w:gridCol w:w="648"/>
        <w:gridCol w:w="1997"/>
      </w:tblGrid>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Kreditní karty</w:t>
            </w:r>
          </w:p>
        </w:tc>
        <w:tc>
          <w:tcPr>
            <w:tcW w:w="5290" w:type="dxa"/>
            <w:gridSpan w:val="4"/>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right="3" w:firstLine="0"/>
              <w:jc w:val="center"/>
            </w:pPr>
            <w:r>
              <w:rPr>
                <w:sz w:val="20"/>
              </w:rPr>
              <w:t>Korporátní karta</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right="3" w:firstLine="0"/>
              <w:jc w:val="center"/>
            </w:pPr>
            <w:r>
              <w:rPr>
                <w:sz w:val="20"/>
              </w:rPr>
              <w:t>Zlatá korporátní karta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Roční cena karty</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990</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2 990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Měsíční cena za automatickou splátku v rámci bezúročního období</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29</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29</w:t>
            </w:r>
          </w:p>
        </w:tc>
      </w:tr>
      <w:tr w:rsidR="002A1831" w:rsidTr="00294B37">
        <w:trPr>
          <w:trHeight w:val="841"/>
        </w:trPr>
        <w:tc>
          <w:tcPr>
            <w:tcW w:w="5290"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Služby v ceně karty</w:t>
            </w:r>
          </w:p>
        </w:tc>
        <w:tc>
          <w:tcPr>
            <w:tcW w:w="2645"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16" w:lineRule="auto"/>
              <w:ind w:left="0" w:firstLine="0"/>
              <w:jc w:val="center"/>
            </w:pPr>
            <w:r>
              <w:rPr>
                <w:sz w:val="17"/>
              </w:rPr>
              <w:t>Cestovní pojištění ke korporátním kartám</w:t>
            </w:r>
          </w:p>
          <w:p w:rsidR="002A1831" w:rsidRDefault="00294B37">
            <w:pPr>
              <w:spacing w:after="0" w:line="259" w:lineRule="auto"/>
              <w:ind w:left="0" w:right="2" w:firstLine="0"/>
              <w:jc w:val="center"/>
            </w:pPr>
            <w:r>
              <w:rPr>
                <w:sz w:val="17"/>
              </w:rPr>
              <w:t>Pojištění zneužití platební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0" w:firstLine="0"/>
              <w:jc w:val="center"/>
            </w:pPr>
            <w:r>
              <w:rPr>
                <w:sz w:val="17"/>
              </w:rPr>
              <w:t>Cestovní pojištění ke zlatým korporátním kartám</w:t>
            </w:r>
          </w:p>
          <w:p w:rsidR="002A1831" w:rsidRDefault="00294B37">
            <w:pPr>
              <w:spacing w:after="0" w:line="259" w:lineRule="auto"/>
              <w:ind w:left="780" w:hanging="498"/>
              <w:jc w:val="both"/>
            </w:pPr>
            <w:r>
              <w:rPr>
                <w:sz w:val="17"/>
              </w:rPr>
              <w:t xml:space="preserve">Pojištění zneužití platební karty Priority pass </w:t>
            </w:r>
            <w:r>
              <w:rPr>
                <w:sz w:val="23"/>
                <w:vertAlign w:val="superscript"/>
              </w:rPr>
              <w:t>1)</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Úroková sazba pro výpočet úroků z úvěru</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viz oznámení KB o úrok. sazbách</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Výběry hotovosti</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1 %, min. 30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na přepážce banky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1 %, min. 100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na pokladně u obchodníka v ČR-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 bankomatu jiných bank v ČR</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1 %, min. 100</w:t>
            </w:r>
          </w:p>
        </w:tc>
      </w:tr>
      <w:tr w:rsidR="002A1831" w:rsidTr="00294B37">
        <w:trPr>
          <w:trHeight w:val="473"/>
        </w:trPr>
        <w:tc>
          <w:tcPr>
            <w:tcW w:w="5290"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33" w:firstLine="0"/>
            </w:pPr>
            <w:r>
              <w:rPr>
                <w:sz w:val="20"/>
              </w:rPr>
              <w:t>z bankomatu v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1 %, min. 100</w:t>
            </w:r>
          </w:p>
          <w:p w:rsidR="002A1831" w:rsidRDefault="00294B37">
            <w:pPr>
              <w:spacing w:after="0" w:line="259" w:lineRule="auto"/>
              <w:ind w:left="0" w:right="1" w:firstLine="0"/>
              <w:jc w:val="center"/>
            </w:pPr>
            <w:r>
              <w:rPr>
                <w:sz w:val="17"/>
              </w:rPr>
              <w:t>1 výběr měsíčně zdarma</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Dotaz na zůstatek</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25</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Výpisy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elektronicky,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PIN</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Opětovné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Nestandardní služby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2 000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Osobní převzetí karty a /nebo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2 000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Zaslání karty a /nebo PIN do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1 000</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Limity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Snížení nebo zvýšení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519"/>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týdenních limitů prostřednictvím služby MojeBanka, MojeBanka Business</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Expresní změna týdenních limitů</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údajů ke kartě pomocí služby EL KB nebo na pobočce KB</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Ostatní</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Bezhotovostní převod z úvěrového účtu ke kreditní kartě na jiný</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2" w:firstLine="0"/>
              <w:jc w:val="center"/>
            </w:pPr>
            <w:r>
              <w:rPr>
                <w:sz w:val="17"/>
              </w:rPr>
              <w:t>1 %</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Expresní povolení / zablokování karty pro platby na internetu</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19</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Zaslání oznámení o přečerpání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Zaslání 2. a každé další upomínky</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500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Další změny ve smlouvě z podnětu klienta</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4" w:firstLine="0"/>
              <w:jc w:val="center"/>
            </w:pPr>
            <w:r>
              <w:rPr>
                <w:sz w:val="17"/>
              </w:rPr>
              <w:t xml:space="preserve">1 000 </w:t>
            </w:r>
            <w:r>
              <w:rPr>
                <w:sz w:val="23"/>
                <w:vertAlign w:val="superscript"/>
              </w:rPr>
              <w:t>2)</w:t>
            </w:r>
          </w:p>
        </w:tc>
      </w:tr>
      <w:tr w:rsidR="002A1831" w:rsidTr="00294B37">
        <w:trPr>
          <w:trHeight w:val="346"/>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200</w:t>
            </w:r>
          </w:p>
        </w:tc>
      </w:tr>
      <w:tr w:rsidR="002A1831" w:rsidTr="00294B37">
        <w:trPr>
          <w:trHeight w:val="542"/>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jc w:val="both"/>
            </w:pPr>
            <w:r>
              <w:rPr>
                <w:sz w:val="20"/>
              </w:rPr>
              <w:t xml:space="preserve">Emergency Cash Advance (náhradní hotovost na přepážce při ztrátě, krádeži karty apod.)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5" w:firstLine="0"/>
              <w:jc w:val="center"/>
            </w:pPr>
            <w:r>
              <w:rPr>
                <w:sz w:val="17"/>
              </w:rPr>
              <w:t>3 500</w:t>
            </w:r>
          </w:p>
        </w:tc>
      </w:tr>
      <w:tr w:rsidR="002A1831" w:rsidTr="00294B37">
        <w:trPr>
          <w:trHeight w:val="519"/>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jc w:val="both"/>
            </w:pPr>
            <w:r>
              <w:rPr>
                <w:sz w:val="20"/>
              </w:rPr>
              <w:t>Emergency Card Replacement (vydání náhradní karty bez PIN do zahraničí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5" w:firstLine="0"/>
              <w:jc w:val="center"/>
            </w:pPr>
            <w:r>
              <w:rPr>
                <w:sz w:val="17"/>
              </w:rPr>
              <w:t>4 000</w:t>
            </w:r>
          </w:p>
        </w:tc>
      </w:tr>
      <w:tr w:rsidR="002A1831" w:rsidTr="00294B37">
        <w:trPr>
          <w:trHeight w:val="323"/>
        </w:trPr>
        <w:tc>
          <w:tcPr>
            <w:tcW w:w="7621"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Kreditní karty</w:t>
            </w:r>
          </w:p>
        </w:tc>
        <w:tc>
          <w:tcPr>
            <w:tcW w:w="962"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331"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824" w:firstLine="0"/>
            </w:pPr>
            <w:r>
              <w:rPr>
                <w:sz w:val="20"/>
              </w:rPr>
              <w:t>Korporátní karta</w:t>
            </w:r>
          </w:p>
        </w:tc>
        <w:tc>
          <w:tcPr>
            <w:tcW w:w="314"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648" w:type="dxa"/>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Zlatá korporátní karta</w:t>
            </w:r>
          </w:p>
        </w:tc>
      </w:tr>
      <w:tr w:rsidR="002A1831" w:rsidTr="00294B37">
        <w:trPr>
          <w:trHeight w:val="542"/>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2A1831" w:rsidRDefault="00294B37">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42"/>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2A1831" w:rsidRDefault="00294B37">
            <w:pPr>
              <w:spacing w:after="0" w:line="259" w:lineRule="auto"/>
              <w:ind w:left="0" w:firstLine="0"/>
            </w:pPr>
            <w:r>
              <w:rPr>
                <w:sz w:val="17"/>
              </w:rPr>
              <w:t>1 %, min. 29</w:t>
            </w:r>
          </w:p>
        </w:tc>
        <w:tc>
          <w:tcPr>
            <w:tcW w:w="1997"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Povolení / zablokování karty pro platby na internetu</w:t>
            </w:r>
          </w:p>
        </w:tc>
        <w:tc>
          <w:tcPr>
            <w:tcW w:w="2331"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962" w:type="dxa"/>
            <w:gridSpan w:val="2"/>
            <w:tcBorders>
              <w:top w:val="single" w:sz="5" w:space="0" w:color="DCDCDC"/>
              <w:left w:val="nil"/>
              <w:bottom w:val="single" w:sz="5" w:space="0" w:color="DCDCDC"/>
              <w:right w:val="nil"/>
            </w:tcBorders>
          </w:tcPr>
          <w:p w:rsidR="002A1831" w:rsidRDefault="00294B37">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bl>
    <w:p w:rsidR="002A1831" w:rsidRDefault="00294B37">
      <w:pPr>
        <w:ind w:left="53" w:right="2385"/>
      </w:pPr>
      <w:r>
        <w:t xml:space="preserve">1) Jedná se o Standard Membership Priority Pass, kde za každý vstup bude účtován poplatek dle podmínek programu dostupných na www.prioritypass.com 2) </w:t>
      </w:r>
      <w:r>
        <w:t>Platí i pro mikropodnikatele. V případě existence pojištění Profi Merlin bude poplatek za vydání náhradní karty po stoplistaci vrácen. 3) V případě existence pojištění Profi Merlin bude poplatek vrácen.</w:t>
      </w:r>
    </w:p>
    <w:p w:rsidR="002A1831" w:rsidRDefault="00294B37">
      <w:pPr>
        <w:ind w:left="199" w:right="4" w:hanging="156"/>
      </w:pPr>
      <w:r>
        <w:t>4) Jedná se o příchozí platby typu VISA Direct nebo M</w:t>
      </w:r>
      <w:r>
        <w:t>asterCard MoneySend. Procentní část poplatku za příchozí Expresní platbu na kartu („Příchozí částka") je kalkulována z Příchozí částky v den jejího účetního zpracování u karetní společnosti.</w:t>
      </w:r>
    </w:p>
    <w:tbl>
      <w:tblPr>
        <w:tblStyle w:val="TableGrid"/>
        <w:tblW w:w="10580" w:type="dxa"/>
        <w:tblInd w:w="0" w:type="dxa"/>
        <w:tblLayout w:type="fixed"/>
        <w:tblCellMar>
          <w:top w:w="69" w:type="dxa"/>
          <w:left w:w="0" w:type="dxa"/>
          <w:bottom w:w="0" w:type="dxa"/>
          <w:right w:w="10" w:type="dxa"/>
        </w:tblCellMar>
        <w:tblLook w:val="04A0" w:firstRow="1" w:lastRow="0" w:firstColumn="1" w:lastColumn="0" w:noHBand="0" w:noVBand="1"/>
      </w:tblPr>
      <w:tblGrid>
        <w:gridCol w:w="5290"/>
        <w:gridCol w:w="1320"/>
        <w:gridCol w:w="1325"/>
        <w:gridCol w:w="487"/>
        <w:gridCol w:w="833"/>
        <w:gridCol w:w="1325"/>
      </w:tblGrid>
      <w:tr w:rsidR="002A1831" w:rsidTr="00294B37">
        <w:trPr>
          <w:trHeight w:val="519"/>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Akceptace platebních karet</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53" w:firstLine="0"/>
              <w:jc w:val="center"/>
            </w:pPr>
            <w:r>
              <w:rPr>
                <w:sz w:val="20"/>
              </w:rPr>
              <w:t>Profi terminál</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jc w:val="center"/>
            </w:pPr>
            <w:r>
              <w:rPr>
                <w:sz w:val="20"/>
              </w:rPr>
              <w:t>Akceptace platebních karet na internetu</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Výše měsíčního obratu 0 - 9 999 Kč / nad 10 000 Kč</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399 měsíčně / zdarma</w:t>
            </w:r>
          </w:p>
        </w:tc>
        <w:tc>
          <w:tcPr>
            <w:tcW w:w="264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199 měsíčně / 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Odinstalace každého platebního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Příplatek za odinstalace do 6 měsíců od instalace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w:t>
            </w:r>
          </w:p>
        </w:tc>
      </w:tr>
      <w:tr w:rsidR="002A1831" w:rsidTr="00294B37">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61" w:firstLine="0"/>
            </w:pPr>
            <w:r>
              <w:rPr>
                <w:sz w:val="20"/>
              </w:rPr>
              <w:t>Výpisy</w:t>
            </w:r>
          </w:p>
        </w:tc>
        <w:tc>
          <w:tcPr>
            <w:tcW w:w="1320" w:type="dxa"/>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812" w:type="dxa"/>
            <w:gridSpan w:val="2"/>
            <w:tcBorders>
              <w:top w:val="single" w:sz="5" w:space="0" w:color="DCDCDC"/>
              <w:left w:val="nil"/>
              <w:bottom w:val="single" w:sz="5" w:space="0" w:color="DCDCDC"/>
              <w:right w:val="nil"/>
            </w:tcBorders>
            <w:shd w:val="clear" w:color="auto" w:fill="EDEDED"/>
          </w:tcPr>
          <w:p w:rsidR="002A1831" w:rsidRDefault="00294B37">
            <w:pPr>
              <w:spacing w:after="0" w:line="259" w:lineRule="auto"/>
              <w:ind w:left="0" w:firstLine="0"/>
              <w:jc w:val="right"/>
            </w:pPr>
            <w:r>
              <w:rPr>
                <w:sz w:val="20"/>
              </w:rPr>
              <w:t>Měsíční cena</w:t>
            </w:r>
          </w:p>
        </w:tc>
        <w:tc>
          <w:tcPr>
            <w:tcW w:w="833"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07" w:firstLine="0"/>
              <w:jc w:val="center"/>
            </w:pPr>
            <w:r>
              <w:rPr>
                <w:sz w:val="20"/>
              </w:rPr>
              <w:t>Měsíčně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07" w:firstLine="0"/>
              <w:jc w:val="center"/>
            </w:pPr>
            <w:r>
              <w:rPr>
                <w:sz w:val="20"/>
              </w:rPr>
              <w:t>Čtrnáctidenně</w:t>
            </w:r>
          </w:p>
        </w:tc>
        <w:tc>
          <w:tcPr>
            <w:tcW w:w="487" w:type="dxa"/>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14" w:firstLine="0"/>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07" w:firstLine="0"/>
              <w:jc w:val="center"/>
            </w:pPr>
            <w:r>
              <w:rPr>
                <w:sz w:val="20"/>
              </w:rPr>
              <w:t>Denně</w:t>
            </w:r>
          </w:p>
        </w:tc>
      </w:tr>
      <w:tr w:rsidR="002A1831" w:rsidTr="00294B37">
        <w:trPr>
          <w:trHeight w:val="553"/>
        </w:trPr>
        <w:tc>
          <w:tcPr>
            <w:tcW w:w="5290"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1"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9" w:firstLine="0"/>
              <w:jc w:val="center"/>
            </w:pPr>
            <w:r>
              <w:rPr>
                <w:sz w:val="17"/>
              </w:rPr>
              <w:t>zdarma</w:t>
            </w:r>
          </w:p>
        </w:tc>
        <w:tc>
          <w:tcPr>
            <w:tcW w:w="48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0" w:firstLine="0"/>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9"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05" w:firstLine="0"/>
              <w:jc w:val="center"/>
            </w:pPr>
            <w:r>
              <w:rPr>
                <w:sz w:val="17"/>
              </w:rPr>
              <w:t>50</w:t>
            </w:r>
          </w:p>
        </w:tc>
        <w:tc>
          <w:tcPr>
            <w:tcW w:w="48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tcPr>
          <w:p w:rsidR="002A1831" w:rsidRDefault="00294B37">
            <w:pPr>
              <w:spacing w:after="0" w:line="259" w:lineRule="auto"/>
              <w:ind w:left="107" w:firstLine="0"/>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05" w:firstLine="0"/>
              <w:jc w:val="center"/>
            </w:pPr>
            <w:r>
              <w:rPr>
                <w:sz w:val="17"/>
              </w:rPr>
              <w:t>500</w:t>
            </w:r>
          </w:p>
        </w:tc>
      </w:tr>
      <w:tr w:rsidR="002A1831" w:rsidTr="00294B37">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EET - Elektronická evidence tržeb</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Měsíční cena</w:t>
            </w:r>
          </w:p>
        </w:tc>
      </w:tr>
      <w:tr w:rsidR="002A1831" w:rsidTr="00294B37">
        <w:trPr>
          <w:trHeight w:val="323"/>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EET na platebním terminálu</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1" w:firstLine="0"/>
              <w:jc w:val="center"/>
            </w:pPr>
            <w:r>
              <w:rPr>
                <w:sz w:val="20"/>
              </w:rPr>
              <w:t>EET na registrační pokladně</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Cena za službu</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+ 21 % DPH měsíčně</w:t>
            </w:r>
          </w:p>
        </w:tc>
        <w:tc>
          <w:tcPr>
            <w:tcW w:w="264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+ 21 % DPH měsíčně</w:t>
            </w:r>
          </w:p>
        </w:tc>
      </w:tr>
      <w:tr w:rsidR="002A1831" w:rsidTr="00294B37">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Pojištění platebních karet</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4" w:firstLine="0"/>
              <w:jc w:val="center"/>
            </w:pPr>
            <w:r>
              <w:rPr>
                <w:sz w:val="20"/>
              </w:rPr>
              <w:t>Profi Merlin (kolektivní)</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pojištění</w:t>
            </w:r>
          </w:p>
        </w:tc>
        <w:tc>
          <w:tcPr>
            <w:tcW w:w="5290" w:type="dxa"/>
            <w:gridSpan w:val="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468 ročně</w:t>
            </w:r>
          </w:p>
        </w:tc>
      </w:tr>
    </w:tbl>
    <w:p w:rsidR="002A1831" w:rsidRDefault="002A1831">
      <w:pPr>
        <w:sectPr w:rsidR="002A1831">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0" w:h="16840"/>
          <w:pgMar w:top="1136" w:right="714" w:bottom="1171" w:left="661" w:header="384" w:footer="315" w:gutter="0"/>
          <w:cols w:space="708"/>
          <w:formProt w:val="0"/>
        </w:sectPr>
      </w:pPr>
    </w:p>
    <w:p w:rsidR="002A1831" w:rsidRDefault="00294B37">
      <w:pPr>
        <w:pStyle w:val="Nadpis3"/>
        <w:shd w:val="clear" w:color="auto" w:fill="auto"/>
        <w:ind w:left="93"/>
      </w:pPr>
      <w:r>
        <w:t>Přímé bankovnictví</w:t>
      </w:r>
    </w:p>
    <w:tbl>
      <w:tblPr>
        <w:tblStyle w:val="TableGrid"/>
        <w:tblW w:w="10580" w:type="dxa"/>
        <w:tblInd w:w="-58" w:type="dxa"/>
        <w:tblLayout w:type="fixed"/>
        <w:tblCellMar>
          <w:top w:w="69" w:type="dxa"/>
          <w:left w:w="161" w:type="dxa"/>
          <w:bottom w:w="0" w:type="dxa"/>
          <w:right w:w="72" w:type="dxa"/>
        </w:tblCellMar>
        <w:tblLook w:val="04A0" w:firstRow="1" w:lastRow="0" w:firstColumn="1" w:lastColumn="0" w:noHBand="0" w:noVBand="1"/>
      </w:tblPr>
      <w:tblGrid>
        <w:gridCol w:w="3699"/>
        <w:gridCol w:w="1371"/>
        <w:gridCol w:w="1377"/>
        <w:gridCol w:w="1377"/>
        <w:gridCol w:w="1377"/>
        <w:gridCol w:w="1377"/>
      </w:tblGrid>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910"/>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9" w:firstLine="0"/>
              <w:jc w:val="center"/>
            </w:pPr>
            <w:r>
              <w:rPr>
                <w:sz w:val="20"/>
              </w:rPr>
              <w:t>MojeBanka /</w:t>
            </w:r>
          </w:p>
          <w:p w:rsidR="002A1831" w:rsidRDefault="00294B37">
            <w:pPr>
              <w:spacing w:after="0" w:line="259" w:lineRule="auto"/>
              <w:ind w:left="7" w:firstLine="0"/>
              <w:jc w:val="center"/>
            </w:pPr>
            <w:r>
              <w:rPr>
                <w:sz w:val="20"/>
              </w:rPr>
              <w:t>MojeBanka</w:t>
            </w:r>
          </w:p>
          <w:p w:rsidR="002A1831" w:rsidRDefault="00294B37">
            <w:pPr>
              <w:spacing w:after="0" w:line="259" w:lineRule="auto"/>
              <w:ind w:left="9" w:firstLine="0"/>
              <w:jc w:val="center"/>
            </w:pPr>
            <w:r>
              <w:rPr>
                <w:sz w:val="20"/>
              </w:rPr>
              <w:t xml:space="preserve">Busines </w:t>
            </w:r>
            <w:r>
              <w:rPr>
                <w:sz w:val="25"/>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9" w:firstLine="0"/>
              <w:jc w:val="center"/>
            </w:pPr>
            <w:r>
              <w:rPr>
                <w:sz w:val="20"/>
              </w:rPr>
              <w:t>MojeBanka /</w:t>
            </w:r>
          </w:p>
          <w:p w:rsidR="002A1831" w:rsidRDefault="00294B37">
            <w:pPr>
              <w:spacing w:after="0" w:line="259" w:lineRule="auto"/>
              <w:ind w:left="7" w:firstLine="0"/>
              <w:jc w:val="center"/>
            </w:pPr>
            <w:r>
              <w:rPr>
                <w:sz w:val="20"/>
              </w:rPr>
              <w:t>MojeBanka</w:t>
            </w:r>
          </w:p>
          <w:p w:rsidR="002A1831" w:rsidRDefault="00294B37">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7" w:firstLine="0"/>
              <w:jc w:val="center"/>
            </w:pPr>
            <w:r>
              <w:rPr>
                <w:sz w:val="20"/>
              </w:rPr>
              <w:t>Mobilní banka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9" w:firstLine="0"/>
              <w:jc w:val="center"/>
            </w:pPr>
            <w:r>
              <w:rPr>
                <w:sz w:val="17"/>
              </w:rPr>
              <w:t>zdarma</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9" w:firstLine="0"/>
              <w:jc w:val="center"/>
            </w:pPr>
            <w:r>
              <w:rPr>
                <w:sz w:val="17"/>
              </w:rPr>
              <w:t>zdarma</w:t>
            </w:r>
          </w:p>
        </w:tc>
      </w:tr>
    </w:tbl>
    <w:tbl>
      <w:tblPr>
        <w:tblStyle w:val="TableGrid"/>
        <w:tblpPr w:vertAnchor="page" w:horzAnchor="page" w:tblpX="661" w:tblpY="14090"/>
        <w:tblOverlap w:val="never"/>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138"/>
        </w:trPr>
        <w:tc>
          <w:tcPr>
            <w:tcW w:w="6874" w:type="dxa"/>
            <w:tcBorders>
              <w:top w:val="single" w:sz="5" w:space="0" w:color="DCDCDC"/>
              <w:left w:val="nil"/>
              <w:bottom w:val="single" w:sz="5" w:space="0" w:color="DCDCDC"/>
              <w:right w:val="nil"/>
            </w:tcBorders>
          </w:tcPr>
          <w:p w:rsidR="002A1831" w:rsidRDefault="002A1831">
            <w:pPr>
              <w:spacing w:after="160" w:line="259" w:lineRule="auto"/>
              <w:ind w:left="0" w:firstLine="0"/>
            </w:pPr>
          </w:p>
        </w:tc>
        <w:tc>
          <w:tcPr>
            <w:tcW w:w="3705" w:type="dxa"/>
            <w:tcBorders>
              <w:top w:val="single" w:sz="5" w:space="0" w:color="DCDCDC"/>
              <w:left w:val="nil"/>
              <w:bottom w:val="single" w:sz="5" w:space="0" w:color="DCDCDC"/>
              <w:right w:val="nil"/>
            </w:tcBorders>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 xml:space="preserve">Trade </w:t>
            </w:r>
            <w:r>
              <w:rPr>
                <w:sz w:val="20"/>
              </w:rPr>
              <w:t>&amp;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bl>
    <w:p w:rsidR="002A1831" w:rsidRDefault="00294B37">
      <w:pPr>
        <w:ind w:left="53" w:right="4"/>
      </w:pPr>
      <w:r>
        <w:t>1) V případě, že jsou služby poskytovány současně, je účtována cena za jednu službu</w:t>
      </w:r>
    </w:p>
    <w:tbl>
      <w:tblPr>
        <w:tblStyle w:val="TableGrid"/>
        <w:tblW w:w="10580" w:type="dxa"/>
        <w:tblInd w:w="-58"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oznámení</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SMS</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2,50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0" w:firstLine="0"/>
              <w:jc w:val="center"/>
            </w:pPr>
            <w:r>
              <w:rPr>
                <w:sz w:val="17"/>
              </w:rPr>
              <w:t xml:space="preserve">2,50 </w:t>
            </w:r>
            <w:r>
              <w:rPr>
                <w:sz w:val="23"/>
                <w:vertAlign w:val="superscript"/>
              </w:rPr>
              <w:t>1)</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Faxová zpráva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bl>
    <w:p w:rsidR="002A1831" w:rsidRDefault="00294B37">
      <w:pPr>
        <w:spacing w:after="276"/>
        <w:ind w:left="53" w:right="4"/>
      </w:pPr>
      <w:r>
        <w:t>1) Cena za vyžádanou transakční historii je 0,50 Kč za jednu SMS.</w:t>
      </w:r>
    </w:p>
    <w:p w:rsidR="002A1831" w:rsidRDefault="00294B37">
      <w:pPr>
        <w:pStyle w:val="Nadpis4"/>
        <w:ind w:left="151"/>
      </w:pPr>
      <w:r>
        <w:t>Další služby k přímému bankovnictví</w:t>
      </w:r>
    </w:p>
    <w:tbl>
      <w:tblPr>
        <w:tblStyle w:val="TableGrid"/>
        <w:tblW w:w="10580" w:type="dxa"/>
        <w:tblInd w:w="-58"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35</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160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100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služby Profibanka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Služba 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zdarma (mimo území ČR: 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500 měsíčně</w:t>
            </w:r>
          </w:p>
        </w:tc>
      </w:tr>
      <w:tr w:rsidR="002A1831" w:rsidTr="00294B37">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Příjem výpisů z účtu z jiných bank ve formátu SWIFT MT940</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center"/>
            </w:pPr>
            <w:r>
              <w:rPr>
                <w:sz w:val="17"/>
              </w:rPr>
              <w:t>1 000 za zřízení každé služby, měsíční poplatky individuálně</w:t>
            </w:r>
          </w:p>
        </w:tc>
      </w:tr>
      <w:tr w:rsidR="002A1831" w:rsidTr="00294B37">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Pokyny RFT (SWIFT MT101)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center"/>
            </w:pPr>
            <w:r>
              <w:rPr>
                <w:sz w:val="17"/>
              </w:rPr>
              <w:t>1 000 za zřízení každé služby, měsíční poplatky 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500 za zřízení služby</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individuálně</w:t>
            </w:r>
          </w:p>
        </w:tc>
      </w:tr>
    </w:tbl>
    <w:p w:rsidR="002A1831" w:rsidRDefault="002A1831">
      <w:pPr>
        <w:spacing w:after="0" w:line="259" w:lineRule="auto"/>
        <w:ind w:left="-719" w:right="10371" w:firstLine="0"/>
      </w:pPr>
    </w:p>
    <w:tbl>
      <w:tblPr>
        <w:tblStyle w:val="TableGrid"/>
        <w:tblW w:w="10580" w:type="dxa"/>
        <w:tblInd w:w="-58"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kompletního balíčku-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640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250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390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88"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88" w:firstLine="0"/>
              <w:jc w:val="center"/>
            </w:pPr>
            <w:r>
              <w:rPr>
                <w:sz w:val="17"/>
              </w:rPr>
              <w:t>2 400 + 21 % DPH / 1 900 + 21 % DPH</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88" w:firstLine="0"/>
              <w:jc w:val="center"/>
            </w:pPr>
            <w:r>
              <w:rPr>
                <w:sz w:val="17"/>
              </w:rPr>
              <w:t>2 200 + 21 % DPH</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88" w:firstLine="0"/>
              <w:jc w:val="center"/>
            </w:pPr>
            <w:r>
              <w:rPr>
                <w:sz w:val="17"/>
              </w:rPr>
              <w:t>2 700 + 21 % DPH</w:t>
            </w:r>
          </w:p>
        </w:tc>
      </w:tr>
      <w:tr w:rsidR="002A1831" w:rsidTr="00294B37">
        <w:trPr>
          <w:trHeight w:val="645"/>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Ceny jsou platné, jestli-že služby zajišťuje externí subdodavatel, který má s KB smluvní vztah.</w:t>
            </w:r>
          </w:p>
          <w:p w:rsidR="002A1831" w:rsidRDefault="00294B37">
            <w:pPr>
              <w:spacing w:after="0" w:line="259" w:lineRule="auto"/>
              <w:ind w:left="0" w:right="1003" w:firstLine="0"/>
            </w:pPr>
            <w:r>
              <w:rPr>
                <w:sz w:val="17"/>
              </w:rPr>
              <w:t>Cena za instalaci je vždy z</w:t>
            </w:r>
            <w:r>
              <w:rPr>
                <w:sz w:val="17"/>
              </w:rPr>
              <w:t>a 1 stanici klienta a zahranuje taktéž instalaci čtecího zařízení pro čipové karty pokud byla objednána současně s instalací aplikace. V případě výjezdu do zahraničí je cena stanovena individuálně dle nákladů.</w:t>
            </w:r>
          </w:p>
        </w:tc>
      </w:tr>
    </w:tbl>
    <w:p w:rsidR="002A1831" w:rsidRDefault="00294B37">
      <w:r>
        <w:br w:type="page"/>
      </w:r>
    </w:p>
    <w:p w:rsidR="002A1831" w:rsidRDefault="00294B37">
      <w:pPr>
        <w:pStyle w:val="Nadpis3"/>
        <w:shd w:val="clear" w:color="auto" w:fill="auto"/>
        <w:spacing w:after="188"/>
        <w:ind w:left="93"/>
      </w:pPr>
      <w:r>
        <w:t>Platební styk</w:t>
      </w:r>
    </w:p>
    <w:p w:rsidR="002A1831" w:rsidRDefault="00294B37">
      <w:pPr>
        <w:pStyle w:val="Nadpis4"/>
        <w:ind w:left="151"/>
      </w:pPr>
      <w:r>
        <w:t>Tuzemské platby</w:t>
      </w:r>
    </w:p>
    <w:tbl>
      <w:tblPr>
        <w:tblStyle w:val="TableGrid"/>
        <w:tblW w:w="10580" w:type="dxa"/>
        <w:tblInd w:w="-58" w:type="dxa"/>
        <w:tblLayout w:type="fixed"/>
        <w:tblCellMar>
          <w:top w:w="69" w:type="dxa"/>
          <w:left w:w="161" w:type="dxa"/>
          <w:bottom w:w="0" w:type="dxa"/>
          <w:right w:w="106" w:type="dxa"/>
        </w:tblCellMar>
        <w:tblLook w:val="04A0" w:firstRow="1" w:lastRow="0" w:firstColumn="1" w:lastColumn="0" w:noHBand="0" w:noVBand="1"/>
      </w:tblPr>
      <w:tblGrid>
        <w:gridCol w:w="3699"/>
        <w:gridCol w:w="2293"/>
        <w:gridCol w:w="2293"/>
        <w:gridCol w:w="2293"/>
      </w:tblGrid>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Tuzemské platby</w:t>
            </w: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Příchozí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3" w:firstLine="0"/>
              <w:jc w:val="center"/>
            </w:pPr>
            <w:r>
              <w:rPr>
                <w:sz w:val="20"/>
              </w:rPr>
              <w:t>+ Příplatek za platbu mimo KB</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Příchozí platba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Odchozí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3" w:firstLine="0"/>
              <w:jc w:val="center"/>
            </w:pPr>
            <w:r>
              <w:rPr>
                <w:sz w:val="20"/>
              </w:rPr>
              <w:t>+ Příplatek za platbu mimo KB</w:t>
            </w:r>
          </w:p>
        </w:tc>
      </w:tr>
      <w:tr w:rsidR="002A1831" w:rsidTr="00294B37">
        <w:trPr>
          <w:trHeight w:val="346"/>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Elektronická platba </w:t>
            </w:r>
            <w:r>
              <w:rPr>
                <w:sz w:val="25"/>
                <w:vertAlign w:val="superscript"/>
              </w:rPr>
              <w:t>1)</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2,90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2</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Platba zadaná přes Expresní linku KB</w:t>
            </w:r>
          </w:p>
        </w:tc>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19</w:t>
            </w:r>
          </w:p>
        </w:tc>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Papírový příkaz</w:t>
            </w:r>
          </w:p>
        </w:tc>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39</w:t>
            </w:r>
          </w:p>
        </w:tc>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Papírový příkaz - zpracovaný na pobočce v den předání</w:t>
            </w:r>
          </w:p>
        </w:tc>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69</w:t>
            </w:r>
          </w:p>
        </w:tc>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Papírový příkaz - neodvolatelná platba</w:t>
            </w: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89</w:t>
            </w: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bl>
    <w:tbl>
      <w:tblPr>
        <w:tblStyle w:val="TableGrid"/>
        <w:tblpPr w:vertAnchor="page" w:horzAnchor="page" w:tblpX="661" w:tblpY="12436"/>
        <w:tblOverlap w:val="never"/>
        <w:tblW w:w="10580" w:type="dxa"/>
        <w:tblInd w:w="0" w:type="dxa"/>
        <w:tblLayout w:type="fixed"/>
        <w:tblCellMar>
          <w:top w:w="69" w:type="dxa"/>
          <w:left w:w="161" w:type="dxa"/>
          <w:bottom w:w="0" w:type="dxa"/>
          <w:right w:w="106" w:type="dxa"/>
        </w:tblCellMar>
        <w:tblLook w:val="04A0" w:firstRow="1" w:lastRow="0" w:firstColumn="1" w:lastColumn="0" w:noHBand="0" w:noVBand="1"/>
      </w:tblPr>
      <w:tblGrid>
        <w:gridCol w:w="3699"/>
        <w:gridCol w:w="2293"/>
        <w:gridCol w:w="2293"/>
        <w:gridCol w:w="2293"/>
      </w:tblGrid>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Ostatní</w:t>
            </w: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3" w:firstLine="0"/>
              <w:jc w:val="center"/>
            </w:pPr>
            <w:r>
              <w:rPr>
                <w:sz w:val="20"/>
              </w:rPr>
              <w:t>+ Příplatek za platbu mimo KB</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Platba na základě provedení exekuce</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Poštou zaslané oznámení o neprovedeném příkazu nebo o důvodu neprovedení platby</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20</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3" w:firstLine="0"/>
              <w:jc w:val="center"/>
            </w:pPr>
            <w:r>
              <w:rPr>
                <w:sz w:val="17"/>
              </w:rPr>
              <w:t>-</w:t>
            </w:r>
          </w:p>
        </w:tc>
      </w:tr>
    </w:tbl>
    <w:p w:rsidR="002A1831" w:rsidRDefault="00294B37">
      <w:pPr>
        <w:ind w:left="53" w:right="4"/>
      </w:pPr>
      <w:r>
        <w:t xml:space="preserve">1) </w:t>
      </w:r>
      <w:r>
        <w:t>Elektronicky = s použitím služeb Mobilní banka, MojeBanka, MojeBanka Business, MojePlatba, Profibanka, Přímý kanál nebo MultiCash KB, pokud to tyto služby pro daný účet umožňují.</w:t>
      </w:r>
    </w:p>
    <w:tbl>
      <w:tblPr>
        <w:tblStyle w:val="TableGrid"/>
        <w:tblW w:w="10580" w:type="dxa"/>
        <w:tblInd w:w="-58" w:type="dxa"/>
        <w:tblLayout w:type="fixed"/>
        <w:tblCellMar>
          <w:top w:w="69" w:type="dxa"/>
          <w:left w:w="161" w:type="dxa"/>
          <w:bottom w:w="0" w:type="dxa"/>
          <w:right w:w="69" w:type="dxa"/>
        </w:tblCellMar>
        <w:tblLook w:val="04A0" w:firstRow="1" w:lastRow="0" w:firstColumn="1" w:lastColumn="0" w:noHBand="0" w:noVBand="1"/>
      </w:tblPr>
      <w:tblGrid>
        <w:gridCol w:w="3699"/>
        <w:gridCol w:w="2293"/>
        <w:gridCol w:w="2260"/>
        <w:gridCol w:w="33"/>
        <w:gridCol w:w="2293"/>
        <w:gridCol w:w="2"/>
      </w:tblGrid>
      <w:tr w:rsidR="002A1831" w:rsidTr="00294B37">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 + ) Následující volitelné položky se dále přičítají k odchozí platbě</w:t>
            </w:r>
          </w:p>
        </w:tc>
      </w:tr>
      <w:tr w:rsidR="002A1831" w:rsidTr="00294B37">
        <w:trPr>
          <w:trHeight w:val="519"/>
        </w:trPr>
        <w:tc>
          <w:tcPr>
            <w:tcW w:w="8252"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Expre</w:t>
            </w:r>
            <w:r>
              <w:rPr>
                <w:sz w:val="20"/>
              </w:rPr>
              <w:t>sní platba v Kč do jiné banky v ČR v den splatnosti (do 14:00 hod. pomocí služeb přímého bankovnictví, do 12:30 hod. pomocí papírového příkazu)</w:t>
            </w:r>
          </w:p>
        </w:tc>
        <w:tc>
          <w:tcPr>
            <w:tcW w:w="2328"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90</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Platby z trvalých příkazů a inkasa</w:t>
            </w: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0" w:firstLine="0"/>
              <w:jc w:val="center"/>
            </w:pPr>
            <w:r>
              <w:rPr>
                <w:sz w:val="20"/>
              </w:rPr>
              <w:t>Cena za provedení platby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3" w:firstLine="0"/>
              <w:jc w:val="center"/>
            </w:pPr>
            <w:r>
              <w:rPr>
                <w:sz w:val="20"/>
              </w:rPr>
              <w:t>+ Příplatek za platbu mimo KB</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Platba trvalým příkazem</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2,50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2</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Platba automatickým převodem</w:t>
            </w:r>
          </w:p>
        </w:tc>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10</w:t>
            </w:r>
          </w:p>
        </w:tc>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Připsané inkaso z jiné banky</w:t>
            </w:r>
          </w:p>
        </w:tc>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3" w:firstLine="0"/>
              <w:jc w:val="center"/>
            </w:pPr>
            <w:r>
              <w:rPr>
                <w:sz w:val="17"/>
              </w:rPr>
              <w:t>-</w:t>
            </w: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Připsané inkaso v rámci KB</w:t>
            </w: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2,90</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3" w:firstLine="0"/>
              <w:jc w:val="center"/>
            </w:pPr>
            <w:r>
              <w:rPr>
                <w:sz w:val="17"/>
              </w:rPr>
              <w:t>-</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Odepsané inkaso</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3" w:firstLine="0"/>
              <w:jc w:val="center"/>
            </w:pPr>
            <w:r>
              <w:rPr>
                <w:sz w:val="17"/>
              </w:rPr>
              <w:t>-</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w:t>
            </w:r>
          </w:p>
        </w:tc>
      </w:tr>
      <w:tr w:rsidR="002A1831" w:rsidTr="00294B37">
        <w:trPr>
          <w:gridAfter w:val="1"/>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Správa trvalých příkazů k úhradě, automatických převodů a povolení inkas (včetně SIPO)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7" w:firstLine="0"/>
              <w:jc w:val="center"/>
            </w:pPr>
            <w:r>
              <w:rPr>
                <w:sz w:val="20"/>
              </w:rPr>
              <w:t>Zrušení</w:t>
            </w:r>
          </w:p>
        </w:tc>
      </w:tr>
      <w:tr w:rsidR="002A1831" w:rsidTr="00294B37">
        <w:trPr>
          <w:gridAfter w:val="1"/>
          <w:trHeight w:val="346"/>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Elektronicky </w:t>
            </w:r>
            <w:r>
              <w:rPr>
                <w:sz w:val="25"/>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39</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69</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69</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gridAfter w:val="1"/>
          <w:trHeight w:val="715"/>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Trvalý příkaz k úhradě pomocí papírového příkazu nebo Expresní linky KB na účty společností MPSS, KB PS, KP a Amundi CR</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zdarma</w:t>
            </w:r>
          </w:p>
        </w:tc>
      </w:tr>
    </w:tbl>
    <w:p w:rsidR="002A1831" w:rsidRDefault="00294B37">
      <w:pPr>
        <w:ind w:left="53" w:right="4"/>
      </w:pPr>
      <w:r>
        <w:t xml:space="preserve">1) </w:t>
      </w:r>
      <w:r>
        <w:t>Elektronicky = s použitím služeb Mobilní banka, MojeBanka, MojeBanka Business, Profibanka, pokud to tyto služby pro daný účet umožňují.</w:t>
      </w:r>
    </w:p>
    <w:p w:rsidR="002A1831" w:rsidRDefault="002A1831">
      <w:pPr>
        <w:sectPr w:rsidR="002A1831">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0" w:h="16840"/>
          <w:pgMar w:top="1136" w:right="1529" w:bottom="1321" w:left="719" w:header="384" w:footer="315" w:gutter="0"/>
          <w:cols w:space="708"/>
          <w:formProt w:val="0"/>
        </w:sectPr>
      </w:pPr>
    </w:p>
    <w:tbl>
      <w:tblPr>
        <w:tblStyle w:val="TableGrid"/>
        <w:tblpPr w:vertAnchor="page" w:horzAnchor="page" w:tblpX="661" w:tblpY="10679"/>
        <w:tblOverlap w:val="never"/>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8142"/>
        <w:gridCol w:w="2437"/>
      </w:tblGrid>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Poštou zaslané oznámení o neprovedené platbě z trvalého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w:t>
            </w:r>
          </w:p>
        </w:tc>
      </w:tr>
      <w:tr w:rsidR="002A1831" w:rsidTr="00294B37">
        <w:trPr>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Cena za provedení platby z trvalého příkazu je shodná s cenou elektronických odchozích Zahraničních a cizoměnových plateb mimo KB a to bez příplatku za rychlejší zpracování</w:t>
            </w:r>
          </w:p>
        </w:tc>
      </w:tr>
    </w:tbl>
    <w:p w:rsidR="002A1831" w:rsidRDefault="00294B37">
      <w:pPr>
        <w:pStyle w:val="Nadpis4"/>
        <w:shd w:val="clear" w:color="auto" w:fill="auto"/>
        <w:spacing w:after="90"/>
        <w:ind w:left="151"/>
      </w:pPr>
      <w:r>
        <w:t>Zahraniční a cizoměnové platby mimo KB</w:t>
      </w:r>
    </w:p>
    <w:p w:rsidR="002A1831" w:rsidRDefault="00294B37">
      <w:pPr>
        <w:spacing w:after="0" w:line="259" w:lineRule="auto"/>
        <w:ind w:left="-5"/>
      </w:pPr>
      <w:r>
        <w:rPr>
          <w:b/>
          <w:sz w:val="17"/>
        </w:rPr>
        <w:t>Zahraniční platby jsou odchozí a příchozí platby v Kč a v cizí měně do / ze zahraničí a v cizí měně do / z jiných bank v ČR. Rozlišujeme platby do / z KBSK, SEPA platby a Ostatní zahranční platby, které zahrnují i cizoměnové platby mimo KB v ČR. Bližší inf</w:t>
      </w:r>
      <w:r>
        <w:rPr>
          <w:b/>
          <w:sz w:val="17"/>
        </w:rPr>
        <w:t xml:space="preserve">ormace o zahraničních platbách naleznete </w:t>
      </w:r>
      <w:hyperlink r:id="rId27">
        <w:r>
          <w:rPr>
            <w:b/>
            <w:color w:val="0000EE"/>
            <w:sz w:val="17"/>
            <w:u w:val="single" w:color="0000EE"/>
          </w:rPr>
          <w:t>zde</w:t>
        </w:r>
      </w:hyperlink>
      <w:r>
        <w:rPr>
          <w:b/>
          <w:sz w:val="17"/>
        </w:rPr>
        <w:t>.</w:t>
      </w:r>
    </w:p>
    <w:tbl>
      <w:tblPr>
        <w:tblStyle w:val="TableGrid"/>
        <w:tblW w:w="10580" w:type="dxa"/>
        <w:tblInd w:w="0" w:type="dxa"/>
        <w:tblLayout w:type="fixed"/>
        <w:tblCellMar>
          <w:top w:w="69" w:type="dxa"/>
          <w:left w:w="161" w:type="dxa"/>
          <w:bottom w:w="0" w:type="dxa"/>
          <w:right w:w="82" w:type="dxa"/>
        </w:tblCellMar>
        <w:tblLook w:val="04A0" w:firstRow="1" w:lastRow="0" w:firstColumn="1" w:lastColumn="0" w:noHBand="0" w:noVBand="1"/>
      </w:tblPr>
      <w:tblGrid>
        <w:gridCol w:w="3699"/>
        <w:gridCol w:w="1371"/>
        <w:gridCol w:w="744"/>
        <w:gridCol w:w="633"/>
        <w:gridCol w:w="1377"/>
        <w:gridCol w:w="318"/>
        <w:gridCol w:w="52"/>
        <w:gridCol w:w="1007"/>
        <w:gridCol w:w="1377"/>
        <w:gridCol w:w="1"/>
        <w:gridCol w:w="1"/>
      </w:tblGrid>
      <w:tr w:rsidR="002A1831" w:rsidTr="00294B37">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Příchozí platby</w:t>
            </w:r>
          </w:p>
        </w:tc>
        <w:tc>
          <w:tcPr>
            <w:tcW w:w="2380"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6" w:firstLine="0"/>
              <w:jc w:val="center"/>
            </w:pPr>
            <w:r>
              <w:rPr>
                <w:sz w:val="20"/>
              </w:rPr>
              <w:t>Cena příchozí platby</w:t>
            </w:r>
          </w:p>
        </w:tc>
        <w:tc>
          <w:tcPr>
            <w:tcW w:w="2386" w:type="dxa"/>
            <w:gridSpan w:val="4"/>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jc w:val="center"/>
            </w:pPr>
            <w:r>
              <w:rPr>
                <w:sz w:val="20"/>
              </w:rPr>
              <w:t>+ Cena za zpracování zahraniční platby</w:t>
            </w:r>
          </w:p>
        </w:tc>
      </w:tr>
      <w:tr w:rsidR="002A1831" w:rsidTr="00294B37">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SEPA platba do 50 000 EUR včetně</w:t>
            </w:r>
          </w:p>
        </w:tc>
        <w:tc>
          <w:tcPr>
            <w:tcW w:w="2380" w:type="dxa"/>
            <w:gridSpan w:val="4"/>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5</w:t>
            </w:r>
          </w:p>
        </w:tc>
        <w:tc>
          <w:tcPr>
            <w:tcW w:w="2386"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145</w:t>
            </w:r>
          </w:p>
        </w:tc>
      </w:tr>
      <w:tr w:rsidR="002A1831" w:rsidTr="00294B37">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SEPA platba nad 50 000 EUR</w:t>
            </w:r>
          </w:p>
        </w:tc>
        <w:tc>
          <w:tcPr>
            <w:tcW w:w="0" w:type="auto"/>
            <w:gridSpan w:val="4"/>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1 095</w:t>
            </w:r>
          </w:p>
        </w:tc>
      </w:tr>
      <w:tr w:rsidR="002A1831" w:rsidTr="00294B37">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Platba od klientů KBSK</w:t>
            </w:r>
          </w:p>
        </w:tc>
        <w:tc>
          <w:tcPr>
            <w:tcW w:w="0" w:type="auto"/>
            <w:gridSpan w:val="4"/>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7</w:t>
            </w:r>
          </w:p>
        </w:tc>
      </w:tr>
      <w:tr w:rsidR="002A1831" w:rsidTr="00294B37">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Zahraniční platba - typ poplatku "OUR"</w:t>
            </w:r>
          </w:p>
        </w:tc>
        <w:tc>
          <w:tcPr>
            <w:tcW w:w="0" w:type="auto"/>
            <w:gridSpan w:val="4"/>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zdarma</w:t>
            </w:r>
          </w:p>
        </w:tc>
      </w:tr>
      <w:tr w:rsidR="002A1831" w:rsidTr="00294B37">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Ostatní zahraniční platby</w:t>
            </w:r>
          </w:p>
        </w:tc>
        <w:tc>
          <w:tcPr>
            <w:tcW w:w="0" w:type="auto"/>
            <w:gridSpan w:val="4"/>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386"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0,9 %, min. 225, max. 1 095</w:t>
            </w:r>
          </w:p>
        </w:tc>
      </w:tr>
      <w:tr w:rsidR="002A1831" w:rsidTr="00294B37">
        <w:trPr>
          <w:trHeight w:val="300"/>
        </w:trPr>
        <w:tc>
          <w:tcPr>
            <w:tcW w:w="10580" w:type="dxa"/>
            <w:gridSpan w:val="11"/>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V případě, že příchozí platba je nižší než příslušný poplatek, pak se nezpoplatňuje.</w:t>
            </w:r>
          </w:p>
        </w:tc>
      </w:tr>
      <w:tr w:rsidR="002A1831" w:rsidTr="00294B37">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 + ) Následující volitelné položky se dále přičítají k příchozí platbě</w:t>
            </w:r>
          </w:p>
        </w:tc>
        <w:tc>
          <w:tcPr>
            <w:tcW w:w="2437" w:type="dxa"/>
            <w:gridSpan w:val="4"/>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9" w:firstLine="0"/>
              <w:jc w:val="center"/>
            </w:pPr>
            <w:r>
              <w:rPr>
                <w:sz w:val="20"/>
              </w:rPr>
              <w:t>Cena příchozí platby</w:t>
            </w:r>
          </w:p>
        </w:tc>
      </w:tr>
      <w:tr w:rsidR="002A1831" w:rsidTr="00294B37">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Vyplacení v hotovosti</w:t>
            </w:r>
          </w:p>
        </w:tc>
        <w:tc>
          <w:tcPr>
            <w:tcW w:w="2437"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500</w:t>
            </w:r>
          </w:p>
        </w:tc>
      </w:tr>
      <w:tr w:rsidR="002A1831" w:rsidTr="00294B37">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Výplata prostřednictvím vystavení bankovního šeku</w:t>
            </w:r>
          </w:p>
        </w:tc>
        <w:tc>
          <w:tcPr>
            <w:tcW w:w="2437"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200</w:t>
            </w:r>
          </w:p>
        </w:tc>
      </w:tr>
      <w:tr w:rsidR="002A1831" w:rsidTr="00294B37">
        <w:trPr>
          <w:gridAfter w:val="2"/>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2A1831" w:rsidRDefault="00294B37">
            <w:pPr>
              <w:spacing w:after="0" w:line="259" w:lineRule="auto"/>
              <w:ind w:left="0" w:firstLine="0"/>
            </w:pPr>
            <w:r>
              <w:rPr>
                <w:sz w:val="20"/>
              </w:rPr>
              <w:t>Odchozí platby</w:t>
            </w:r>
          </w:p>
        </w:tc>
        <w:tc>
          <w:tcPr>
            <w:tcW w:w="1371" w:type="dxa"/>
            <w:vMerge w:val="restart"/>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377" w:type="dxa"/>
            <w:gridSpan w:val="2"/>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jc w:val="center"/>
            </w:pPr>
            <w:r>
              <w:rPr>
                <w:sz w:val="20"/>
              </w:rPr>
              <w:t>Cena odchozí platby</w:t>
            </w:r>
          </w:p>
        </w:tc>
        <w:tc>
          <w:tcPr>
            <w:tcW w:w="4132" w:type="dxa"/>
            <w:gridSpan w:val="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1" w:firstLine="0"/>
              <w:jc w:val="center"/>
            </w:pPr>
            <w:r>
              <w:rPr>
                <w:sz w:val="20"/>
              </w:rPr>
              <w:t>+ Cena za zpracování platby</w:t>
            </w:r>
          </w:p>
        </w:tc>
      </w:tr>
      <w:tr w:rsidR="002A1831" w:rsidTr="00294B37">
        <w:trPr>
          <w:gridAfter w:val="2"/>
          <w:trHeight w:val="715"/>
        </w:trPr>
        <w:tc>
          <w:tcPr>
            <w:tcW w:w="0" w:type="auto"/>
            <w:vMerge/>
            <w:tcBorders>
              <w:top w:val="nil"/>
              <w:left w:val="single" w:sz="5" w:space="0" w:color="DCDCDC"/>
              <w:bottom w:val="single" w:sz="5" w:space="0" w:color="DCDCDC"/>
              <w:right w:val="nil"/>
            </w:tcBorders>
          </w:tcPr>
          <w:p w:rsidR="002A1831" w:rsidRDefault="002A1831">
            <w:pPr>
              <w:spacing w:after="160" w:line="259" w:lineRule="auto"/>
              <w:ind w:left="0" w:firstLine="0"/>
            </w:pPr>
          </w:p>
        </w:tc>
        <w:tc>
          <w:tcPr>
            <w:tcW w:w="0" w:type="auto"/>
            <w:vMerge/>
            <w:tcBorders>
              <w:top w:val="nil"/>
              <w:left w:val="nil"/>
              <w:bottom w:val="single" w:sz="5" w:space="0" w:color="DCDCDC"/>
              <w:right w:val="single" w:sz="5" w:space="0" w:color="DCDCDC"/>
            </w:tcBorders>
          </w:tcPr>
          <w:p w:rsidR="002A1831" w:rsidRDefault="002A1831">
            <w:pPr>
              <w:spacing w:after="160" w:line="259" w:lineRule="auto"/>
              <w:ind w:left="0" w:firstLine="0"/>
            </w:pPr>
          </w:p>
        </w:tc>
        <w:tc>
          <w:tcPr>
            <w:tcW w:w="0" w:type="auto"/>
            <w:gridSpan w:val="2"/>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4" w:firstLine="0"/>
              <w:jc w:val="center"/>
            </w:pPr>
            <w:r>
              <w:rPr>
                <w:sz w:val="20"/>
              </w:rPr>
              <w:t>STANDARD</w:t>
            </w:r>
          </w:p>
          <w:p w:rsidR="002A1831" w:rsidRDefault="00294B37">
            <w:pPr>
              <w:spacing w:after="0" w:line="259" w:lineRule="auto"/>
              <w:ind w:left="53" w:firstLine="0"/>
              <w:jc w:val="center"/>
            </w:pPr>
            <w:r>
              <w:rPr>
                <w:sz w:val="20"/>
              </w:rPr>
              <w:t>(za dva</w:t>
            </w:r>
          </w:p>
          <w:p w:rsidR="002A1831" w:rsidRDefault="00294B37">
            <w:pPr>
              <w:spacing w:after="0" w:line="259" w:lineRule="auto"/>
              <w:ind w:left="56" w:firstLine="0"/>
              <w:jc w:val="center"/>
            </w:pPr>
            <w:r>
              <w:rPr>
                <w:sz w:val="20"/>
              </w:rPr>
              <w:t>Obchodní dny)</w:t>
            </w:r>
          </w:p>
        </w:tc>
        <w:tc>
          <w:tcPr>
            <w:tcW w:w="1377"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7" w:firstLine="0"/>
              <w:jc w:val="center"/>
            </w:pPr>
            <w:r>
              <w:rPr>
                <w:sz w:val="20"/>
              </w:rPr>
              <w:t xml:space="preserve">EXPRES </w:t>
            </w:r>
          </w:p>
          <w:p w:rsidR="002A1831" w:rsidRDefault="00294B37">
            <w:pPr>
              <w:spacing w:after="0" w:line="259" w:lineRule="auto"/>
              <w:ind w:left="56" w:firstLine="0"/>
              <w:jc w:val="center"/>
            </w:pPr>
            <w:r>
              <w:rPr>
                <w:sz w:val="20"/>
              </w:rPr>
              <w:t>(následující</w:t>
            </w:r>
          </w:p>
          <w:p w:rsidR="002A1831" w:rsidRDefault="00294B37">
            <w:pPr>
              <w:spacing w:after="0" w:line="259" w:lineRule="auto"/>
              <w:ind w:left="56" w:firstLine="0"/>
              <w:jc w:val="center"/>
            </w:pPr>
            <w:r>
              <w:rPr>
                <w:sz w:val="20"/>
              </w:rPr>
              <w:t>Obchodní den)</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2" w:firstLine="0"/>
              <w:jc w:val="center"/>
            </w:pPr>
            <w:r>
              <w:rPr>
                <w:sz w:val="20"/>
              </w:rPr>
              <w:t>URGENT</w:t>
            </w:r>
          </w:p>
          <w:p w:rsidR="002A1831" w:rsidRDefault="00294B37">
            <w:pPr>
              <w:spacing w:after="0" w:line="259" w:lineRule="auto"/>
              <w:ind w:left="51" w:firstLine="0"/>
              <w:jc w:val="center"/>
            </w:pPr>
            <w:r>
              <w:rPr>
                <w:sz w:val="20"/>
              </w:rPr>
              <w:t>(v ten samý</w:t>
            </w:r>
          </w:p>
          <w:p w:rsidR="002A1831" w:rsidRDefault="00294B37">
            <w:pPr>
              <w:spacing w:after="0" w:line="259" w:lineRule="auto"/>
              <w:ind w:left="56" w:firstLine="0"/>
              <w:jc w:val="center"/>
            </w:pPr>
            <w:r>
              <w:rPr>
                <w:sz w:val="20"/>
              </w:rPr>
              <w:t>Obchodní den)</w:t>
            </w:r>
          </w:p>
        </w:tc>
      </w:tr>
      <w:tr w:rsidR="002A1831" w:rsidTr="00294B37">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SEPA platba do 50 000 EUR včetně</w:t>
            </w: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Elektronicky</w:t>
            </w:r>
          </w:p>
        </w:tc>
        <w:tc>
          <w:tcPr>
            <w:tcW w:w="1377" w:type="dxa"/>
            <w:gridSpan w:val="2"/>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1" w:firstLine="0"/>
              <w:jc w:val="center"/>
            </w:pPr>
            <w:r>
              <w:rPr>
                <w:sz w:val="17"/>
              </w:rPr>
              <w:t>2,50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195</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795</w:t>
            </w:r>
          </w:p>
        </w:tc>
      </w:tr>
      <w:tr w:rsidR="002A1831" w:rsidTr="00294B37">
        <w:trPr>
          <w:gridAfter w:val="2"/>
          <w:trHeight w:val="323"/>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495</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1 495</w:t>
            </w:r>
          </w:p>
        </w:tc>
      </w:tr>
      <w:tr w:rsidR="002A1831" w:rsidTr="00294B37">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SEPA platba nad 50 000 EUR</w:t>
            </w: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1 500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2 100</w:t>
            </w:r>
          </w:p>
        </w:tc>
      </w:tr>
      <w:tr w:rsidR="002A1831" w:rsidTr="00294B37">
        <w:trPr>
          <w:gridAfter w:val="2"/>
          <w:trHeight w:val="323"/>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1 800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2 800</w:t>
            </w:r>
          </w:p>
        </w:tc>
      </w:tr>
      <w:tr w:rsidR="002A1831" w:rsidTr="00294B37">
        <w:trPr>
          <w:gridAfter w:val="2"/>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Platba do KBSK</w:t>
            </w: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10</w:t>
            </w:r>
          </w:p>
        </w:tc>
      </w:tr>
      <w:tr w:rsidR="002A1831" w:rsidTr="00294B37">
        <w:trPr>
          <w:gridAfter w:val="2"/>
          <w:trHeight w:val="323"/>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310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310</w:t>
            </w:r>
          </w:p>
        </w:tc>
      </w:tr>
      <w:tr w:rsidR="002A1831" w:rsidTr="00294B37">
        <w:trPr>
          <w:gridAfter w:val="2"/>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Ostatní zahraniční platby</w:t>
            </w:r>
          </w:p>
          <w:p w:rsidR="002A1831" w:rsidRDefault="00294B37">
            <w:pPr>
              <w:spacing w:after="0" w:line="259" w:lineRule="auto"/>
              <w:ind w:left="0" w:firstLine="0"/>
            </w:pPr>
            <w:r>
              <w:rPr>
                <w:sz w:val="20"/>
              </w:rPr>
              <w:t>Základní cena je 0,9%, min 250, max 1 500 a ostatní varianty jsou uvedeny formou příplatku k této ceně.</w:t>
            </w:r>
          </w:p>
        </w:tc>
        <w:tc>
          <w:tcPr>
            <w:tcW w:w="1371"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8" w:hanging="124"/>
              <w:jc w:val="both"/>
            </w:pPr>
            <w:r>
              <w:rPr>
                <w:sz w:val="17"/>
              </w:rPr>
              <w:t>0,9 %, min. 250 max. 1 500</w:t>
            </w: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1" w:firstLine="0"/>
              <w:jc w:val="center"/>
            </w:pPr>
            <w:r>
              <w:rPr>
                <w:sz w:val="17"/>
              </w:rPr>
              <w:t>+ 600</w:t>
            </w:r>
          </w:p>
        </w:tc>
      </w:tr>
      <w:tr w:rsidR="002A1831" w:rsidTr="00294B37">
        <w:trPr>
          <w:gridAfter w:val="2"/>
          <w:trHeight w:val="323"/>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+ 300</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+ 900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+ 1 300</w:t>
            </w:r>
          </w:p>
        </w:tc>
      </w:tr>
      <w:tr w:rsidR="002A1831" w:rsidTr="00294B37">
        <w:trPr>
          <w:gridAfter w:val="1"/>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 Následující volitelné položky se dále přičítají k odchozí platbě</w:t>
            </w:r>
          </w:p>
        </w:tc>
        <w:tc>
          <w:tcPr>
            <w:tcW w:w="2437" w:type="dxa"/>
            <w:gridSpan w:val="4"/>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gridAfter w:val="1"/>
          <w:trHeight w:val="519"/>
        </w:trPr>
        <w:tc>
          <w:tcPr>
            <w:tcW w:w="8142"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Krytí veškerých nákladů na provádění plateb do KBSK nebo Ostatních zahraničních plateb odesílatelem - typ poplatku</w:t>
            </w:r>
          </w:p>
          <w:p w:rsidR="002A1831" w:rsidRDefault="00294B37">
            <w:pPr>
              <w:spacing w:after="0" w:line="259" w:lineRule="auto"/>
              <w:ind w:left="0" w:firstLine="0"/>
            </w:pPr>
            <w:r>
              <w:rPr>
                <w:sz w:val="20"/>
              </w:rPr>
              <w:t>"OUR"</w:t>
            </w:r>
          </w:p>
        </w:tc>
        <w:tc>
          <w:tcPr>
            <w:tcW w:w="2437" w:type="dxa"/>
            <w:gridSpan w:val="4"/>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800</w:t>
            </w:r>
          </w:p>
        </w:tc>
      </w:tr>
    </w:tbl>
    <w:p w:rsidR="002A1831" w:rsidRDefault="00294B37">
      <w:pPr>
        <w:pStyle w:val="Nadpis5"/>
      </w:pPr>
      <w:r>
        <w:t>SEPA inkaso</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8142"/>
        <w:gridCol w:w="2437"/>
      </w:tblGrid>
      <w:tr w:rsidR="002A1831" w:rsidTr="00294B37">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Odepsané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10</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195</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Správa odepsaných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trHeight w:val="346"/>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Souhlas se SEPA inkasem - zřízení, změna, zrušení elektronicky </w:t>
            </w:r>
            <w:r>
              <w:rPr>
                <w:sz w:val="25"/>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69</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bl>
    <w:p w:rsidR="002A1831" w:rsidRDefault="00294B37">
      <w:pPr>
        <w:ind w:left="53" w:right="4"/>
      </w:pPr>
      <w:r>
        <w:t xml:space="preserve">1) </w:t>
      </w:r>
      <w:r>
        <w:t>Elektronicky = s použitím služeb MojeBanka, MojeBanka Business, Profibanka, pokud to tyto služby pro daný účet umožňují.</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8142"/>
        <w:gridCol w:w="2437"/>
      </w:tblGrid>
      <w:tr w:rsidR="002A1831" w:rsidTr="00294B37">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Připsané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trHeight w:val="323"/>
        </w:trPr>
        <w:tc>
          <w:tcPr>
            <w:tcW w:w="8142" w:type="dxa"/>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145</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Správa připsaných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trHeight w:val="323"/>
        </w:trPr>
        <w:tc>
          <w:tcPr>
            <w:tcW w:w="8142" w:type="dxa"/>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10</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195</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instrukcí, storno pro odchozí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400</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Potvrzení nebo swiftová zpráva k Zahraniční a cizoměnové platbě mimo KB</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200</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bl>
    <w:p w:rsidR="002A1831" w:rsidRDefault="00294B37">
      <w:pPr>
        <w:pStyle w:val="Nadpis4"/>
        <w:shd w:val="clear" w:color="auto" w:fill="auto"/>
        <w:spacing w:after="90"/>
        <w:ind w:left="151"/>
      </w:pPr>
      <w:r>
        <w:t>Hotovostní operace</w:t>
      </w:r>
    </w:p>
    <w:p w:rsidR="002A1831" w:rsidRDefault="00294B37">
      <w:pPr>
        <w:spacing w:after="75" w:line="259" w:lineRule="auto"/>
        <w:ind w:left="-5"/>
      </w:pPr>
      <w:r>
        <w:rPr>
          <w:sz w:val="17"/>
        </w:rPr>
        <w:t>Poplatky za hotovostní služby a transakce uvedené v Sazebníku KB se vždy odvíjí od účtu, resp. od segmentu majitele účtu.</w:t>
      </w:r>
    </w:p>
    <w:p w:rsidR="002A1831" w:rsidRDefault="00294B37">
      <w:pPr>
        <w:spacing w:after="0" w:line="259" w:lineRule="auto"/>
        <w:ind w:left="-5"/>
      </w:pPr>
      <w:r>
        <w:rPr>
          <w:sz w:val="17"/>
        </w:rPr>
        <w:t>U hotovostních transakcí, které probíhají mimo účet klienta KB tzn. výměna, směnárna, vklady a výběry</w:t>
      </w:r>
      <w:r>
        <w:rPr>
          <w:sz w:val="17"/>
        </w:rPr>
        <w:t xml:space="preserve"> na účty vedené v ČNB, je poplatek vždy hrazen v hotovosti.</w:t>
      </w:r>
    </w:p>
    <w:tbl>
      <w:tblPr>
        <w:tblStyle w:val="TableGrid"/>
        <w:tblW w:w="10580" w:type="dxa"/>
        <w:tblInd w:w="0" w:type="dxa"/>
        <w:tblLayout w:type="fixed"/>
        <w:tblCellMar>
          <w:top w:w="69" w:type="dxa"/>
          <w:left w:w="0" w:type="dxa"/>
          <w:bottom w:w="0" w:type="dxa"/>
          <w:right w:w="5" w:type="dxa"/>
        </w:tblCellMar>
        <w:tblLook w:val="04A0" w:firstRow="1" w:lastRow="0" w:firstColumn="1" w:lastColumn="0" w:noHBand="0" w:noVBand="1"/>
      </w:tblPr>
      <w:tblGrid>
        <w:gridCol w:w="3169"/>
        <w:gridCol w:w="2466"/>
        <w:gridCol w:w="2472"/>
        <w:gridCol w:w="2472"/>
      </w:tblGrid>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Výběry</w:t>
            </w:r>
          </w:p>
        </w:tc>
        <w:tc>
          <w:tcPr>
            <w:tcW w:w="2472"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04" w:firstLine="0"/>
              <w:jc w:val="center"/>
            </w:pPr>
            <w:r>
              <w:rPr>
                <w:sz w:val="20"/>
              </w:rPr>
              <w:t>Cena za výběr</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161"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03" w:firstLine="0"/>
              <w:jc w:val="center"/>
            </w:pPr>
            <w:r>
              <w:rPr>
                <w:sz w:val="17"/>
              </w:rPr>
              <w:t>viz kapitola platební karty</w:t>
            </w:r>
          </w:p>
        </w:tc>
      </w:tr>
      <w:tr w:rsidR="002A1831" w:rsidTr="00294B37">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1" w:firstLine="0"/>
            </w:pPr>
            <w:r>
              <w:rPr>
                <w:sz w:val="20"/>
              </w:rPr>
              <w:t>Výběry hotovosti na pobočce</w:t>
            </w:r>
          </w:p>
        </w:tc>
        <w:tc>
          <w:tcPr>
            <w:tcW w:w="2466"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 účtu v Kč</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1" w:firstLine="0"/>
              <w:jc w:val="center"/>
            </w:pPr>
            <w:r>
              <w:rPr>
                <w:sz w:val="17"/>
              </w:rPr>
              <w:t>75</w:t>
            </w:r>
          </w:p>
        </w:tc>
      </w:tr>
      <w:tr w:rsidR="002A1831" w:rsidTr="00294B37">
        <w:trPr>
          <w:trHeight w:val="323"/>
        </w:trPr>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 účtu v cizí měně</w:t>
            </w: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 účtu v cizí měně</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1" w:firstLine="0"/>
              <w:jc w:val="center"/>
            </w:pPr>
            <w:r>
              <w:rPr>
                <w:sz w:val="17"/>
              </w:rPr>
              <w:t>2 %, min. 50</w:t>
            </w:r>
          </w:p>
        </w:tc>
      </w:tr>
      <w:tr w:rsidR="002A1831" w:rsidTr="00294B37">
        <w:trPr>
          <w:trHeight w:val="323"/>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 účtu v Kč</w:t>
            </w: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jc w:val="right"/>
            </w:pPr>
            <w:r>
              <w:rPr>
                <w:sz w:val="20"/>
              </w:rPr>
              <w:t>Příplatek za výplatu hotovosti v Kč uzavřeným obalem (realizovanou jedním šekem</w:t>
            </w:r>
          </w:p>
        </w:tc>
        <w:tc>
          <w:tcPr>
            <w:tcW w:w="2472" w:type="dxa"/>
            <w:tcBorders>
              <w:top w:val="single" w:sz="5" w:space="0" w:color="DCDCDC"/>
              <w:left w:val="nil"/>
              <w:bottom w:val="single" w:sz="5" w:space="0" w:color="DCDCDC"/>
              <w:right w:val="single" w:sz="5" w:space="0" w:color="DCDCDC"/>
            </w:tcBorders>
          </w:tcPr>
          <w:p w:rsidR="002A1831" w:rsidRDefault="00294B37">
            <w:pPr>
              <w:spacing w:after="0" w:line="259" w:lineRule="auto"/>
              <w:ind w:left="-6" w:firstLine="0"/>
            </w:pPr>
            <w:r>
              <w:rPr>
                <w:sz w:val="20"/>
              </w:rPr>
              <w:t>)</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01" w:firstLine="0"/>
              <w:jc w:val="center"/>
            </w:pPr>
            <w:r>
              <w:rPr>
                <w:sz w:val="17"/>
              </w:rPr>
              <w:t>500</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Vklady na účet vedený v Kč</w:t>
            </w:r>
          </w:p>
        </w:tc>
        <w:tc>
          <w:tcPr>
            <w:tcW w:w="2472"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vklad</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individuálně</w:t>
            </w:r>
          </w:p>
        </w:tc>
      </w:tr>
      <w:tr w:rsidR="002A1831" w:rsidTr="00294B37">
        <w:trPr>
          <w:trHeight w:val="323"/>
        </w:trPr>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75</w:t>
            </w:r>
          </w:p>
        </w:tc>
      </w:tr>
      <w:tr w:rsidR="002A1831" w:rsidTr="00294B37">
        <w:trPr>
          <w:trHeight w:val="346"/>
        </w:trPr>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přes přepážku třetí osobou </w:t>
            </w:r>
            <w:r>
              <w:rPr>
                <w:sz w:val="25"/>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75</w:t>
            </w:r>
          </w:p>
        </w:tc>
      </w:tr>
      <w:tr w:rsidR="002A1831" w:rsidTr="00294B37">
        <w:trPr>
          <w:trHeight w:val="519"/>
        </w:trPr>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1 % z celkové vkládané částky, min.</w:t>
            </w:r>
          </w:p>
          <w:p w:rsidR="002A1831" w:rsidRDefault="00294B37">
            <w:pPr>
              <w:spacing w:after="0" w:line="259" w:lineRule="auto"/>
              <w:ind w:left="49" w:firstLine="0"/>
              <w:jc w:val="center"/>
            </w:pPr>
            <w:r>
              <w:rPr>
                <w:sz w:val="17"/>
              </w:rPr>
              <w:t>70</w:t>
            </w:r>
          </w:p>
        </w:tc>
      </w:tr>
      <w:tr w:rsidR="002A1831" w:rsidTr="00294B37">
        <w:trPr>
          <w:trHeight w:val="472"/>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3 % z celkové vkládané částky, min.</w:t>
            </w:r>
          </w:p>
          <w:p w:rsidR="002A1831" w:rsidRDefault="00294B37">
            <w:pPr>
              <w:spacing w:after="0" w:line="259" w:lineRule="auto"/>
              <w:ind w:left="49" w:firstLine="0"/>
              <w:jc w:val="center"/>
            </w:pPr>
            <w:r>
              <w:rPr>
                <w:sz w:val="17"/>
              </w:rPr>
              <w:t>100</w:t>
            </w:r>
          </w:p>
        </w:tc>
      </w:tr>
      <w:tr w:rsidR="002A1831" w:rsidTr="00294B37">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 xml:space="preserve">Vklad hotovosti v cizí měně </w:t>
            </w:r>
            <w:r>
              <w:rPr>
                <w:sz w:val="25"/>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2 %, min. 50</w:t>
            </w:r>
          </w:p>
        </w:tc>
      </w:tr>
      <w:tr w:rsidR="002A1831" w:rsidTr="00294B37">
        <w:trPr>
          <w:trHeight w:val="323"/>
        </w:trPr>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10 %</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10 %</w:t>
            </w:r>
          </w:p>
        </w:tc>
      </w:tr>
    </w:tbl>
    <w:p w:rsidR="002A1831" w:rsidRDefault="00294B37">
      <w:pPr>
        <w:numPr>
          <w:ilvl w:val="0"/>
          <w:numId w:val="3"/>
        </w:numPr>
        <w:ind w:left="199" w:right="4"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w:t>
      </w:r>
      <w:r>
        <w:t>etí osoba hradí poplatek v hotovosti.</w:t>
      </w:r>
    </w:p>
    <w:p w:rsidR="002A1831" w:rsidRDefault="00294B37">
      <w:pPr>
        <w:numPr>
          <w:ilvl w:val="0"/>
          <w:numId w:val="3"/>
        </w:numPr>
        <w:ind w:left="199" w:right="4" w:hanging="156"/>
      </w:pPr>
      <w:r>
        <w:t>V případě smíšeného vkladu bankovek a mincí EUR se tento vklad typuje ve dvou položkách (samostatně bankovky a mince) pokud smíšený vklad obsahuje více než 10 ks mincí. U vkladu přes přepážku klient předloží dvě složen</w:t>
      </w:r>
      <w:r>
        <w:t>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w:t>
      </w:r>
      <w:r>
        <w:t>ad bankovek, které se běžně nakupují.</w:t>
      </w:r>
    </w:p>
    <w:p w:rsidR="002A1831" w:rsidRDefault="002A1831">
      <w:pPr>
        <w:sectPr w:rsidR="002A1831">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0" w:h="16840"/>
          <w:pgMar w:top="1181" w:right="702" w:bottom="4398" w:left="661" w:header="384" w:footer="315" w:gutter="0"/>
          <w:cols w:space="708"/>
          <w:formProt w:val="0"/>
        </w:sectPr>
      </w:pP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3169"/>
        <w:gridCol w:w="2466"/>
        <w:gridCol w:w="2472"/>
        <w:gridCol w:w="2472"/>
      </w:tblGrid>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Vklady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vklad</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2 %, min. 50</w:t>
            </w:r>
          </w:p>
        </w:tc>
      </w:tr>
      <w:tr w:rsidR="002A1831" w:rsidTr="00294B37">
        <w:trPr>
          <w:trHeight w:val="323"/>
        </w:trPr>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19"/>
        </w:trPr>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2 %, min. 50</w:t>
            </w:r>
          </w:p>
        </w:tc>
      </w:tr>
      <w:tr w:rsidR="002A1831" w:rsidTr="00294B37">
        <w:trPr>
          <w:trHeight w:val="473"/>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3 % z celkové vkládané částky, min.</w:t>
            </w:r>
          </w:p>
          <w:p w:rsidR="002A1831" w:rsidRDefault="00294B37">
            <w:pPr>
              <w:spacing w:after="0" w:line="259" w:lineRule="auto"/>
              <w:ind w:left="49" w:firstLine="0"/>
              <w:jc w:val="center"/>
            </w:pPr>
            <w:r>
              <w:rPr>
                <w:sz w:val="17"/>
              </w:rPr>
              <w:t>100</w:t>
            </w:r>
          </w:p>
        </w:tc>
      </w:tr>
      <w:tr w:rsidR="002A1831" w:rsidTr="00294B37">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 xml:space="preserve">Vklad hotovosti v cizí měně </w:t>
            </w:r>
            <w:r>
              <w:rPr>
                <w:sz w:val="25"/>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individuálně</w:t>
            </w:r>
          </w:p>
        </w:tc>
      </w:tr>
      <w:tr w:rsidR="002A1831" w:rsidTr="00294B37">
        <w:trPr>
          <w:trHeight w:val="323"/>
        </w:trPr>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75</w:t>
            </w:r>
          </w:p>
        </w:tc>
      </w:tr>
      <w:tr w:rsidR="002A1831" w:rsidTr="00294B37">
        <w:trPr>
          <w:trHeight w:val="346"/>
        </w:trPr>
        <w:tc>
          <w:tcPr>
            <w:tcW w:w="0" w:type="auto"/>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přes přepážku třetí osobou </w:t>
            </w:r>
            <w:r>
              <w:rPr>
                <w:sz w:val="25"/>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75</w:t>
            </w:r>
          </w:p>
        </w:tc>
      </w:tr>
      <w:tr w:rsidR="002A1831" w:rsidTr="00294B37">
        <w:trPr>
          <w:trHeight w:val="323"/>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10 %</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10%</w:t>
            </w:r>
          </w:p>
        </w:tc>
      </w:tr>
    </w:tbl>
    <w:p w:rsidR="002A1831" w:rsidRDefault="00294B37">
      <w:pPr>
        <w:numPr>
          <w:ilvl w:val="0"/>
          <w:numId w:val="4"/>
        </w:numPr>
        <w:ind w:left="199" w:right="4" w:hanging="156"/>
      </w:pPr>
      <w:r>
        <w:t xml:space="preserve">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w:t>
      </w:r>
      <w:r>
        <w:t>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2A1831" w:rsidRDefault="00294B37">
      <w:pPr>
        <w:numPr>
          <w:ilvl w:val="0"/>
          <w:numId w:val="4"/>
        </w:numPr>
        <w:ind w:left="199" w:right="4"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w:t>
      </w:r>
      <w:r>
        <w:t>etí osoba hradí poplatek v hotovosti.</w:t>
      </w:r>
    </w:p>
    <w:tbl>
      <w:tblPr>
        <w:tblStyle w:val="TableGrid"/>
        <w:tblW w:w="10580" w:type="dxa"/>
        <w:tblInd w:w="0" w:type="dxa"/>
        <w:tblLayout w:type="fixed"/>
        <w:tblCellMar>
          <w:top w:w="69" w:type="dxa"/>
          <w:left w:w="161" w:type="dxa"/>
          <w:bottom w:w="0" w:type="dxa"/>
          <w:right w:w="81" w:type="dxa"/>
        </w:tblCellMar>
        <w:tblLook w:val="04A0" w:firstRow="1" w:lastRow="0" w:firstColumn="1" w:lastColumn="0" w:noHBand="0" w:noVBand="1"/>
      </w:tblPr>
      <w:tblGrid>
        <w:gridCol w:w="6874"/>
        <w:gridCol w:w="3705"/>
      </w:tblGrid>
      <w:tr w:rsidR="002A1831" w:rsidTr="00294B37">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Další služby</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 xml:space="preserve">0,15% </w:t>
            </w:r>
            <w:r>
              <w:rPr>
                <w:sz w:val="23"/>
                <w:vertAlign w:val="superscript"/>
              </w:rPr>
              <w:t>1)</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Zpracování vkladu hotovosti v Kč přes přepážku ve prospěch účtů dceřiných společností Komerční banky vedených u jiné banky - MPSS a KB PS</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4" w:firstLine="0"/>
              <w:jc w:val="center"/>
            </w:pPr>
            <w:r>
              <w:rPr>
                <w:sz w:val="17"/>
              </w:rPr>
              <w:t>bez poplatku</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4" w:firstLine="0"/>
            </w:pPr>
            <w:r>
              <w:rPr>
                <w:sz w:val="20"/>
              </w:rPr>
              <w:t>Zpracování vkladu hotovosti v Kč přes přepážku ve prospěch účtu vedeného u jiné banky v tuzemsku vyjma vkladu na ČNB a dceřinou společnost</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5" w:firstLine="0"/>
              <w:jc w:val="center"/>
            </w:pPr>
            <w:r>
              <w:rPr>
                <w:sz w:val="17"/>
              </w:rPr>
              <w:t>149</w:t>
            </w:r>
          </w:p>
        </w:tc>
      </w:tr>
      <w:tr w:rsidR="002A1831" w:rsidTr="00294B37">
        <w:trPr>
          <w:trHeight w:val="715"/>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Zpracování vkladu hotovosti v Kč přes přepážku ve prospěch účtu vedeného u jiné banky v</w:t>
            </w:r>
          </w:p>
          <w:p w:rsidR="002A1831" w:rsidRDefault="00294B37">
            <w:pPr>
              <w:spacing w:after="0" w:line="259" w:lineRule="auto"/>
              <w:ind w:left="0" w:firstLine="0"/>
              <w:jc w:val="center"/>
            </w:pPr>
            <w:r>
              <w:rPr>
                <w:sz w:val="20"/>
              </w:rPr>
              <w:t>tuzemsku vyjma vkladu na ČNB a dceřinou společnost - super expres (předávaný v den splatnosti do</w:t>
            </w:r>
          </w:p>
          <w:p w:rsidR="002A1831" w:rsidRDefault="00294B37">
            <w:pPr>
              <w:spacing w:after="0" w:line="259" w:lineRule="auto"/>
              <w:ind w:left="0" w:firstLine="0"/>
            </w:pPr>
            <w:r>
              <w:rPr>
                <w:sz w:val="20"/>
              </w:rPr>
              <w:t>12:30 hod.)</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5" w:firstLine="0"/>
              <w:jc w:val="center"/>
            </w:pPr>
            <w:r>
              <w:rPr>
                <w:sz w:val="17"/>
              </w:rPr>
              <w:t>2 %, min. 200</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Vklady hotovostí v Kč na účty vedené v ČNB (realizované prostřednictvím nočního trezoru nebo uzavřeného obalu), za jednotlivou polož</w:t>
            </w:r>
            <w:r>
              <w:rPr>
                <w:sz w:val="20"/>
              </w:rPr>
              <w:t>ku</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5" w:firstLine="0"/>
              <w:jc w:val="center"/>
            </w:pPr>
            <w:r>
              <w:rPr>
                <w:sz w:val="17"/>
              </w:rPr>
              <w:t>200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Hotovostní operace na účtech vedených jiným bankám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 w:firstLine="0"/>
              <w:jc w:val="center"/>
            </w:pPr>
            <w:r>
              <w:rPr>
                <w:sz w:val="17"/>
              </w:rPr>
              <w:t>individuálně</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Výměna Kč do 100 kusů vč. jedné nominální hodnoty,jsou-li bankovky a mince roztříděné podle nominální hodnoty</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8"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3 % z vyměňované částky, min. 100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Vklady hotovostí v Kč na účty vedené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2 %, min. 200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Výběry hotovostí v Kč z účtů vedených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100</w:t>
            </w:r>
          </w:p>
        </w:tc>
      </w:tr>
    </w:tbl>
    <w:p w:rsidR="002A1831" w:rsidRDefault="00294B37">
      <w:pPr>
        <w:ind w:left="199" w:right="4" w:hanging="156"/>
      </w:pPr>
      <w:r>
        <w:t>1) V případě, že součet hotovostních operací realizovaných majitelem i třet</w:t>
      </w:r>
      <w:r>
        <w: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w:t>
      </w:r>
      <w:r>
        <w:t>enými obaly či nočními trezory a na bankomatech KB, včetně proplacených šeků.</w:t>
      </w:r>
    </w:p>
    <w:p w:rsidR="002A1831" w:rsidRDefault="00294B37">
      <w:pPr>
        <w:ind w:left="223" w:right="4"/>
      </w:pPr>
      <w:r>
        <w:t>KB je oprávněna tento poplatek účtovat, a pokud tak učiní, účtuje jej klientovi měsíčně v měně příslušného účtu se splatností 5. Obchodní den následujícího měsíce, přičemž je opr</w:t>
      </w:r>
      <w:r>
        <w:t>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w:t>
      </w:r>
      <w:r>
        <w:t>čtu z Kč použitý kurz KB střed z posledního kalendářního dne měsíce, za který se poplatek počítá.</w:t>
      </w:r>
    </w:p>
    <w:p w:rsidR="002A1831" w:rsidRDefault="00294B37">
      <w:pPr>
        <w:pStyle w:val="Nadpis2"/>
        <w:spacing w:after="207"/>
        <w:ind w:left="-5"/>
      </w:pPr>
      <w:r>
        <w:t>FINANCOVÁNÍ</w:t>
      </w:r>
    </w:p>
    <w:p w:rsidR="002A1831" w:rsidRDefault="00294B37">
      <w:pPr>
        <w:pStyle w:val="Nadpis3"/>
        <w:spacing w:after="73"/>
        <w:ind w:left="151"/>
      </w:pPr>
      <w:r>
        <w:t>Úvěry</w:t>
      </w:r>
    </w:p>
    <w:p w:rsidR="002A1831" w:rsidRDefault="00294B37">
      <w:pPr>
        <w:spacing w:after="75" w:line="259" w:lineRule="auto"/>
        <w:ind w:left="-5"/>
      </w:pPr>
      <w:r>
        <w:rPr>
          <w:sz w:val="17"/>
        </w:rPr>
        <w:t>Pravidla pro stanovení a výběr cen uvedená v kapitole „Podnikatelské úvěry obecně" platí pro všechny podnikatelské úvěry, pokud není stanoveno jinak.</w:t>
      </w:r>
    </w:p>
    <w:p w:rsidR="002A1831" w:rsidRDefault="00294B37">
      <w:pPr>
        <w:spacing w:after="75" w:line="259" w:lineRule="auto"/>
        <w:ind w:left="-5"/>
      </w:pPr>
      <w:r>
        <w:rPr>
          <w:sz w:val="17"/>
        </w:rPr>
        <w:t xml:space="preserve">U obchodních případů v cizí měně klient cenu, vypočtenou v cizí měně, hradí v korunách (Kč). Pro přepočet </w:t>
      </w:r>
      <w:r>
        <w:rPr>
          <w:sz w:val="17"/>
        </w:rPr>
        <w:t>částky ceny na Kč bude použit kurz „deviza prodej“ dle Kurzovního lístku KB, platného v den úhrady z účtu klienta.</w:t>
      </w:r>
    </w:p>
    <w:p w:rsidR="002A1831" w:rsidRDefault="00294B37">
      <w:pPr>
        <w:spacing w:after="0" w:line="259" w:lineRule="auto"/>
        <w:ind w:left="-5"/>
      </w:pPr>
      <w:r>
        <w:rPr>
          <w:sz w:val="17"/>
        </w:rPr>
        <w:t>Výjimkou je cena za zpracování a vyhodnocení žádosti, cena za realizaci úvěru a cena za rezervaci zdrojů, kde lze cenu hradit v měně úvěru (v</w:t>
      </w:r>
      <w:r>
        <w:rPr>
          <w:sz w:val="17"/>
        </w:rPr>
        <w:t>ypočtená fixní cena v Kč bude přepočítána kurzem „deviza prodej" a cena v % z objemu úvěru bude vypočtena v měně úvěru).</w:t>
      </w:r>
    </w:p>
    <w:tbl>
      <w:tblPr>
        <w:tblStyle w:val="TableGrid"/>
        <w:tblW w:w="10580" w:type="dxa"/>
        <w:tblInd w:w="0" w:type="dxa"/>
        <w:tblLayout w:type="fixed"/>
        <w:tblCellMar>
          <w:top w:w="69" w:type="dxa"/>
          <w:left w:w="161" w:type="dxa"/>
          <w:bottom w:w="0" w:type="dxa"/>
          <w:right w:w="160" w:type="dxa"/>
        </w:tblCellMar>
        <w:tblLook w:val="04A0" w:firstRow="1" w:lastRow="0" w:firstColumn="1" w:lastColumn="0" w:noHBand="0" w:noVBand="1"/>
      </w:tblPr>
      <w:tblGrid>
        <w:gridCol w:w="6874"/>
        <w:gridCol w:w="3705"/>
      </w:tblGrid>
      <w:tr w:rsidR="002A1831" w:rsidTr="00294B37">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Podnikatelské úvěry obecně</w:t>
            </w:r>
          </w:p>
        </w:tc>
      </w:tr>
      <w:tr w:rsidR="002A1831" w:rsidTr="00294B37">
        <w:trPr>
          <w:trHeight w:val="910"/>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0" w:firstLine="0"/>
              <w:jc w:val="both"/>
            </w:pPr>
            <w:r>
              <w:rPr>
                <w:b/>
                <w:sz w:val="20"/>
              </w:rPr>
              <w:t>Za komplexní zpracování a vyhodnocení žádosti o úvěr (příslib úvěru) / za prvotní analýzu projektu a zpraco</w:t>
            </w:r>
            <w:r>
              <w:rPr>
                <w:b/>
                <w:sz w:val="20"/>
              </w:rPr>
              <w:t>vání indikativní nabídky</w:t>
            </w:r>
          </w:p>
          <w:p w:rsidR="002A1831" w:rsidRDefault="00294B37">
            <w:pPr>
              <w:spacing w:after="0" w:line="259" w:lineRule="auto"/>
              <w:ind w:left="0" w:firstLine="0"/>
            </w:pPr>
            <w:r>
              <w:rPr>
                <w:sz w:val="20"/>
              </w:rPr>
              <w:t>Cena je jednorázová a nevratná, předložení dokladu o úhradě je podmínkou pro projednání žádosti o úvěr, příslibu úvěru nebo posouzení podnikatelského záměru.</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98" w:firstLine="0"/>
              <w:jc w:val="center"/>
            </w:pPr>
            <w:r>
              <w:rPr>
                <w:sz w:val="17"/>
              </w:rPr>
              <w:t>individuálně</w:t>
            </w:r>
          </w:p>
        </w:tc>
      </w:tr>
      <w:tr w:rsidR="002A1831" w:rsidTr="00294B37">
        <w:trPr>
          <w:trHeight w:val="1694"/>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Za realizaci úvěru (příslibu úvěru)</w:t>
            </w:r>
          </w:p>
          <w:p w:rsidR="002A1831" w:rsidRDefault="00294B37">
            <w:pPr>
              <w:spacing w:after="0" w:line="216" w:lineRule="auto"/>
              <w:ind w:left="0" w:firstLine="0"/>
            </w:pPr>
            <w:r>
              <w:rPr>
                <w:sz w:val="20"/>
              </w:rPr>
              <w:t>Cena se stanoví z objemu schváleného úvěru (příslibu úvěru) v Kč a v cizí měně a je jednorázová u úvěrů na dobu určitou, v případě revolvingových a kontokorentních úvěrů na dobu neurčitou se hradí pravidelně za sjednané období, např. ročně.</w:t>
            </w:r>
          </w:p>
          <w:p w:rsidR="002A1831" w:rsidRDefault="00294B37">
            <w:pPr>
              <w:numPr>
                <w:ilvl w:val="0"/>
                <w:numId w:val="10"/>
              </w:numPr>
              <w:spacing w:after="0" w:line="259" w:lineRule="auto"/>
              <w:ind w:firstLine="0"/>
            </w:pPr>
            <w:r>
              <w:rPr>
                <w:sz w:val="20"/>
              </w:rPr>
              <w:t xml:space="preserve">příslibu úvěru </w:t>
            </w:r>
            <w:r>
              <w:rPr>
                <w:sz w:val="20"/>
              </w:rPr>
              <w:t>je cena inkasována okamžikem vystavení příslibu úvěru.</w:t>
            </w:r>
          </w:p>
          <w:p w:rsidR="002A1831" w:rsidRDefault="00294B37">
            <w:pPr>
              <w:numPr>
                <w:ilvl w:val="0"/>
                <w:numId w:val="10"/>
              </w:numPr>
              <w:spacing w:after="0" w:line="259" w:lineRule="auto"/>
              <w:ind w:firstLine="0"/>
            </w:pPr>
            <w:r>
              <w:rPr>
                <w:sz w:val="20"/>
              </w:rPr>
              <w:t xml:space="preserve">případě příslibu úvěru na projekty, kde bude následně klientem podávána žádost o dotaci zestátního rozpočtu ČR nebo fondů EU, může být cena rozdělena na dvě platby; první část je inkasována v okamžiku </w:t>
            </w:r>
            <w:r>
              <w:rPr>
                <w:sz w:val="20"/>
              </w:rPr>
              <w:t>vystavení příslibu, druhá v okamžiku podání žádosti.</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98" w:firstLine="0"/>
              <w:jc w:val="center"/>
            </w:pPr>
            <w:r>
              <w:rPr>
                <w:sz w:val="17"/>
              </w:rPr>
              <w:t>individuálně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w:t>
            </w:r>
            <w:r>
              <w:rPr>
                <w:sz w:val="25"/>
                <w:vertAlign w:val="superscript"/>
              </w:rPr>
              <w:footnoteReference w:id="1"/>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98" w:firstLine="0"/>
              <w:jc w:val="center"/>
            </w:pPr>
            <w:r>
              <w:rPr>
                <w:sz w:val="17"/>
              </w:rPr>
              <w:t>individuálně</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Pro smlouvy uzavřené v obchodních centrech KB do 31. 12. 2006 (v případě, že ve smlouvě není sjednána cena individuální)</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98" w:firstLine="0"/>
              <w:jc w:val="center"/>
            </w:pPr>
            <w:r>
              <w:rPr>
                <w:sz w:val="17"/>
              </w:rPr>
              <w:t>700 měsíčně</w:t>
            </w:r>
          </w:p>
        </w:tc>
      </w:tr>
    </w:tbl>
    <w:p w:rsidR="002A1831" w:rsidRDefault="00294B37">
      <w:pPr>
        <w:ind w:left="53" w:right="4"/>
      </w:pPr>
      <w:r>
        <w:t xml:space="preserve">1)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Profi úvěr, Profi úvěr revolvingový</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1 000 + 0,6 %</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do 100 tis. Kč </w:t>
            </w:r>
            <w:r>
              <w:rPr>
                <w:sz w:val="25"/>
                <w:vertAlign w:val="superscript"/>
              </w:rPr>
              <w:footnoteReference w:id="2"/>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měsíčně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100 tis. Kč do 1 mil. Kč </w:t>
            </w:r>
            <w:r>
              <w:rPr>
                <w:sz w:val="25"/>
                <w:vertAlign w:val="superscript"/>
              </w:rPr>
              <w:footnoteReference w:id="3"/>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300 měsíčně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600 měsíčně</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Program Bytový dům - úvěry pro bytová družstva a společenství vlastníků jednotek</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měsíčně</w:t>
            </w:r>
          </w:p>
        </w:tc>
      </w:tr>
    </w:tbl>
    <w:p w:rsidR="002A1831" w:rsidRDefault="00294B37">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0" w:type="dxa"/>
          <w:bottom w:w="0" w:type="dxa"/>
          <w:right w:w="69"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RAS / KB FlexiRámec</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Za sjednání možnosti čerpání pod RAS / KB FlexiRámcem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9" w:firstLine="0"/>
              <w:jc w:val="center"/>
            </w:pPr>
            <w:r>
              <w:rPr>
                <w:sz w:val="17"/>
              </w:rPr>
              <w:t>individuálně</w:t>
            </w:r>
          </w:p>
        </w:tc>
      </w:tr>
      <w:tr w:rsidR="002A1831" w:rsidTr="00294B37">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jc w:val="center"/>
            </w:pPr>
            <w:r>
              <w:rPr>
                <w:sz w:val="17"/>
              </w:rPr>
              <w:t>Cena je účtována z celkové výše limitu GUL a nahrazuje jednotlivé ceny za zpracování a vyhodnocení žádosti o úv</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69" w:firstLine="0"/>
            </w:pPr>
            <w:r>
              <w:rPr>
                <w:sz w:val="17"/>
              </w:rPr>
              <w:t>ěr.</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Profi hypotéka</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1 000 +0,6 %</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měsíčně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300 měsíčně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600 měsíčně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Čerpání úvěru na návrh na vklad</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1 500</w:t>
            </w:r>
          </w:p>
        </w:tc>
      </w:tr>
    </w:tbl>
    <w:p w:rsidR="002A1831" w:rsidRDefault="00294B37">
      <w:pPr>
        <w:ind w:left="53" w:right="4"/>
      </w:pPr>
      <w:r>
        <w:t xml:space="preserve">1)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bottom w:w="0" w:type="dxa"/>
          <w:right w:w="254"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Služby k úvěrům</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Změna ve smlouvě vymezených podmínek úvěru v Kč a v cizí měně z podnětu klienta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v RAS vymezených podmínek z podnětu klienta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formy výpisů z úvěrového účtu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1"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Rezervace zdrojů (mimo povolených debetů)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smlouvy o úvěru z podnětu banky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1"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Účetní položka zúčtovaná na úvěrovém účtu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1"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Výpis z úvěrového účtu elektronicky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1"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Služba zasílání výpisů z úvěrového účtu poštou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20 měsíčně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Služba zasílání výpisů z úvěrového účtu poštou k Profi úvěrům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20 měsíčně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Zaslání 1. upomínky - oznámení o neprovedení splátky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87" w:firstLine="0"/>
              <w:jc w:val="center"/>
            </w:pPr>
            <w:r>
              <w:rPr>
                <w:sz w:val="17"/>
              </w:rPr>
              <w:t>100</w:t>
            </w:r>
          </w:p>
        </w:tc>
      </w:tr>
      <w:tr w:rsidR="002A1831" w:rsidTr="00294B37">
        <w:trPr>
          <w:trHeight w:val="542"/>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 xml:space="preserve">Zaslání 2. a každé další upomínky při neprovedení splátky, inkasuje se přesáhne li celkový závazek po splatnosti 1 000 Kč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87" w:firstLine="0"/>
              <w:jc w:val="center"/>
            </w:pPr>
            <w:r>
              <w:rPr>
                <w:sz w:val="17"/>
              </w:rPr>
              <w:t>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Nabídka úrokových sazeb z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1"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Ceny za služby související s poskytováním úvěrů zahraničním subjektům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individuálně</w:t>
            </w:r>
          </w:p>
        </w:tc>
      </w:tr>
    </w:tbl>
    <w:p w:rsidR="002A1831" w:rsidRDefault="00294B37">
      <w:pPr>
        <w:numPr>
          <w:ilvl w:val="0"/>
          <w:numId w:val="5"/>
        </w:numPr>
        <w:ind w:left="199" w:right="4" w:hanging="156"/>
      </w:pPr>
      <w:r>
        <w:t>Cena je jednorázová a nevratná.</w:t>
      </w:r>
    </w:p>
    <w:p w:rsidR="002A1831" w:rsidRDefault="00294B37">
      <w:pPr>
        <w:numPr>
          <w:ilvl w:val="0"/>
          <w:numId w:val="5"/>
        </w:numPr>
        <w:ind w:left="199" w:right="4" w:hanging="156"/>
      </w:pPr>
      <w:r>
        <w:t>Cena se u všech úvěrových obchodů stanoví z nečerpané částky úvěru a zúčtovává se, přesáhne-li výši 30 Kč, u kontokorentních úvěrů se zúčtov</w:t>
      </w:r>
      <w:r>
        <w:t>ává cena bez omezení.  Cena je inkasována od data účinnosti smlouvy o úvěru za každý i započatý měsíc po celou dobu trvání úvěrového obchodu.</w:t>
      </w:r>
    </w:p>
    <w:p w:rsidR="002A1831" w:rsidRDefault="00294B37">
      <w:pPr>
        <w:numPr>
          <w:ilvl w:val="0"/>
          <w:numId w:val="5"/>
        </w:numPr>
        <w:ind w:left="199" w:right="4" w:hanging="156"/>
      </w:pPr>
      <w:r>
        <w:t>Platí pro podnikatelské úvěry a podnikatelské hypotéky sjednané od 1. 7. 2010, pro podnikatelské úvěry a podnikate</w:t>
      </w:r>
      <w:r>
        <w:t>lské hypotéky sjednané do 30. 6. 2010 zdarma.</w:t>
      </w:r>
    </w:p>
    <w:p w:rsidR="002A1831" w:rsidRDefault="00294B37">
      <w:pPr>
        <w:numPr>
          <w:ilvl w:val="0"/>
          <w:numId w:val="5"/>
        </w:numPr>
        <w:ind w:left="199" w:right="4" w:hanging="156"/>
      </w:pPr>
      <w:r>
        <w:t>Cena se hradí po zaslání upomínky, je jednorázová a nevratná.</w:t>
      </w:r>
    </w:p>
    <w:tbl>
      <w:tblPr>
        <w:tblStyle w:val="TableGrid"/>
        <w:tblW w:w="10580" w:type="dxa"/>
        <w:tblInd w:w="0" w:type="dxa"/>
        <w:tblLayout w:type="fixed"/>
        <w:tblCellMar>
          <w:top w:w="69" w:type="dxa"/>
          <w:left w:w="161" w:type="dxa"/>
          <w:bottom w:w="0" w:type="dxa"/>
          <w:right w:w="582"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Povolené debety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Rezervace zdrojů (z nečerpané částky)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8" w:firstLine="0"/>
              <w:jc w:val="center"/>
            </w:pPr>
            <w:r>
              <w:rPr>
                <w:sz w:val="17"/>
              </w:rPr>
              <w:t>0,60 %, p.a.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Rezervace zdrojů pro municipality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0" w:firstLine="0"/>
              <w:jc w:val="center"/>
            </w:pPr>
            <w:r>
              <w:rPr>
                <w:sz w:val="17"/>
              </w:rPr>
              <w:t>individuálně</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Zaslání upomínky - oznámení o vzniku nepovoleného debetu / oznámení o prodlení (platí pro povolené nezajištěné debety)</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16" w:firstLine="0"/>
              <w:jc w:val="center"/>
            </w:pPr>
            <w:r>
              <w:rPr>
                <w:sz w:val="17"/>
              </w:rPr>
              <w:t>100</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Zaslání upomínky - výzvy k vyrovnání nepovoleného debetu / výzvy k vyrovnání debetu (inkasuje se přesáhne li celkový závazek po splatnosti 1 000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16" w:firstLine="0"/>
              <w:jc w:val="center"/>
            </w:pPr>
            <w:r>
              <w:rPr>
                <w:sz w:val="17"/>
              </w:rPr>
              <w:t>500</w:t>
            </w:r>
          </w:p>
        </w:tc>
      </w:tr>
    </w:tbl>
    <w:p w:rsidR="002A1831" w:rsidRDefault="00294B37">
      <w:pPr>
        <w:ind w:left="53" w:right="4"/>
      </w:pPr>
      <w:r>
        <w:t>1) Cena se stanoví z nečerpané částky povoleného debetu.</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Exportní odběratelské úvěry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Poplatek za zpracování nabídky financování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individuálně dle uskutečněných úkonů, max 75 000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přípravu, zpracování podkladů a uzavření smlouvy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smluvní dokumentace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bl>
    <w:p w:rsidR="002A1831" w:rsidRDefault="00294B37">
      <w:pPr>
        <w:ind w:left="53" w:right="4"/>
      </w:pPr>
      <w:r>
        <w:t xml:space="preserve">1) </w:t>
      </w:r>
      <w:r>
        <w:t>Při realizaci úvěru bude klientovi poplatek vrácen formou snížení smluvní zpracovatelské provize.</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Forfaiting</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Závazková provize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Jednorázový zpracovatelský poplatek</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Vyhodnocení rizik spojených se zástavou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Vyhodnocování rizik spojených s čerpáním úvěru zajištěného rozestavěnou nemovitostí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bl>
    <w:p w:rsidR="002A1831" w:rsidRDefault="00294B37">
      <w:pPr>
        <w:numPr>
          <w:ilvl w:val="0"/>
          <w:numId w:val="6"/>
        </w:numPr>
        <w:ind w:left="199" w:right="4" w:hanging="156"/>
      </w:pPr>
      <w:r>
        <w:t>Cena zahrnuje stanovení obvyklé ceny nemovitosti (dle typu a velikosti), ceny věci movité navrhované klientem k zajištění pohledávky KB včetně vyhodnocení rizika banky spojeného s přijetím zástavy; cena je jednorázová a nevratná.</w:t>
      </w:r>
    </w:p>
    <w:p w:rsidR="002A1831" w:rsidRDefault="00294B37">
      <w:pPr>
        <w:numPr>
          <w:ilvl w:val="0"/>
          <w:numId w:val="6"/>
        </w:numPr>
        <w:ind w:left="199" w:right="4" w:hanging="156"/>
      </w:pPr>
      <w:r>
        <w:t>Cena zahrnuje vyhotovení Z</w:t>
      </w:r>
      <w:r>
        <w:t>právy o stavu výstavby / rekonstrukce, její předání prodejnímu místu, vyhodnocení rizik KB spojených s čerpáním úvěru zajištěného rozestavěnou nemovitostí; cena je jednorázová a nevratná.</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Zpracování žádosti o dotaci</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Pevný poplatek za zpracování žádosti o dotaci</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v případě schválení dotace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bl>
    <w:p w:rsidR="002A1831" w:rsidRDefault="00294B37">
      <w:pPr>
        <w:pStyle w:val="Nadpis3"/>
        <w:ind w:left="151"/>
      </w:pPr>
      <w:r>
        <w:t>Záruky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zpracování a vyhodnocení žádosti o bankovní záruku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zpracování a vyhodnocení žádosti o bankovní záruku pod RAS pro klienty Obchodních divizí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Změna smlouvy o poskytnutí bankovní záruky / změna bankovní záruky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individuálně, min. 2 000</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poskytování bankovní záruky (příslibu, protizáruky) </w:t>
            </w:r>
            <w:r>
              <w:rPr>
                <w:sz w:val="25"/>
                <w:vertAlign w:val="superscript"/>
              </w:rPr>
              <w:t>5)</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uplatnění poskytnuté záruky (protizáruky)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3 000</w:t>
            </w:r>
          </w:p>
        </w:tc>
      </w:tr>
    </w:tbl>
    <w:p w:rsidR="002A1831" w:rsidRDefault="00294B37">
      <w:pPr>
        <w:numPr>
          <w:ilvl w:val="0"/>
          <w:numId w:val="7"/>
        </w:numPr>
        <w:ind w:left="199" w:right="4" w:hanging="156"/>
      </w:pPr>
      <w:r>
        <w:t>Použije se i v případě protizáruky, příslibu bankovní záruky.</w:t>
      </w:r>
    </w:p>
    <w:p w:rsidR="002A1831" w:rsidRDefault="00294B37">
      <w:pPr>
        <w:numPr>
          <w:ilvl w:val="0"/>
          <w:numId w:val="7"/>
        </w:numPr>
        <w:ind w:left="199" w:right="4" w:hanging="156"/>
      </w:pPr>
      <w:r>
        <w:t>Stanoví se z požadované částky bankovní záruky.</w:t>
      </w:r>
    </w:p>
    <w:p w:rsidR="002A1831" w:rsidRDefault="00294B37">
      <w:pPr>
        <w:numPr>
          <w:ilvl w:val="0"/>
          <w:numId w:val="7"/>
        </w:numPr>
        <w:ind w:left="199" w:right="4" w:hanging="156"/>
      </w:pPr>
      <w:r>
        <w:t>Cen</w:t>
      </w:r>
      <w:r>
        <w:t>a se stanoví z částky bankovní záruky uvedené v příslušné dokumentaci.</w:t>
      </w:r>
    </w:p>
    <w:p w:rsidR="002A1831" w:rsidRDefault="00294B37">
      <w:pPr>
        <w:numPr>
          <w:ilvl w:val="0"/>
          <w:numId w:val="7"/>
        </w:numPr>
        <w:ind w:left="199" w:right="4" w:hanging="156"/>
      </w:pPr>
      <w:r>
        <w:t>Cena se stanoví z aktuální zaručené částky.</w:t>
      </w:r>
    </w:p>
    <w:p w:rsidR="002A1831" w:rsidRDefault="00294B37">
      <w:pPr>
        <w:numPr>
          <w:ilvl w:val="0"/>
          <w:numId w:val="7"/>
        </w:numPr>
        <w:ind w:left="199" w:right="4" w:hanging="156"/>
      </w:pPr>
      <w:r>
        <w:t>Cena v % p. a. se stanoví podle míry kreditního rizika.</w:t>
      </w:r>
    </w:p>
    <w:tbl>
      <w:tblPr>
        <w:tblStyle w:val="TableGrid"/>
        <w:tblW w:w="10580" w:type="dxa"/>
        <w:tblInd w:w="0" w:type="dxa"/>
        <w:tblLayout w:type="fixed"/>
        <w:tblCellMar>
          <w:top w:w="69" w:type="dxa"/>
          <w:left w:w="161" w:type="dxa"/>
          <w:bottom w:w="0" w:type="dxa"/>
          <w:right w:w="8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 w:firstLine="0"/>
              <w:jc w:val="center"/>
            </w:pPr>
            <w:r>
              <w:rPr>
                <w:sz w:val="17"/>
              </w:rPr>
              <w:t>2 000</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Uplatnění (žádost o uplatnění) přijaté záruky vystavené jinou bankou (odeslání výzvy k plnění),ověření znění výzvy k plnění</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9" w:firstLine="0"/>
              <w:jc w:val="center"/>
            </w:pPr>
            <w:r>
              <w:rPr>
                <w:sz w:val="17"/>
              </w:rPr>
              <w:t>3 000</w:t>
            </w:r>
          </w:p>
        </w:tc>
      </w:tr>
      <w:tr w:rsidR="002A1831" w:rsidTr="00294B37">
        <w:trPr>
          <w:trHeight w:val="715"/>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Poskytnutí jiné služby v souvislosti s přijatou bankovní zárukou (např. ověření shody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9" w:firstLine="0"/>
              <w:jc w:val="center"/>
            </w:pPr>
            <w:r>
              <w:rPr>
                <w:sz w:val="17"/>
              </w:rPr>
              <w:t>1 500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Odeslání dokladů /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8" w:firstLine="0"/>
              <w:jc w:val="center"/>
            </w:pPr>
            <w:r>
              <w:rPr>
                <w:sz w:val="17"/>
              </w:rPr>
              <w:t>dle skutečných nákladů</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Profi záruky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zpracování a vyhodnocení žádosti o bankovní záruku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1 000 + 0,60 %</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Změna smlouvy o poskytnutí bankovní záruky/změna bankovní záruky (protizáruky)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individuálně min. 2 000</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poskytování bankovní záruky (příslibu,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uplatnění poskytnuté záruky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3 000</w:t>
            </w:r>
          </w:p>
        </w:tc>
      </w:tr>
      <w:tr w:rsidR="002A1831" w:rsidTr="00294B37">
        <w:trPr>
          <w:trHeight w:val="645"/>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17"/>
              </w:rPr>
              <w:t>Ceny uhrazené dle všech výše uvedených položek týkajících se záruk jsou nevratné.</w:t>
            </w:r>
          </w:p>
          <w:p w:rsidR="002A1831" w:rsidRDefault="00294B37">
            <w:pPr>
              <w:spacing w:after="0" w:line="259" w:lineRule="auto"/>
              <w:ind w:left="0" w:firstLine="0"/>
            </w:pPr>
            <w:r>
              <w:rPr>
                <w:sz w:val="17"/>
              </w:rPr>
              <w:t>U obchodních případů v cizí měně klient cenu vypočtenou v cizí měně hradí v korunách (Kč).</w:t>
            </w:r>
          </w:p>
          <w:p w:rsidR="002A1831" w:rsidRDefault="00294B37">
            <w:pPr>
              <w:spacing w:after="0" w:line="259" w:lineRule="auto"/>
              <w:ind w:left="0" w:firstLine="0"/>
            </w:pPr>
            <w:r>
              <w:rPr>
                <w:sz w:val="17"/>
              </w:rPr>
              <w:t>Pro přepočet částky ceny na Kč bude použit kurz „deviza prodej" dle kurzovního lístku KB, a. s.</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bl>
    <w:p w:rsidR="002A1831" w:rsidRDefault="00294B37">
      <w:pPr>
        <w:numPr>
          <w:ilvl w:val="0"/>
          <w:numId w:val="8"/>
        </w:numPr>
        <w:ind w:left="199" w:right="4" w:hanging="156"/>
      </w:pPr>
      <w:r>
        <w:t>Použije se i v případě příslibu Profi záruky.</w:t>
      </w:r>
    </w:p>
    <w:p w:rsidR="002A1831" w:rsidRDefault="00294B37">
      <w:pPr>
        <w:numPr>
          <w:ilvl w:val="0"/>
          <w:numId w:val="8"/>
        </w:numPr>
        <w:ind w:left="199" w:right="4" w:hanging="156"/>
      </w:pPr>
      <w:r>
        <w:t>Cena se stanoví z částky bankovní záruky uvedené v příslušné dokumentaci.</w:t>
      </w:r>
    </w:p>
    <w:p w:rsidR="002A1831" w:rsidRDefault="00294B37">
      <w:pPr>
        <w:numPr>
          <w:ilvl w:val="0"/>
          <w:numId w:val="8"/>
        </w:numPr>
        <w:ind w:left="199" w:right="4" w:hanging="156"/>
      </w:pPr>
      <w:r>
        <w:t>Cena se stanoví z aktuální zaručené částky.</w:t>
      </w:r>
    </w:p>
    <w:p w:rsidR="002A1831" w:rsidRDefault="00294B37">
      <w:pPr>
        <w:numPr>
          <w:ilvl w:val="0"/>
          <w:numId w:val="8"/>
        </w:numPr>
        <w:spacing w:after="288"/>
        <w:ind w:left="199" w:right="4" w:hanging="156"/>
      </w:pPr>
      <w:r>
        <w:t>Cena v % p. a. se stanoví podle míry kreditního rizika.</w:t>
      </w:r>
    </w:p>
    <w:p w:rsidR="002A1831" w:rsidRDefault="00294B37">
      <w:pPr>
        <w:pStyle w:val="Nadpis3"/>
        <w:ind w:left="151"/>
      </w:pPr>
      <w:r>
        <w:t>Směnky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0,5 % ze směnečné částky</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Odkup směnek MF ČR (provize)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0,05 % ze směnečné částky, min. 1 000, max. 10 000</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Obstarání výplaty indosované směnky FNM nebo MF ČR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0,3 %ze směnečné částky, min. 1 000, max. 15 000</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50 + 21 % DPH</w:t>
            </w:r>
          </w:p>
        </w:tc>
      </w:tr>
    </w:tbl>
    <w:p w:rsidR="002A1831" w:rsidRDefault="00294B37">
      <w:pPr>
        <w:ind w:left="53" w:right="4"/>
      </w:pPr>
      <w:r>
        <w:t xml:space="preserve">1) </w:t>
      </w:r>
      <w:r>
        <w:t>Položka Sazebníku určená také pro fyzické osoby - občany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 xml:space="preserve">Směnky pod dokumentárním inkasem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 z částky inkasa, min. 1 000, max. 20 000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1 000 + skutečné vzniklé náklady</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500 + skutečné náklady</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dle sazebníku kurýrní služby</w:t>
            </w:r>
          </w:p>
        </w:tc>
      </w:tr>
    </w:tbl>
    <w:p w:rsidR="002A1831" w:rsidRDefault="00294B37">
      <w:pPr>
        <w:ind w:left="53" w:right="4"/>
      </w:pPr>
      <w:r>
        <w:t xml:space="preserve">1) </w:t>
      </w:r>
      <w:r>
        <w:t>Položka Sazebníku určená také pro fyzické osoby - občany</w:t>
      </w:r>
    </w:p>
    <w:p w:rsidR="002A1831" w:rsidRDefault="00294B37">
      <w:pPr>
        <w:pStyle w:val="Nadpis3"/>
        <w:spacing w:after="188"/>
        <w:ind w:left="151"/>
      </w:pPr>
      <w:r>
        <w:t>Dokumentární platby</w:t>
      </w:r>
    </w:p>
    <w:p w:rsidR="002A1831" w:rsidRDefault="00294B37">
      <w:pPr>
        <w:pStyle w:val="Nadpis4"/>
        <w:ind w:left="151"/>
      </w:pPr>
      <w:r>
        <w:t>Dokumentární akreditiv</w:t>
      </w:r>
    </w:p>
    <w:tbl>
      <w:tblPr>
        <w:tblStyle w:val="TableGrid"/>
        <w:tblW w:w="10580" w:type="dxa"/>
        <w:tblInd w:w="0" w:type="dxa"/>
        <w:tblLayout w:type="fixed"/>
        <w:tblCellMar>
          <w:top w:w="69" w:type="dxa"/>
          <w:left w:w="161" w:type="dxa"/>
          <w:bottom w:w="0" w:type="dxa"/>
          <w:right w:w="63"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991"/>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129" w:hanging="86"/>
              <w:jc w:val="both"/>
            </w:pPr>
            <w:r>
              <w:rPr>
                <w:sz w:val="17"/>
              </w:rPr>
              <w:t>0,3 %, min. 1 000 za 1. čtvrtletí (90 dní), (při částce nad 30 mil. 0,25 %, nad 150 mil. 0,2 %),  + 0,1 %, min. 1 000 za</w:t>
            </w:r>
          </w:p>
          <w:p w:rsidR="002A1831" w:rsidRDefault="00294B37">
            <w:pPr>
              <w:spacing w:after="0" w:line="216" w:lineRule="auto"/>
              <w:ind w:left="0" w:firstLine="0"/>
              <w:jc w:val="center"/>
            </w:pPr>
            <w:r>
              <w:rPr>
                <w:sz w:val="17"/>
              </w:rPr>
              <w:t>každý další započatý měsíc (30 dní),  (+ individuální riziková přirážka v závislosti na míře kreditního rizika).</w:t>
            </w:r>
          </w:p>
          <w:p w:rsidR="002A1831" w:rsidRDefault="00294B37">
            <w:pPr>
              <w:spacing w:after="0" w:line="259" w:lineRule="auto"/>
              <w:ind w:left="0" w:right="2" w:firstLine="0"/>
              <w:jc w:val="center"/>
            </w:pPr>
            <w:r>
              <w:rPr>
                <w:sz w:val="17"/>
              </w:rPr>
              <w:t>Splatno v den otevření</w:t>
            </w:r>
            <w:r>
              <w:rPr>
                <w:sz w:val="17"/>
              </w:rPr>
              <w:t xml:space="preserve"> na celou dobu platnosti akreditivu.</w:t>
            </w:r>
          </w:p>
        </w:tc>
      </w:tr>
      <w:tr w:rsidR="002A1831" w:rsidTr="00294B37">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314" w:right="44" w:hanging="274"/>
              <w:jc w:val="both"/>
            </w:pPr>
            <w:r>
              <w:rPr>
                <w:sz w:val="17"/>
              </w:rPr>
              <w:t>0,1%, min. 1 000 za každý další započatý měsíc (30 dní), (+ individuální riziková přirážka v závislosti na míře kreditního rizika).</w:t>
            </w:r>
          </w:p>
          <w:p w:rsidR="002A1831" w:rsidRDefault="00294B37">
            <w:pPr>
              <w:spacing w:after="0" w:line="259" w:lineRule="auto"/>
              <w:ind w:left="0" w:right="2" w:firstLine="0"/>
              <w:jc w:val="center"/>
            </w:pPr>
            <w:r>
              <w:rPr>
                <w:sz w:val="17"/>
              </w:rPr>
              <w:t>Splatno v den změny na celou dobu platnosti akreditivu.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4" w:firstLine="0"/>
              <w:jc w:val="center"/>
            </w:pPr>
            <w:r>
              <w:rPr>
                <w:sz w:val="17"/>
              </w:rPr>
              <w:t>750</w:t>
            </w:r>
          </w:p>
        </w:tc>
      </w:tr>
      <w:tr w:rsidR="002A1831" w:rsidTr="00294B37">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Kontrola dokladů,výplata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center"/>
            </w:pPr>
            <w:r>
              <w:rPr>
                <w:sz w:val="17"/>
              </w:rPr>
              <w:t>0,25 % z vyplacené částky (příp. z částky vrácených dokladů), min. 1 000</w:t>
            </w:r>
          </w:p>
        </w:tc>
      </w:tr>
      <w:tr w:rsidR="002A1831" w:rsidTr="00294B37">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0" w:firstLine="0"/>
              <w:jc w:val="center"/>
            </w:pPr>
            <w:r>
              <w:rPr>
                <w:sz w:val="17"/>
              </w:rPr>
              <w:t>0,25 %, min. 1 000 za každé započaté čtvrtletí (90 dní), (+ individuální riziková přirážka v závislosti na míře</w:t>
            </w:r>
          </w:p>
          <w:p w:rsidR="002A1831" w:rsidRDefault="00294B37">
            <w:pPr>
              <w:spacing w:after="0" w:line="259" w:lineRule="auto"/>
              <w:ind w:left="0" w:firstLine="0"/>
              <w:jc w:val="center"/>
            </w:pPr>
            <w:r>
              <w:rPr>
                <w:sz w:val="17"/>
              </w:rPr>
              <w:t>kreditního rizika) + poplatky za výplatu (0,25 % z vyplacené částky (příp. z částky vrácených dokladů), min. 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Uvolnění zboží zaslaného k </w:t>
            </w:r>
            <w:r>
              <w:rPr>
                <w:sz w:val="20"/>
              </w:rPr>
              <w:t>dispozici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4" w:firstLine="0"/>
              <w:jc w:val="center"/>
            </w:pPr>
            <w:r>
              <w:rPr>
                <w:sz w:val="17"/>
              </w:rPr>
              <w:t>500</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0,2 %, min. 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0,1 %, min. 500</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82" w:right="31" w:firstLine="0"/>
              <w:jc w:val="center"/>
            </w:pPr>
            <w:r>
              <w:rPr>
                <w:sz w:val="17"/>
              </w:rPr>
              <w:t>individuálně, v závislosti na míře kreditního rizika, min. 1 500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750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 z vyplacené částky, min. 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0,125 %, min. 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Kontrola a odesílání dokladů k inkasu,kontrola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 z částky dokladů, min. 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0,15 % z převedené částky, min. 2 000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3 000</w:t>
            </w:r>
          </w:p>
        </w:tc>
      </w:tr>
      <w:tr w:rsidR="002A1831" w:rsidTr="00294B37">
        <w:trPr>
          <w:trHeight w:val="473"/>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bl>
    <w:p w:rsidR="002A1831" w:rsidRDefault="00294B37">
      <w:pPr>
        <w:pStyle w:val="Nadpis4"/>
        <w:ind w:left="151"/>
      </w:pPr>
      <w:r>
        <w:t>Dokumentární inkaso</w:t>
      </w:r>
    </w:p>
    <w:tbl>
      <w:tblPr>
        <w:tblStyle w:val="TableGrid"/>
        <w:tblW w:w="10580" w:type="dxa"/>
        <w:tblInd w:w="0" w:type="dxa"/>
        <w:tblLayout w:type="fixed"/>
        <w:tblCellMar>
          <w:top w:w="69" w:type="dxa"/>
          <w:left w:w="0" w:type="dxa"/>
          <w:bottom w:w="0" w:type="dxa"/>
          <w:right w:w="7"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Odběratelské - importní</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 z částky inkasa, min. 1 000 max. 20 000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500</w:t>
            </w:r>
          </w:p>
        </w:tc>
      </w:tr>
      <w:tr w:rsidR="002A1831" w:rsidTr="00294B37">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Dodavatelské - exportní</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 z částky inkasa, min. 1 000 max. 20 000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Urgence platby,změna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200</w:t>
            </w:r>
          </w:p>
        </w:tc>
      </w:tr>
      <w:tr w:rsidR="002A1831" w:rsidTr="00294B37">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Vybírá se srážkou z výnosu inkasa nebo z účtu klienta, a to i v případě vydání dokladů bez placení (např. placení přímou úhradou) nebo při vrácení dokladů ze zahraničí.</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jc w:val="right"/>
            </w:pPr>
            <w:r>
              <w:rPr>
                <w:b/>
                <w:sz w:val="20"/>
              </w:rPr>
              <w:t>Tuzemské dokumentární inkaso odběratelské, spojené s předáním technického průkazu k au</w:t>
            </w:r>
            <w:r>
              <w:rPr>
                <w:b/>
                <w:sz w:val="20"/>
              </w:rPr>
              <w:t>t</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94B37">
            <w:pPr>
              <w:spacing w:after="0" w:line="259" w:lineRule="auto"/>
              <w:ind w:left="-6" w:firstLine="0"/>
            </w:pPr>
            <w:r>
              <w:rPr>
                <w:b/>
                <w:sz w:val="20"/>
              </w:rPr>
              <w:t>omobilu</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2" w:firstLine="0"/>
              <w:jc w:val="center"/>
            </w:pPr>
            <w:r>
              <w:rPr>
                <w:sz w:val="17"/>
              </w:rPr>
              <w:t>420</w:t>
            </w:r>
          </w:p>
        </w:tc>
      </w:tr>
    </w:tbl>
    <w:p w:rsidR="002A1831" w:rsidRDefault="002A1831">
      <w:pPr>
        <w:spacing w:after="0" w:line="259" w:lineRule="auto"/>
        <w:ind w:left="-661" w:right="11226" w:firstLine="0"/>
      </w:pP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Ostatní položky v souvislosti s dokumentárními platbami</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dle sazebníku kurýrní služby</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150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w:t>
            </w:r>
          </w:p>
        </w:tc>
      </w:tr>
    </w:tbl>
    <w:p w:rsidR="002A1831" w:rsidRDefault="002A1831">
      <w:pPr>
        <w:sectPr w:rsidR="002A1831">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0" w:h="16840"/>
          <w:pgMar w:top="1136" w:right="674" w:bottom="1523" w:left="661" w:header="384" w:footer="315" w:gutter="0"/>
          <w:cols w:space="708"/>
          <w:formProt w:val="0"/>
          <w:titlePg/>
        </w:sectPr>
      </w:pPr>
    </w:p>
    <w:p w:rsidR="002A1831" w:rsidRDefault="00294B37">
      <w:pPr>
        <w:pStyle w:val="Nadpis2"/>
        <w:ind w:left="-5"/>
      </w:pPr>
      <w:r>
        <w:t>INVESTIČNÍ BANKOVNICTVÍ</w:t>
      </w:r>
    </w:p>
    <w:p w:rsidR="002A1831" w:rsidRDefault="00294B37">
      <w:pPr>
        <w:spacing w:after="303" w:line="259" w:lineRule="auto"/>
        <w:ind w:left="0" w:right="-49" w:firstLine="0"/>
      </w:pPr>
      <w:r>
        <w:rPr>
          <w:noProof/>
          <w:sz w:val="22"/>
        </w:rPr>
        <mc:AlternateContent>
          <mc:Choice Requires="wpg">
            <w:drawing>
              <wp:inline distT="0" distB="0" distL="0" distR="0">
                <wp:extent cx="6718051" cy="7318"/>
                <wp:effectExtent l="0" t="0" r="0" b="0"/>
                <wp:docPr id="78563" name="Group 78563"/>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0" name="Shape 93650"/>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0722AB4C" id="Group 78563"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BIQxpb&#10;hgIAAFkGAAAOAAAAAAAAAAAAAAAAAC4CAABkcnMvZTJvRG9jLnhtbFBLAQItABQABgAIAAAAIQA3&#10;wwDW2gAAAAQBAAAPAAAAAAAAAAAAAAAAAOAEAABkcnMvZG93bnJldi54bWxQSwUGAAAAAAQABADz&#10;AAAA5wUAAAAA&#10;">
                <v:shape id="Shape 93650"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NBMgA&#10;AADeAAAADwAAAGRycy9kb3ducmV2LnhtbESP32rCMBTG7wd7h3AGuxFNN2d1nVHGxCEIs1Yf4Kw5&#10;a8qak9JkWvf05mKwy4/vH7/5sreNOFHna8cKHkYJCOLS6ZorBcfDejgD4QOyxsYxKbiQh+Xi9maO&#10;mXZn3tOpCJWII+wzVGBCaDMpfWnIoh+5ljh6X66zGKLsKqk7PMdx28jHJEmlxZrjg8GW3gyV38WP&#10;VTAt3vMx/X6abTqY7D6eVvlhO8iVur/rX19ABOrDf/ivvdEKnsfpJAJEnIgC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u00EyAAAAN4AAAAPAAAAAAAAAAAAAAAAAJgCAABk&#10;cnMvZG93bnJldi54bWxQSwUGAAAAAAQABAD1AAAAjQMAAAAA&#10;" path="m,l6718051,r,9144l,9144,,e" fillcolor="gray" stroked="f" strokeweight="0">
                  <v:stroke miterlimit="83231f" joinstyle="miter"/>
                  <v:path arrowok="t" textboxrect="0,0,6718051,9144"/>
                </v:shape>
                <w10:anchorlock/>
              </v:group>
            </w:pict>
          </mc:Fallback>
        </mc:AlternateContent>
      </w:r>
    </w:p>
    <w:p w:rsidR="002A1831" w:rsidRDefault="00294B37">
      <w:pPr>
        <w:pStyle w:val="Nadpis3"/>
        <w:ind w:left="151"/>
      </w:pPr>
      <w:r>
        <w:t>Termínované a spořicí účty</w:t>
      </w:r>
    </w:p>
    <w:tbl>
      <w:tblPr>
        <w:tblStyle w:val="TableGrid"/>
        <w:tblW w:w="10580" w:type="dxa"/>
        <w:tblInd w:w="0" w:type="dxa"/>
        <w:tblLayout w:type="fixed"/>
        <w:tblCellMar>
          <w:top w:w="51" w:type="dxa"/>
          <w:left w:w="156" w:type="dxa"/>
          <w:bottom w:w="0" w:type="dxa"/>
          <w:right w:w="87" w:type="dxa"/>
        </w:tblCellMar>
        <w:tblLook w:val="04A0" w:firstRow="1" w:lastRow="0" w:firstColumn="1" w:lastColumn="0" w:noHBand="0" w:noVBand="1"/>
      </w:tblPr>
      <w:tblGrid>
        <w:gridCol w:w="3699"/>
        <w:gridCol w:w="2293"/>
        <w:gridCol w:w="882"/>
        <w:gridCol w:w="1411"/>
        <w:gridCol w:w="2293"/>
        <w:gridCol w:w="1"/>
      </w:tblGrid>
      <w:tr w:rsidR="002A1831" w:rsidTr="00294B37">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22" w:firstLine="0"/>
              <w:jc w:val="center"/>
            </w:pPr>
            <w:r>
              <w:rPr>
                <w:sz w:val="20"/>
              </w:rPr>
              <w:t>Termínovaný účet</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22" w:firstLine="0"/>
              <w:jc w:val="center"/>
            </w:pPr>
            <w:r>
              <w:rPr>
                <w:sz w:val="20"/>
              </w:rPr>
              <w:t>Spořicí účet</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elektronicky a/nebo poštou</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elektronicky</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Příchozí platba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1 %, min. 30, max. 1 000</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r>
      <w:tr w:rsidR="002A1831" w:rsidTr="00294B37">
        <w:trPr>
          <w:gridAfter w:val="1"/>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20" w:firstLine="0"/>
              <w:jc w:val="center"/>
            </w:pPr>
            <w:r>
              <w:rPr>
                <w:sz w:val="17"/>
              </w:rPr>
              <w:t>1 %, min. 50, max. 500</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23" w:firstLine="0"/>
              <w:jc w:val="center"/>
            </w:pPr>
            <w:r>
              <w:rPr>
                <w:sz w:val="17"/>
              </w:rPr>
              <w:t>-</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viz tabulka v kapitole Platební styk</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viz tabulka v kapitole Platební styk</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viz tabulka v kapitole Platební styk</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1 000</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6" w:firstLine="0"/>
            </w:pPr>
            <w:r>
              <w:rPr>
                <w:b/>
                <w:sz w:val="20"/>
              </w:rPr>
              <w:t>Depozitní směnka</w:t>
            </w:r>
          </w:p>
        </w:tc>
        <w:tc>
          <w:tcPr>
            <w:tcW w:w="3705" w:type="dxa"/>
            <w:gridSpan w:val="3"/>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pPr>
            <w:r>
              <w:rPr>
                <w:sz w:val="20"/>
              </w:rPr>
              <w:t>Vystavení a proplácení depozitní směnky KB</w:t>
            </w:r>
          </w:p>
        </w:tc>
        <w:tc>
          <w:tcPr>
            <w:tcW w:w="37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8" w:firstLine="0"/>
              <w:jc w:val="center"/>
            </w:pPr>
            <w:r>
              <w:rPr>
                <w:sz w:val="17"/>
              </w:rPr>
              <w:t>zdarma</w:t>
            </w:r>
          </w:p>
        </w:tc>
      </w:tr>
      <w:tr w:rsidR="002A1831" w:rsidTr="00294B37">
        <w:trPr>
          <w:trHeight w:val="161"/>
        </w:trPr>
        <w:tc>
          <w:tcPr>
            <w:tcW w:w="6874" w:type="dxa"/>
            <w:gridSpan w:val="3"/>
            <w:tcBorders>
              <w:top w:val="single" w:sz="5" w:space="0" w:color="DCDCDC"/>
              <w:left w:val="nil"/>
              <w:bottom w:val="nil"/>
              <w:right w:val="nil"/>
            </w:tcBorders>
          </w:tcPr>
          <w:p w:rsidR="002A1831" w:rsidRDefault="002A1831">
            <w:pPr>
              <w:spacing w:after="160" w:line="259" w:lineRule="auto"/>
              <w:ind w:left="0" w:firstLine="0"/>
            </w:pPr>
          </w:p>
        </w:tc>
        <w:tc>
          <w:tcPr>
            <w:tcW w:w="3705" w:type="dxa"/>
            <w:gridSpan w:val="3"/>
            <w:tcBorders>
              <w:top w:val="single" w:sz="5" w:space="0" w:color="DCDCDC"/>
              <w:left w:val="nil"/>
              <w:bottom w:val="nil"/>
              <w:right w:val="nil"/>
            </w:tcBorders>
          </w:tcPr>
          <w:p w:rsidR="002A1831" w:rsidRDefault="002A1831">
            <w:pPr>
              <w:spacing w:after="160" w:line="259" w:lineRule="auto"/>
              <w:ind w:left="0" w:firstLine="0"/>
            </w:pPr>
          </w:p>
        </w:tc>
      </w:tr>
      <w:tr w:rsidR="002A1831" w:rsidTr="00294B37">
        <w:trPr>
          <w:trHeight w:val="386"/>
        </w:trPr>
        <w:tc>
          <w:tcPr>
            <w:tcW w:w="6874" w:type="dxa"/>
            <w:gridSpan w:val="3"/>
            <w:tcBorders>
              <w:top w:val="nil"/>
              <w:left w:val="nil"/>
              <w:bottom w:val="nil"/>
              <w:right w:val="nil"/>
            </w:tcBorders>
            <w:shd w:val="clear" w:color="auto" w:fill="EE6B61"/>
          </w:tcPr>
          <w:p w:rsidR="002A1831" w:rsidRDefault="00294B37">
            <w:pPr>
              <w:spacing w:after="0" w:line="259" w:lineRule="auto"/>
              <w:ind w:left="0" w:firstLine="0"/>
            </w:pPr>
            <w:r>
              <w:rPr>
                <w:b/>
                <w:color w:val="F5F5F5"/>
                <w:sz w:val="26"/>
              </w:rPr>
              <w:t>Podílové fondy</w:t>
            </w:r>
          </w:p>
        </w:tc>
        <w:tc>
          <w:tcPr>
            <w:tcW w:w="3705" w:type="dxa"/>
            <w:gridSpan w:val="3"/>
            <w:tcBorders>
              <w:top w:val="nil"/>
              <w:left w:val="nil"/>
              <w:bottom w:val="nil"/>
              <w:right w:val="nil"/>
            </w:tcBorders>
            <w:shd w:val="clear" w:color="auto" w:fill="EE6B61"/>
          </w:tcPr>
          <w:p w:rsidR="002A1831" w:rsidRDefault="002A1831">
            <w:pPr>
              <w:spacing w:after="160" w:line="259" w:lineRule="auto"/>
              <w:ind w:left="0" w:firstLine="0"/>
            </w:pPr>
          </w:p>
        </w:tc>
      </w:tr>
      <w:tr w:rsidR="002A1831" w:rsidTr="00294B37">
        <w:trPr>
          <w:trHeight w:val="173"/>
        </w:trPr>
        <w:tc>
          <w:tcPr>
            <w:tcW w:w="6874" w:type="dxa"/>
            <w:gridSpan w:val="3"/>
            <w:tcBorders>
              <w:top w:val="nil"/>
              <w:left w:val="nil"/>
              <w:bottom w:val="nil"/>
              <w:right w:val="nil"/>
            </w:tcBorders>
          </w:tcPr>
          <w:p w:rsidR="002A1831" w:rsidRDefault="002A1831">
            <w:pPr>
              <w:spacing w:after="160" w:line="259" w:lineRule="auto"/>
              <w:ind w:left="0" w:firstLine="0"/>
            </w:pPr>
          </w:p>
        </w:tc>
        <w:tc>
          <w:tcPr>
            <w:tcW w:w="3705" w:type="dxa"/>
            <w:gridSpan w:val="3"/>
            <w:tcBorders>
              <w:top w:val="nil"/>
              <w:left w:val="nil"/>
              <w:bottom w:val="nil"/>
              <w:right w:val="nil"/>
            </w:tcBorders>
          </w:tcPr>
          <w:p w:rsidR="002A1831" w:rsidRDefault="002A1831">
            <w:pPr>
              <w:spacing w:after="160" w:line="259" w:lineRule="auto"/>
              <w:ind w:left="0" w:firstLine="0"/>
            </w:pPr>
          </w:p>
        </w:tc>
      </w:tr>
      <w:tr w:rsidR="002A1831" w:rsidTr="00294B37">
        <w:trPr>
          <w:trHeight w:val="334"/>
        </w:trPr>
        <w:tc>
          <w:tcPr>
            <w:tcW w:w="6874" w:type="dxa"/>
            <w:gridSpan w:val="3"/>
            <w:tcBorders>
              <w:top w:val="nil"/>
              <w:left w:val="nil"/>
              <w:bottom w:val="nil"/>
              <w:right w:val="nil"/>
            </w:tcBorders>
            <w:shd w:val="clear" w:color="auto" w:fill="C8C8C8"/>
          </w:tcPr>
          <w:p w:rsidR="002A1831" w:rsidRDefault="00294B37">
            <w:pPr>
              <w:spacing w:after="0" w:line="259" w:lineRule="auto"/>
              <w:ind w:left="0" w:firstLine="0"/>
            </w:pPr>
            <w:r>
              <w:rPr>
                <w:b/>
                <w:sz w:val="24"/>
              </w:rPr>
              <w:t>KB Fondy</w:t>
            </w:r>
          </w:p>
        </w:tc>
        <w:tc>
          <w:tcPr>
            <w:tcW w:w="3705" w:type="dxa"/>
            <w:gridSpan w:val="3"/>
            <w:tcBorders>
              <w:top w:val="nil"/>
              <w:left w:val="nil"/>
              <w:bottom w:val="nil"/>
              <w:right w:val="nil"/>
            </w:tcBorders>
            <w:shd w:val="clear" w:color="auto" w:fill="C8C8C8"/>
          </w:tcPr>
          <w:p w:rsidR="002A1831" w:rsidRDefault="002A1831">
            <w:pPr>
              <w:spacing w:after="160" w:line="259" w:lineRule="auto"/>
              <w:ind w:left="0" w:firstLine="0"/>
            </w:pPr>
          </w:p>
        </w:tc>
      </w:tr>
      <w:tr w:rsidR="002A1831" w:rsidTr="00294B37">
        <w:trPr>
          <w:trHeight w:val="173"/>
        </w:trPr>
        <w:tc>
          <w:tcPr>
            <w:tcW w:w="6874" w:type="dxa"/>
            <w:gridSpan w:val="3"/>
            <w:tcBorders>
              <w:top w:val="nil"/>
              <w:left w:val="nil"/>
              <w:bottom w:val="nil"/>
              <w:right w:val="nil"/>
            </w:tcBorders>
          </w:tcPr>
          <w:p w:rsidR="002A1831" w:rsidRDefault="002A1831">
            <w:pPr>
              <w:spacing w:after="160" w:line="259" w:lineRule="auto"/>
              <w:ind w:left="0" w:firstLine="0"/>
            </w:pPr>
          </w:p>
        </w:tc>
        <w:tc>
          <w:tcPr>
            <w:tcW w:w="3705" w:type="dxa"/>
            <w:gridSpan w:val="3"/>
            <w:tcBorders>
              <w:top w:val="nil"/>
              <w:left w:val="nil"/>
              <w:bottom w:val="nil"/>
              <w:right w:val="nil"/>
            </w:tcBorders>
          </w:tcPr>
          <w:p w:rsidR="002A1831" w:rsidRDefault="002A1831">
            <w:pPr>
              <w:spacing w:after="160" w:line="259" w:lineRule="auto"/>
              <w:ind w:left="0" w:firstLine="0"/>
            </w:pPr>
          </w:p>
        </w:tc>
      </w:tr>
      <w:tr w:rsidR="002A1831" w:rsidTr="00294B37">
        <w:trPr>
          <w:trHeight w:val="334"/>
        </w:trPr>
        <w:tc>
          <w:tcPr>
            <w:tcW w:w="6874" w:type="dxa"/>
            <w:gridSpan w:val="3"/>
            <w:tcBorders>
              <w:top w:val="nil"/>
              <w:left w:val="nil"/>
              <w:bottom w:val="nil"/>
              <w:right w:val="nil"/>
            </w:tcBorders>
            <w:shd w:val="clear" w:color="auto" w:fill="C8C8C8"/>
          </w:tcPr>
          <w:p w:rsidR="002A1831" w:rsidRDefault="00294B37">
            <w:pPr>
              <w:spacing w:after="0" w:line="259" w:lineRule="auto"/>
              <w:ind w:left="0" w:firstLine="0"/>
            </w:pPr>
            <w:r>
              <w:rPr>
                <w:b/>
                <w:sz w:val="24"/>
              </w:rPr>
              <w:t>Fondy Amundi CR</w:t>
            </w:r>
          </w:p>
        </w:tc>
        <w:tc>
          <w:tcPr>
            <w:tcW w:w="3705" w:type="dxa"/>
            <w:gridSpan w:val="3"/>
            <w:tcBorders>
              <w:top w:val="nil"/>
              <w:left w:val="nil"/>
              <w:bottom w:val="nil"/>
              <w:right w:val="nil"/>
            </w:tcBorders>
            <w:shd w:val="clear" w:color="auto" w:fill="C8C8C8"/>
          </w:tcPr>
          <w:p w:rsidR="002A1831" w:rsidRDefault="002A1831">
            <w:pPr>
              <w:spacing w:after="160" w:line="259" w:lineRule="auto"/>
              <w:ind w:left="0" w:firstLine="0"/>
            </w:pPr>
          </w:p>
        </w:tc>
      </w:tr>
      <w:tr w:rsidR="002A1831" w:rsidTr="00294B37">
        <w:trPr>
          <w:trHeight w:val="173"/>
        </w:trPr>
        <w:tc>
          <w:tcPr>
            <w:tcW w:w="6874" w:type="dxa"/>
            <w:gridSpan w:val="3"/>
            <w:tcBorders>
              <w:top w:val="nil"/>
              <w:left w:val="nil"/>
              <w:bottom w:val="nil"/>
              <w:right w:val="nil"/>
            </w:tcBorders>
          </w:tcPr>
          <w:p w:rsidR="002A1831" w:rsidRDefault="002A1831">
            <w:pPr>
              <w:spacing w:after="160" w:line="259" w:lineRule="auto"/>
              <w:ind w:left="0" w:firstLine="0"/>
            </w:pPr>
          </w:p>
        </w:tc>
        <w:tc>
          <w:tcPr>
            <w:tcW w:w="3705" w:type="dxa"/>
            <w:gridSpan w:val="3"/>
            <w:tcBorders>
              <w:top w:val="nil"/>
              <w:left w:val="nil"/>
              <w:bottom w:val="nil"/>
              <w:right w:val="nil"/>
            </w:tcBorders>
          </w:tcPr>
          <w:p w:rsidR="002A1831" w:rsidRDefault="002A1831">
            <w:pPr>
              <w:spacing w:after="160" w:line="259" w:lineRule="auto"/>
              <w:ind w:left="0" w:firstLine="0"/>
            </w:pPr>
          </w:p>
        </w:tc>
      </w:tr>
      <w:tr w:rsidR="002A1831" w:rsidTr="00294B37">
        <w:trPr>
          <w:trHeight w:val="334"/>
        </w:trPr>
        <w:tc>
          <w:tcPr>
            <w:tcW w:w="6874" w:type="dxa"/>
            <w:gridSpan w:val="3"/>
            <w:tcBorders>
              <w:top w:val="nil"/>
              <w:left w:val="nil"/>
              <w:bottom w:val="nil"/>
              <w:right w:val="nil"/>
            </w:tcBorders>
            <w:shd w:val="clear" w:color="auto" w:fill="C8C8C8"/>
          </w:tcPr>
          <w:p w:rsidR="002A1831" w:rsidRDefault="00294B37">
            <w:pPr>
              <w:spacing w:after="0" w:line="259" w:lineRule="auto"/>
              <w:ind w:left="0" w:firstLine="0"/>
            </w:pPr>
            <w:r>
              <w:rPr>
                <w:b/>
                <w:sz w:val="24"/>
              </w:rPr>
              <w:t>Fondy AMUNDI</w:t>
            </w:r>
          </w:p>
        </w:tc>
        <w:tc>
          <w:tcPr>
            <w:tcW w:w="3705" w:type="dxa"/>
            <w:gridSpan w:val="3"/>
            <w:tcBorders>
              <w:top w:val="nil"/>
              <w:left w:val="nil"/>
              <w:bottom w:val="nil"/>
              <w:right w:val="nil"/>
            </w:tcBorders>
            <w:shd w:val="clear" w:color="auto" w:fill="C8C8C8"/>
          </w:tcPr>
          <w:p w:rsidR="002A1831" w:rsidRDefault="002A1831">
            <w:pPr>
              <w:spacing w:after="160" w:line="259" w:lineRule="auto"/>
              <w:ind w:left="0" w:firstLine="0"/>
            </w:pPr>
          </w:p>
        </w:tc>
      </w:tr>
    </w:tbl>
    <w:p w:rsidR="002A1831" w:rsidRDefault="00294B37">
      <w:pPr>
        <w:spacing w:after="75" w:line="259" w:lineRule="auto"/>
        <w:ind w:left="-5"/>
      </w:pPr>
      <w:r>
        <w:rPr>
          <w:sz w:val="17"/>
        </w:rPr>
        <w:t>Poplatky na které se odkazuje tato část Sazebníku jsou účtované společností Amundi Czech Republic, investiční společnost, a.s., skupinou Amundi, případně jinou investiční společností u kterých KB zprostředkovává prodej. Cena za tyto služby se vybírá na zák</w:t>
      </w:r>
      <w:r>
        <w:rPr>
          <w:sz w:val="17"/>
        </w:rPr>
        <w:t>ladě dohody o ceně. Výše aktuálních sazeb poplatků je dostupná v Ceníku pro daný typ fondu zveřejňovaném na internetové adrese www.amundi-cr.cz.</w:t>
      </w:r>
    </w:p>
    <w:p w:rsidR="002A1831" w:rsidRDefault="00294B37">
      <w:pPr>
        <w:spacing w:after="75" w:line="259" w:lineRule="auto"/>
        <w:ind w:left="-5"/>
      </w:pPr>
      <w:r>
        <w:rPr>
          <w:sz w:val="17"/>
        </w:rPr>
        <w:t>Poplatek za obhospodařování podílových fondů a ostatní poplatky placené jednotlivým investičním společnostem se</w:t>
      </w:r>
      <w:r>
        <w:rPr>
          <w:sz w:val="17"/>
        </w:rPr>
        <w:t xml:space="preserv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w:t>
      </w:r>
      <w:r>
        <w:rPr>
          <w:sz w:val="17"/>
        </w:rPr>
        <w:t xml:space="preserve">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w:t>
      </w:r>
      <w:r>
        <w:rPr>
          <w:sz w:val="17"/>
        </w:rPr>
        <w:t>a podáním příslušného pokynu investor potvrzuje, že byl o této skutečnosti KB řádně informován.</w:t>
      </w:r>
    </w:p>
    <w:p w:rsidR="002A1831" w:rsidRDefault="00294B37">
      <w:pPr>
        <w:spacing w:after="0" w:line="259" w:lineRule="auto"/>
        <w:ind w:left="0" w:firstLine="0"/>
      </w:pPr>
      <w:r>
        <w:rPr>
          <w:sz w:val="17"/>
        </w:rPr>
        <w:t xml:space="preserve"> </w:t>
      </w:r>
    </w:p>
    <w:p w:rsidR="002A1831" w:rsidRDefault="00294B37">
      <w:pPr>
        <w:pStyle w:val="Nadpis3"/>
        <w:spacing w:after="188"/>
        <w:ind w:left="151"/>
      </w:pPr>
      <w:r>
        <w:t>Investiční bankovnictví</w:t>
      </w:r>
    </w:p>
    <w:p w:rsidR="002A1831" w:rsidRDefault="00294B37">
      <w:pPr>
        <w:pStyle w:val="Nadpis4"/>
        <w:ind w:left="151"/>
      </w:pPr>
      <w:r>
        <w:t>Obchody s Cennými papíry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gridCol w:w="1"/>
      </w:tblGrid>
      <w:tr w:rsidR="002A1831" w:rsidTr="00294B37">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Administrativní poplatky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za každý započatý měsíc trvání smlouvy 30</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 pojistné</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podání Pokynu na změnu cenového limitu (za každý ISIN)</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podání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podání Pokynu k převodu Cenných papírů</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podání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Výplata dividend a úroků z Cenných papírů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Výplata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0,90 %, min. 100</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600 + 0,30 %</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1 900 + 0,17 %</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2 100 + 0,16 %</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3 300 + 0,14 %</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gridAfter w:val="1"/>
          <w:trHeight w:val="300"/>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gridAfter w:val="1"/>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Mimoburzovní obchody s dluhopisy a primární emise - objem v nominální hodnotě (bez AÚV)</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755" w:firstLine="0"/>
              <w:jc w:val="center"/>
            </w:pPr>
            <w:r>
              <w:rPr>
                <w:sz w:val="17"/>
              </w:rPr>
              <w:t>1 700 + 0,10 %, min. 2 700</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758" w:firstLine="0"/>
              <w:jc w:val="center"/>
            </w:pPr>
            <w:r>
              <w:rPr>
                <w:sz w:val="17"/>
              </w:rPr>
              <w:t>4 200 + 0,05 %</w:t>
            </w:r>
          </w:p>
        </w:tc>
      </w:tr>
      <w:tr w:rsidR="002A1831" w:rsidTr="00294B37">
        <w:trPr>
          <w:gridAfter w:val="1"/>
          <w:trHeight w:val="472"/>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2A1831" w:rsidTr="00294B37">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Primární úpis akcií</w:t>
            </w:r>
          </w:p>
        </w:tc>
      </w:tr>
      <w:tr w:rsidR="002A1831" w:rsidTr="00294B37">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Poplatky za primární úpis akcií Banka stanoví vždy na individuální bází a oznámí před úpisem.</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500</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Vypořádání přechodu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účtu Klienta z nezařazené evidence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r w:rsidR="002A1831" w:rsidTr="00294B37">
        <w:trPr>
          <w:gridAfter w:val="1"/>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jednotlivého Cenného papíru evidovaného na účtu Klienta v nezařazené evidenci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300</w:t>
            </w:r>
          </w:p>
        </w:tc>
      </w:tr>
      <w:tr w:rsidR="002A1831" w:rsidTr="00294B37">
        <w:trPr>
          <w:gridAfter w:val="1"/>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mezi dvěma účty vedenými Bankou v samostatné nebo navazující evidenci (za každý ISIN)</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bl>
    <w:p w:rsidR="002A1831" w:rsidRDefault="00294B37">
      <w:pPr>
        <w:shd w:val="clear" w:color="auto" w:fill="DCDADA"/>
        <w:spacing w:after="0" w:line="259" w:lineRule="auto"/>
        <w:ind w:left="156" w:firstLine="0"/>
      </w:pPr>
      <w:r>
        <w:rPr>
          <w:b/>
          <w:sz w:val="22"/>
        </w:rPr>
        <w:t>Správa Cenných papírů</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Dluhopisy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Měsíčně dle denních stavů</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nominálních hodnot 0 - 10 000 000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0,05 % p.a.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nominálních hodnot nad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0,04 % p.a.</w:t>
            </w:r>
          </w:p>
        </w:tc>
      </w:tr>
    </w:tbl>
    <w:p w:rsidR="002A1831" w:rsidRDefault="00294B37">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Obchodovatelné akcie a jiné majetkové Cenné papíry na BCPP</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Měsíčně dle denních stavů</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tržních hodnot 0 - 3 000 000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0,06 % p.a.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tržních hodnot mezi 3 000 001 a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0,05 % p.a.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tržních hodnot nad 10 000 001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0,04 % p.a.</w:t>
            </w:r>
          </w:p>
        </w:tc>
      </w:tr>
    </w:tbl>
    <w:p w:rsidR="002A1831" w:rsidRDefault="00294B37">
      <w:pPr>
        <w:ind w:left="53" w:right="4"/>
      </w:pPr>
      <w:r>
        <w:t xml:space="preserve">1) </w:t>
      </w:r>
      <w:r>
        <w:t>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Neobchodovatelné akcie a jiné majetkové Cenné papíry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Měsíčně dle denních stavů</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nominálních hodnot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0,10 % p.a.</w:t>
            </w:r>
          </w:p>
        </w:tc>
      </w:tr>
      <w:tr w:rsidR="002A1831" w:rsidTr="00294B37">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17"/>
              </w:rPr>
              <w:t>Minimální měsíční poplatek za poskytování Správy Cenných papírů je 15 Kč.</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bl>
    <w:p w:rsidR="002A1831" w:rsidRDefault="00294B37">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0" w:type="dxa"/>
          <w:bottom w:w="0" w:type="dxa"/>
          <w:right w:w="42"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jc w:val="right"/>
            </w:pPr>
            <w:r>
              <w:rPr>
                <w:b/>
                <w:sz w:val="20"/>
              </w:rPr>
              <w:t>Zástavy Cenných papírů / Pozastavení výkonu práva vlastníka nakládat s investičním nástroje</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94B37">
            <w:pPr>
              <w:spacing w:after="0" w:line="259" w:lineRule="auto"/>
              <w:ind w:left="-40" w:firstLine="0"/>
            </w:pPr>
            <w:r>
              <w:rPr>
                <w:b/>
                <w:sz w:val="20"/>
              </w:rPr>
              <w:t>m</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Zápis/změna zápisu zástavního práva / PPN, kde věřitelem je Banka / pro Banku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1"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 xml:space="preserve">Zápis/změna zápisu zástavního práva / PPN, kde věřitelem / příkazcem není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7" w:firstLine="0"/>
              <w:jc w:val="center"/>
            </w:pPr>
            <w:r>
              <w:rPr>
                <w:sz w:val="17"/>
              </w:rPr>
              <w:t>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Zápis zániku zástavního práva / PPN, kde věřitelem / příkazcem byla Banka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1"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 xml:space="preserve">Zápis zániku zástavního práva / PPN, kde věřitelem / příkazcem nebyla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7" w:firstLine="0"/>
              <w:jc w:val="center"/>
            </w:pPr>
            <w:r>
              <w:rPr>
                <w:sz w:val="17"/>
              </w:rPr>
              <w:t>500</w:t>
            </w:r>
          </w:p>
        </w:tc>
      </w:tr>
    </w:tbl>
    <w:p w:rsidR="002A1831" w:rsidRDefault="00294B37">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Výpis vlastnictví z centrální evidence vedené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150</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bl>
    <w:p w:rsidR="002A1831" w:rsidRDefault="00294B37">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Ostatní služby vyžadující komunikaci s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cena sjednávaná 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1 500 Kč + poplatky placené třetím stranám</w:t>
            </w:r>
          </w:p>
        </w:tc>
      </w:tr>
    </w:tbl>
    <w:p w:rsidR="002A1831" w:rsidRDefault="00294B37">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0" w:firstLine="0"/>
              <w:jc w:val="center"/>
            </w:pPr>
            <w:r>
              <w:rPr>
                <w:sz w:val="17"/>
              </w:rPr>
              <w:t xml:space="preserve">odměna CDCP + 5 000 </w:t>
            </w:r>
            <w:r>
              <w:rPr>
                <w:sz w:val="23"/>
                <w:vertAlign w:val="superscript"/>
              </w:rPr>
              <w:t>2)</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0" w:firstLine="0"/>
              <w:jc w:val="center"/>
            </w:pPr>
            <w:r>
              <w:rPr>
                <w:sz w:val="17"/>
              </w:rPr>
              <w:t xml:space="preserve">odměna CDCP + 7 000 </w:t>
            </w:r>
            <w:r>
              <w:rPr>
                <w:sz w:val="23"/>
                <w:vertAlign w:val="superscript"/>
              </w:rPr>
              <w:t>2)</w:t>
            </w:r>
          </w:p>
        </w:tc>
      </w:tr>
    </w:tbl>
    <w:p w:rsidR="002A1831" w:rsidRDefault="00294B37">
      <w:pPr>
        <w:ind w:left="53" w:right="5519"/>
      </w:pPr>
      <w:r>
        <w:t>1) Uvedené ceny nezahrnují DPH, která bude v případě uplatnění připočtena v příslušné výši. 2) Odměna CDCP je stanovena sazebníkem CDCP a přefakturována Klientovi.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10580"/>
      </w:tblGrid>
      <w:tr w:rsidR="002A1831" w:rsidTr="00294B37">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Produkty finančního trhu</w:t>
            </w:r>
          </w:p>
        </w:tc>
      </w:tr>
      <w:tr w:rsidR="002A1831" w:rsidTr="00294B37">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Ceny se stanoví individuálně, a to samostatnou smlouvou pro každý obchodní případ</w:t>
            </w:r>
          </w:p>
        </w:tc>
      </w:tr>
    </w:tbl>
    <w:p w:rsidR="002A1831" w:rsidRDefault="002A1831">
      <w:pPr>
        <w:sectPr w:rsidR="002A1831">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0" w:h="16840"/>
          <w:pgMar w:top="1136" w:right="709" w:bottom="1392" w:left="661" w:header="384" w:footer="315" w:gutter="0"/>
          <w:cols w:space="708"/>
          <w:formProt w:val="0"/>
        </w:sectPr>
      </w:pPr>
    </w:p>
    <w:tbl>
      <w:tblPr>
        <w:tblStyle w:val="TableGrid"/>
        <w:tblpPr w:vertAnchor="page" w:horzAnchor="page" w:tblpX="661" w:tblpY="14568"/>
        <w:tblOverlap w:val="never"/>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472"/>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center"/>
            </w:pPr>
            <w:r>
              <w:rPr>
                <w:sz w:val="17"/>
              </w:rPr>
              <w:t>za první účet 1 500 + 200 za každý další depozitní či úvěrový účet + 21 % DPH</w:t>
            </w:r>
          </w:p>
        </w:tc>
      </w:tr>
    </w:tbl>
    <w:p w:rsidR="002A1831" w:rsidRDefault="00294B37">
      <w:pPr>
        <w:pStyle w:val="Nadpis2"/>
        <w:ind w:left="-5"/>
      </w:pPr>
      <w:r>
        <w:t>OSTATNÍ SLUŽBY</w:t>
      </w:r>
    </w:p>
    <w:tbl>
      <w:tblPr>
        <w:tblStyle w:val="TableGrid"/>
        <w:tblW w:w="10580" w:type="dxa"/>
        <w:tblInd w:w="0" w:type="dxa"/>
        <w:tblLayout w:type="fixed"/>
        <w:tblCellMar>
          <w:top w:w="69" w:type="dxa"/>
          <w:left w:w="161" w:type="dxa"/>
          <w:bottom w:w="0" w:type="dxa"/>
          <w:right w:w="79" w:type="dxa"/>
        </w:tblCellMar>
        <w:tblLook w:val="04A0" w:firstRow="1" w:lastRow="0" w:firstColumn="1" w:lastColumn="0" w:noHBand="0" w:noVBand="1"/>
      </w:tblPr>
      <w:tblGrid>
        <w:gridCol w:w="3699"/>
        <w:gridCol w:w="1717"/>
        <w:gridCol w:w="1458"/>
        <w:gridCol w:w="259"/>
        <w:gridCol w:w="1723"/>
        <w:gridCol w:w="1723"/>
      </w:tblGrid>
      <w:tr w:rsidR="002A1831" w:rsidTr="00294B37">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Šeky</w:t>
            </w:r>
          </w:p>
        </w:tc>
      </w:tr>
      <w:tr w:rsidR="002A1831" w:rsidTr="00294B37">
        <w:trPr>
          <w:trHeight w:val="715"/>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6" w:firstLine="0"/>
              <w:jc w:val="center"/>
            </w:pPr>
            <w:r>
              <w:rPr>
                <w:sz w:val="20"/>
              </w:rPr>
              <w:t>Soukromý šek KB</w:t>
            </w: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6" w:firstLine="0"/>
              <w:jc w:val="center"/>
            </w:pPr>
            <w:r>
              <w:rPr>
                <w:sz w:val="20"/>
              </w:rPr>
              <w:t>Bankovní šek KB</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5" w:right="2" w:firstLine="0"/>
              <w:jc w:val="center"/>
            </w:pPr>
            <w:r>
              <w:rPr>
                <w:sz w:val="20"/>
              </w:rPr>
              <w:t>Zahraniční šeky a tuzemské šeky splatné u jiných bank</w:t>
            </w:r>
          </w:p>
        </w:tc>
        <w:tc>
          <w:tcPr>
            <w:tcW w:w="1723"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3" w:firstLine="0"/>
              <w:jc w:val="center"/>
            </w:pPr>
            <w:r>
              <w:rPr>
                <w:sz w:val="20"/>
              </w:rPr>
              <w:t>Loro a Nostro šeky</w:t>
            </w:r>
          </w:p>
        </w:tc>
      </w:tr>
      <w:tr w:rsidR="002A1831" w:rsidTr="00294B37">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Vystavení a zaslání šeku</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Vystavení šeku z účtu vedeného u KB</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5</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Zaslání šeku poštou</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150</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Vyzvednutí šeku na pobočce</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300</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r>
      <w:tr w:rsidR="002A1831" w:rsidTr="00294B37">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Proplacení šeku</w:t>
            </w:r>
          </w:p>
        </w:tc>
      </w:tr>
      <w:tr w:rsidR="002A1831" w:rsidTr="00294B37">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33" w:right="12" w:firstLine="0"/>
              <w:jc w:val="both"/>
            </w:pPr>
            <w:r>
              <w:rPr>
                <w:sz w:val="20"/>
              </w:rPr>
              <w:t>Proplacení hodnoty šeku po inkase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200 pro šeky do 20 tis.</w:t>
            </w:r>
          </w:p>
          <w:p w:rsidR="002A1831" w:rsidRDefault="00294B37">
            <w:pPr>
              <w:spacing w:after="0" w:line="259" w:lineRule="auto"/>
              <w:ind w:left="0" w:right="17" w:firstLine="0"/>
              <w:jc w:val="center"/>
            </w:pPr>
            <w:r>
              <w:rPr>
                <w:sz w:val="17"/>
              </w:rPr>
              <w:t xml:space="preserve">Kč, </w:t>
            </w:r>
          </w:p>
          <w:p w:rsidR="002A1831" w:rsidRDefault="00294B37">
            <w:pPr>
              <w:spacing w:after="0" w:line="259" w:lineRule="auto"/>
              <w:ind w:left="15" w:firstLine="0"/>
              <w:jc w:val="center"/>
            </w:pPr>
            <w:r>
              <w:rPr>
                <w:sz w:val="17"/>
              </w:rPr>
              <w:t>1 % pro šeky nad 20 tis.</w:t>
            </w:r>
          </w:p>
          <w:p w:rsidR="002A1831" w:rsidRDefault="00294B37">
            <w:pPr>
              <w:spacing w:after="0" w:line="259" w:lineRule="auto"/>
              <w:ind w:left="18" w:firstLine="0"/>
              <w:jc w:val="center"/>
            </w:pPr>
            <w:r>
              <w:rPr>
                <w:sz w:val="17"/>
              </w:rPr>
              <w:t>Kč</w:t>
            </w:r>
          </w:p>
          <w:p w:rsidR="002A1831" w:rsidRDefault="00294B37">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r>
      <w:tr w:rsidR="002A1831" w:rsidTr="00294B37">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99" w:firstLine="0"/>
              <w:jc w:val="center"/>
            </w:pPr>
            <w:r>
              <w:rPr>
                <w:sz w:val="20"/>
              </w:rPr>
              <w:t>Okamžité proplacení šeku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7" w:firstLine="0"/>
              <w:jc w:val="center"/>
            </w:pPr>
            <w:r>
              <w:rPr>
                <w:sz w:val="17"/>
              </w:rPr>
              <w:t>zdarma</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7" w:firstLine="0"/>
              <w:jc w:val="center"/>
            </w:pPr>
            <w:r>
              <w:rPr>
                <w:sz w:val="17"/>
              </w:rPr>
              <w:t>zdarma</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500 pro šeky do 25 tis.</w:t>
            </w:r>
          </w:p>
          <w:p w:rsidR="002A1831" w:rsidRDefault="00294B37">
            <w:pPr>
              <w:spacing w:after="0" w:line="259" w:lineRule="auto"/>
              <w:ind w:left="0" w:right="17" w:firstLine="0"/>
              <w:jc w:val="center"/>
            </w:pPr>
            <w:r>
              <w:rPr>
                <w:sz w:val="17"/>
              </w:rPr>
              <w:t xml:space="preserve">Kč, </w:t>
            </w:r>
          </w:p>
          <w:p w:rsidR="002A1831" w:rsidRDefault="00294B37">
            <w:pPr>
              <w:spacing w:after="0" w:line="259" w:lineRule="auto"/>
              <w:ind w:left="15" w:firstLine="0"/>
              <w:jc w:val="center"/>
            </w:pPr>
            <w:r>
              <w:rPr>
                <w:sz w:val="17"/>
              </w:rPr>
              <w:t>2% pro šeky nad 25 tis.</w:t>
            </w:r>
          </w:p>
          <w:p w:rsidR="002A1831" w:rsidRDefault="00294B37">
            <w:pPr>
              <w:spacing w:after="0" w:line="259" w:lineRule="auto"/>
              <w:ind w:left="0" w:right="16" w:firstLine="0"/>
              <w:jc w:val="center"/>
            </w:pPr>
            <w:r>
              <w:rPr>
                <w:sz w:val="17"/>
              </w:rPr>
              <w:t xml:space="preserve">Kč </w:t>
            </w:r>
          </w:p>
          <w:p w:rsidR="002A1831" w:rsidRDefault="00294B37">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7" w:firstLine="0"/>
              <w:jc w:val="center"/>
            </w:pPr>
            <w:r>
              <w:rPr>
                <w:sz w:val="17"/>
              </w:rPr>
              <w:t>zdarma</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Okamžité proplacení šeku z titulu sociálního platu na účet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3" w:firstLine="0"/>
              <w:jc w:val="center"/>
            </w:pPr>
            <w:r>
              <w:rPr>
                <w:sz w:val="17"/>
              </w:rPr>
              <w:t>100</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r>
      <w:tr w:rsidR="002A1831" w:rsidTr="00294B37">
        <w:trPr>
          <w:trHeight w:val="346"/>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Proplacení šeku v hotovosti </w:t>
            </w:r>
            <w:r>
              <w:rPr>
                <w:sz w:val="25"/>
                <w:vertAlign w:val="superscript"/>
              </w:rPr>
              <w:footnoteReference w:id="4"/>
            </w:r>
            <w:r>
              <w:rPr>
                <w:sz w:val="25"/>
                <w:vertAlign w:val="superscript"/>
              </w:rPr>
              <w:t>)</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400</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400</w:t>
            </w:r>
          </w:p>
        </w:tc>
      </w:tr>
      <w:tr w:rsidR="002A1831" w:rsidTr="00294B37">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Ostatní operace se šeky</w:t>
            </w:r>
          </w:p>
        </w:tc>
      </w:tr>
      <w:tr w:rsidR="002A1831" w:rsidTr="00294B37">
        <w:trPr>
          <w:trHeight w:val="715"/>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Uzavření dohody o čerpání hotovosti krátkou cestou z účtu vedeného KB - cena za jedno vyplácející obchodní místo KB</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3" w:firstLine="0"/>
              <w:jc w:val="center"/>
            </w:pPr>
            <w:r>
              <w:rPr>
                <w:sz w:val="17"/>
              </w:rPr>
              <w:t>80</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Inkaso soukromého šeku ze zahraničí</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750</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Blokace, odvolání šeku, jejich zrušení nebo vrácení</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 w:firstLine="0"/>
              <w:jc w:val="center"/>
            </w:pPr>
            <w:r>
              <w:rPr>
                <w:sz w:val="17"/>
              </w:rPr>
              <w:t xml:space="preserve">200 za každou žádost </w:t>
            </w:r>
            <w:r>
              <w:rPr>
                <w:sz w:val="23"/>
                <w:vertAlign w:val="superscript"/>
              </w:rPr>
              <w:t>3)</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 w:firstLine="0"/>
              <w:jc w:val="center"/>
            </w:pPr>
            <w:r>
              <w:rPr>
                <w:sz w:val="17"/>
              </w:rPr>
              <w:t xml:space="preserve">200  za každou žádost </w:t>
            </w:r>
            <w:r>
              <w:rPr>
                <w:sz w:val="23"/>
                <w:vertAlign w:val="superscript"/>
              </w:rPr>
              <w:footnoteReference w:id="5"/>
            </w:r>
            <w:r>
              <w:rPr>
                <w:sz w:val="23"/>
                <w:vertAlign w:val="superscript"/>
              </w:rPr>
              <w:footnoteReference w:id="6"/>
            </w:r>
            <w:r>
              <w:rPr>
                <w:sz w:val="23"/>
                <w:vertAlign w:val="superscript"/>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Zpracování neproplaceného šeku nebo ověření šeku</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3" w:firstLine="0"/>
              <w:jc w:val="center"/>
            </w:pPr>
            <w:r>
              <w:rPr>
                <w:sz w:val="17"/>
              </w:rPr>
              <w:t>250</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r>
      <w:tr w:rsidR="002A1831" w:rsidTr="00294B37">
        <w:trPr>
          <w:trHeight w:val="47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r w:rsidR="002A1831" w:rsidTr="00294B37">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Poskytnutí bankovní informace o klientovi KB</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Základní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500 + 21 % DPH</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Rozšířená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1 000 + 21 % DPH</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Vystavení bankovní reference o klientovi KB v ČJ nebo AJ</w:t>
            </w:r>
          </w:p>
        </w:tc>
        <w:tc>
          <w:tcPr>
            <w:tcW w:w="37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500 + 21 % DPH</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bankovní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8" w:firstLine="0"/>
              <w:jc w:val="center"/>
            </w:pPr>
            <w:r>
              <w:rPr>
                <w:sz w:val="17"/>
              </w:rPr>
              <w:t xml:space="preserve">500 + náklady banky + 21 % DPH </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kreditní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100  + náklady agentury + 21 % DPH</w:t>
            </w:r>
          </w:p>
        </w:tc>
      </w:tr>
      <w:tr w:rsidR="002A1831" w:rsidTr="00294B37">
        <w:trPr>
          <w:trHeight w:val="519"/>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250 + 21 % DPH</w:t>
            </w:r>
          </w:p>
        </w:tc>
      </w:tr>
      <w:tr w:rsidR="002A1831" w:rsidTr="00294B37">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V případě, že žadatel požaduje informace o více subjektech, bude poplatek účtován za každou informaci, která se vztahuje k danému subjektu.</w:t>
            </w:r>
          </w:p>
        </w:tc>
      </w:tr>
    </w:tbl>
    <w:tbl>
      <w:tblPr>
        <w:tblStyle w:val="TableGrid"/>
        <w:tblpPr w:vertAnchor="page" w:horzAnchor="page" w:tblpX="661" w:tblpY="12384"/>
        <w:tblOverlap w:val="never"/>
        <w:tblW w:w="10580" w:type="dxa"/>
        <w:tblInd w:w="0" w:type="dxa"/>
        <w:tblLayout w:type="fixed"/>
        <w:tblCellMar>
          <w:top w:w="69" w:type="dxa"/>
          <w:left w:w="161" w:type="dxa"/>
          <w:bottom w:w="0" w:type="dxa"/>
          <w:right w:w="206"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Umoření ztracené, zničené nebo odcizené listiny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Listina umořovaná soudem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0" w:firstLine="0"/>
              <w:jc w:val="center"/>
            </w:pPr>
            <w:r>
              <w:rPr>
                <w:sz w:val="17"/>
              </w:rPr>
              <w:t>150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Listina umořovaná bankou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0" w:firstLine="0"/>
              <w:jc w:val="center"/>
            </w:pPr>
            <w:r>
              <w:rPr>
                <w:sz w:val="17"/>
              </w:rPr>
              <w:t>200</w:t>
            </w:r>
          </w:p>
        </w:tc>
      </w:tr>
      <w:tr w:rsidR="002A1831" w:rsidTr="00294B37">
        <w:trPr>
          <w:trHeight w:val="715"/>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40" w:firstLine="0"/>
              <w:jc w:val="center"/>
            </w:pPr>
            <w:r>
              <w:rPr>
                <w:sz w:val="17"/>
              </w:rPr>
              <w:t>150</w:t>
            </w:r>
          </w:p>
        </w:tc>
      </w:tr>
      <w:tr w:rsidR="002A1831" w:rsidTr="00294B37">
        <w:trPr>
          <w:trHeight w:val="715"/>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40" w:firstLine="0"/>
              <w:jc w:val="center"/>
            </w:pPr>
            <w:r>
              <w:rPr>
                <w:sz w:val="17"/>
              </w:rPr>
              <w:t>200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Konzultace - za každou i započa</w:t>
            </w:r>
            <w:r>
              <w:rPr>
                <w:sz w:val="20"/>
              </w:rPr>
              <w:t>tou hodinu práce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4" w:firstLine="0"/>
              <w:jc w:val="center"/>
            </w:pPr>
            <w:r>
              <w:rPr>
                <w:sz w:val="17"/>
              </w:rPr>
              <w:t>+ 21 % DPH</w:t>
            </w:r>
          </w:p>
        </w:tc>
      </w:tr>
    </w:tbl>
    <w:p w:rsidR="002A1831" w:rsidRDefault="00294B37">
      <w:pPr>
        <w:pStyle w:val="Nadpis3"/>
        <w:ind w:left="151"/>
      </w:pPr>
      <w:r>
        <w:t>Ostatní služby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Uložení, úschovy, pronájmy a používání nočního trezoru a bezpečnostní schránky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jednotlivý odvedený vratný obal nebo předem poskytnutý nevratný obal klientům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Pronájem bezpečnostní schránky (ročně) - pro klienty Skupiny KB</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1 020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2 040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3 060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w:t>
            </w:r>
            <w:r>
              <w:rPr>
                <w:sz w:val="20"/>
              </w:rPr>
              <w:t>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4 080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3 060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6 120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9 180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12 240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sml</w:t>
            </w:r>
            <w:r>
              <w:rPr>
                <w:sz w:val="17"/>
              </w:rPr>
              <w:t>uvní ceny + 21 % DPH</w:t>
            </w:r>
          </w:p>
        </w:tc>
      </w:tr>
      <w:tr w:rsidR="002A1831" w:rsidTr="00294B37">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Pronájem bezpečnostní schránky (ročně) - pro klienty, kteří nevyužívají žádnou další službu v rámci Skupiny KB</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1 400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2 700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4 000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w:t>
            </w:r>
            <w:r>
              <w:rPr>
                <w:sz w:val="20"/>
              </w:rPr>
              <w:t>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5 400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3 990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7 990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11 990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15 990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smluvní ceny + 21 % DPH</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Telekomunikační služby v souvislosti s bankovními informacemi</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150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zprávu podanou telefonem - za 1 min.</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zprávu podanou e-mailem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bl>
    <w:p w:rsidR="002A1831" w:rsidRDefault="00294B37">
      <w:pPr>
        <w:pStyle w:val="Nadpis4"/>
        <w:ind w:left="151"/>
      </w:pPr>
      <w:r>
        <w:t>Ostatní služby</w:t>
      </w:r>
    </w:p>
    <w:tbl>
      <w:tblPr>
        <w:tblStyle w:val="TableGrid"/>
        <w:tblW w:w="10580" w:type="dxa"/>
        <w:tblInd w:w="0" w:type="dxa"/>
        <w:tblLayout w:type="fixed"/>
        <w:tblCellMar>
          <w:top w:w="69" w:type="dxa"/>
          <w:left w:w="0" w:type="dxa"/>
          <w:bottom w:w="0" w:type="dxa"/>
          <w:right w:w="115" w:type="dxa"/>
        </w:tblCellMar>
        <w:tblLook w:val="04A0" w:firstRow="1" w:lastRow="0" w:firstColumn="1" w:lastColumn="0" w:noHBand="0" w:noVBand="1"/>
      </w:tblPr>
      <w:tblGrid>
        <w:gridCol w:w="6874"/>
        <w:gridCol w:w="1464"/>
        <w:gridCol w:w="2242"/>
      </w:tblGrid>
      <w:tr w:rsidR="002A1831" w:rsidTr="00294B37">
        <w:trPr>
          <w:trHeight w:val="346"/>
        </w:trPr>
        <w:tc>
          <w:tcPr>
            <w:tcW w:w="8338"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 xml:space="preserve">Ostatní služby v Sazebníku konkrétně neuvedené paušální sazba za 15 min. práce (i započatých) </w:t>
            </w:r>
            <w:r>
              <w:rPr>
                <w:b/>
                <w:sz w:val="25"/>
                <w:vertAlign w:val="superscript"/>
              </w:rPr>
              <w:t>1)</w:t>
            </w:r>
          </w:p>
        </w:tc>
        <w:tc>
          <w:tcPr>
            <w:tcW w:w="2242"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Nepodléhající DPH</w:t>
            </w:r>
          </w:p>
        </w:tc>
        <w:tc>
          <w:tcPr>
            <w:tcW w:w="1464"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2A1831" w:rsidRDefault="00294B37">
            <w:pPr>
              <w:spacing w:after="0" w:line="259" w:lineRule="auto"/>
              <w:ind w:left="363" w:firstLine="0"/>
            </w:pPr>
            <w:r>
              <w:rPr>
                <w:sz w:val="17"/>
              </w:rPr>
              <w:t>75</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Podléhající DPH</w:t>
            </w:r>
          </w:p>
        </w:tc>
        <w:tc>
          <w:tcPr>
            <w:tcW w:w="1464"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2A1831" w:rsidRDefault="00294B37">
            <w:pPr>
              <w:spacing w:after="0" w:line="259" w:lineRule="auto"/>
              <w:ind w:left="0" w:firstLine="0"/>
            </w:pPr>
            <w:r>
              <w:rPr>
                <w:sz w:val="17"/>
              </w:rPr>
              <w:t>75 + 21 % DPH</w:t>
            </w:r>
          </w:p>
        </w:tc>
      </w:tr>
    </w:tbl>
    <w:p w:rsidR="002A1831" w:rsidRDefault="00294B37">
      <w:pPr>
        <w:ind w:left="53" w:right="4"/>
      </w:pPr>
      <w:r>
        <w:t xml:space="preserve">1) </w:t>
      </w:r>
      <w:r>
        <w:t>Jedná-li se o zdanitelné plnění podléhající DPH dle platného znění zákona č. 235/2004 Sb., o dani z přidané hodnoty, uplatní se u položky sazba daně ve výši 21 %.</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0,2 % ze spravované částky, min. 6 000, max. 20 000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0,2 % ze spravované částky, min. 6 000</w:t>
            </w:r>
          </w:p>
        </w:tc>
      </w:tr>
      <w:tr w:rsidR="002A1831" w:rsidTr="00294B37">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 xml:space="preserve">Úschova zástavy - jedná se o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Úschovu věcí movitých zastavených ve prospěch KB (kromě nadměrně objemových věcí, např.</w:t>
            </w:r>
          </w:p>
          <w:p w:rsidR="002A1831" w:rsidRDefault="00294B37">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300 ročně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300 ročně + 21 % DPH</w:t>
            </w:r>
          </w:p>
        </w:tc>
      </w:tr>
      <w:tr w:rsidR="002A1831" w:rsidTr="00294B37">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bl>
    <w:p w:rsidR="002A1831" w:rsidRDefault="00294B37">
      <w:pPr>
        <w:ind w:left="53" w:right="4"/>
      </w:pPr>
      <w:r>
        <w:t xml:space="preserve">1) </w:t>
      </w:r>
      <w:r>
        <w:t>Stanoví se pevnou částkou bez ohledu na výši obchodu a hodnotu zástavy za každý i započatý rok.</w:t>
      </w:r>
    </w:p>
    <w:p w:rsidR="002A1831" w:rsidRDefault="002A1831">
      <w:pPr>
        <w:sectPr w:rsidR="002A1831">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1900" w:h="16840"/>
          <w:pgMar w:top="1136" w:right="2670" w:bottom="1477" w:left="661" w:header="384" w:footer="315" w:gutter="0"/>
          <w:cols w:space="708"/>
          <w:formProt w:val="0"/>
        </w:sectPr>
      </w:pPr>
    </w:p>
    <w:p w:rsidR="002A1831" w:rsidRDefault="00294B37">
      <w:pPr>
        <w:spacing w:after="608" w:line="265" w:lineRule="auto"/>
        <w:ind w:left="10" w:right="-15"/>
        <w:jc w:val="right"/>
      </w:pPr>
      <w:r>
        <w:rPr>
          <w:rFonts w:ascii="Tahoma" w:eastAsia="Tahoma" w:hAnsi="Tahoma" w:cs="Tahoma"/>
          <w:sz w:val="19"/>
        </w:rPr>
        <w:t xml:space="preserve">JIŽ NENABÍZENÉ SLUŽBY  </w:t>
      </w:r>
    </w:p>
    <w:p w:rsidR="002A1831" w:rsidRDefault="00294B37">
      <w:pPr>
        <w:pStyle w:val="Nadpis2"/>
        <w:ind w:left="-5"/>
      </w:pPr>
      <w:r>
        <w:t>JIŽ NENABÍZENÉ SLUŽBY</w:t>
      </w:r>
    </w:p>
    <w:tbl>
      <w:tblPr>
        <w:tblStyle w:val="TableGrid"/>
        <w:tblW w:w="10580" w:type="dxa"/>
        <w:tblInd w:w="0" w:type="dxa"/>
        <w:tblLayout w:type="fixed"/>
        <w:tblCellMar>
          <w:top w:w="69" w:type="dxa"/>
          <w:left w:w="161" w:type="dxa"/>
          <w:bottom w:w="0" w:type="dxa"/>
          <w:right w:w="69" w:type="dxa"/>
        </w:tblCellMar>
        <w:tblLook w:val="04A0" w:firstRow="1" w:lastRow="0" w:firstColumn="1" w:lastColumn="0" w:noHBand="0" w:noVBand="1"/>
      </w:tblPr>
      <w:tblGrid>
        <w:gridCol w:w="7405"/>
        <w:gridCol w:w="3175"/>
      </w:tblGrid>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Debetní karty</w:t>
            </w:r>
          </w:p>
        </w:tc>
        <w:tc>
          <w:tcPr>
            <w:tcW w:w="317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 w:firstLine="0"/>
              <w:jc w:val="center"/>
            </w:pPr>
            <w:r>
              <w:rPr>
                <w:sz w:val="20"/>
              </w:rPr>
              <w:t>Karta Dynamic</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Typ karty</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elektronická</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Roční cena karty (pokud není součástí účtu)</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270</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Výběry hotovosti</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Výběr hotovosti z bankomatu KB</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Výběr hotovosti z cizího bankomatu v ČR</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39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Výběr hotovosti z bankomatu v zahraničí</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99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Výběr hotovosti na přepážce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149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Výběr hotovosti 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Vklad hotovosti</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Vklad hotovosti 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Dotaz na zůstatek</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Dotaz na zůstatek v bankomatu KB</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Dotaz na zůstatek 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25</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Výpisy</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Zasílání jednoho výpisu z platební karty v elektronicky</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Výpis -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5</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PIN</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Předání PIN ke kartě na pobočku</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100</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Opětovné předání PIN ke kartě</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 xml:space="preserve">50 </w:t>
            </w:r>
            <w:r>
              <w:rPr>
                <w:sz w:val="23"/>
                <w:vertAlign w:val="superscript"/>
              </w:rPr>
              <w:footnoteReference w:id="7"/>
            </w:r>
            <w:r>
              <w:rPr>
                <w:sz w:val="23"/>
                <w:vertAlign w:val="superscript"/>
              </w:rPr>
              <w:t>)</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Limity</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týdenních limitů prostřednictvím služby MojeBanka, MojeBanka Business</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týdenních limitů prostřednictvím služby Expresní linka KB</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19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Expresní změna týdenních limitů</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19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týdenních limitů přes přepážku</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69</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Ostatní</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Expresní 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19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 xml:space="preserve">1 000 </w:t>
            </w:r>
            <w:r>
              <w:rPr>
                <w:sz w:val="23"/>
                <w:vertAlign w:val="superscript"/>
              </w:rPr>
              <w:footnoteReference w:id="8"/>
            </w:r>
            <w:r>
              <w:rPr>
                <w:sz w:val="23"/>
                <w:vertAlign w:val="superscript"/>
              </w:rPr>
              <w:t>)</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Emergency Cash Advance (náhradní hotovost na přepážce při ztrátě, krádeži karty apod.)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3 500</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 w:firstLine="0"/>
              <w:jc w:val="center"/>
            </w:pPr>
            <w:r>
              <w:rPr>
                <w:sz w:val="20"/>
              </w:rPr>
              <w:t>Emergency Card Replacement (vydání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4 000</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Příchozí Platba na kartu ve prospěch běžného / úvěrového účtu vedeného u KB, k němuž je karta vydána </w:t>
            </w:r>
            <w:r>
              <w:rPr>
                <w:sz w:val="25"/>
                <w:vertAlign w:val="superscript"/>
              </w:rPr>
              <w:footnoteReference w:id="9"/>
            </w:r>
            <w:r>
              <w:rPr>
                <w:sz w:val="25"/>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542"/>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Příchozí Expresní Platba na kartu ve prospěch běžného / úvěrového účtu vedeného u KB, k němuž je karta vydána </w:t>
            </w:r>
            <w:r>
              <w:rPr>
                <w:sz w:val="25"/>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3" w:firstLine="0"/>
              <w:jc w:val="center"/>
            </w:pPr>
            <w:r>
              <w:rPr>
                <w:sz w:val="17"/>
              </w:rPr>
              <w:t>1 %, min. 29</w:t>
            </w:r>
          </w:p>
        </w:tc>
      </w:tr>
    </w:tbl>
    <w:p w:rsidR="002A1831" w:rsidRDefault="00294B37">
      <w:pPr>
        <w:spacing w:after="303" w:line="265" w:lineRule="auto"/>
        <w:ind w:left="10" w:right="-15"/>
        <w:jc w:val="right"/>
      </w:pPr>
      <w:r>
        <w:rPr>
          <w:rFonts w:ascii="Tahoma" w:eastAsia="Tahoma" w:hAnsi="Tahoma" w:cs="Tahoma"/>
          <w:sz w:val="19"/>
        </w:rPr>
        <w:t xml:space="preserve">JIŽ NENABÍZENÉ SLUŽBY  </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9" w:firstLine="0"/>
              <w:jc w:val="center"/>
            </w:pPr>
            <w:r>
              <w:rPr>
                <w:sz w:val="20"/>
              </w:rPr>
              <w:t>EU Profi úvěry</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měsíčně - v případě smluvně sjednané výše úvěru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měsíčně - v případě smluvně sjednané výše úvěru nad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600</w:t>
            </w:r>
          </w:p>
        </w:tc>
      </w:tr>
    </w:tbl>
    <w:p w:rsidR="002A1831" w:rsidRDefault="00294B37">
      <w:pPr>
        <w:ind w:left="53" w:right="4"/>
      </w:pPr>
      <w:r>
        <w:t xml:space="preserve">1) </w:t>
      </w:r>
      <w:r>
        <w:t>V případě, že je EU Profi úvěr poskytován zároveň s Profi úvěrem nebo s druhým EU Profi úvěrem, je spravování úvěru s kratší splatností zdarma.</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měsíčně</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300 měsíčně</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600 měsíčně</w:t>
            </w:r>
          </w:p>
        </w:tc>
      </w:tr>
    </w:tbl>
    <w:p w:rsidR="002A1831" w:rsidRDefault="00294B37">
      <w:pPr>
        <w:ind w:left="53" w:right="4"/>
      </w:pPr>
      <w:r>
        <w:t xml:space="preserve">1)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zpracování a vyhodnocení žádosti o úvěr (příslibu úvěru) v Kč a v cizí měně</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 min. 10 000</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zpracování a vyhodnocení žádosti o úvěr (příslibu úvěru) v Kč a v cizí měně pro municipality</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0,8 %, min. 10 000</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600 měsíčně</w:t>
            </w:r>
          </w:p>
        </w:tc>
      </w:tr>
      <w:tr w:rsidR="002A1831" w:rsidTr="00294B37">
        <w:trPr>
          <w:trHeight w:val="542"/>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se státní finanční podporou (podpora dle nařízení vlády 244/1995 Sb., ve znění pozdějších předpisů) </w:t>
            </w:r>
            <w:r>
              <w:rPr>
                <w:sz w:val="25"/>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900 měsíčně</w:t>
            </w:r>
          </w:p>
        </w:tc>
      </w:tr>
    </w:tbl>
    <w:p w:rsidR="002A1831" w:rsidRDefault="00294B37">
      <w:pPr>
        <w:numPr>
          <w:ilvl w:val="0"/>
          <w:numId w:val="9"/>
        </w:numPr>
        <w:ind w:left="199" w:right="4" w:hanging="156"/>
      </w:pPr>
      <w:r>
        <w:t>Cena je inkasována od data účinnosti smlouvy o úvěru za každý i započatý měsíc po celou dobu trvání úvěrového obchodu.</w:t>
      </w:r>
    </w:p>
    <w:p w:rsidR="002A1831" w:rsidRDefault="00294B37">
      <w:pPr>
        <w:numPr>
          <w:ilvl w:val="0"/>
          <w:numId w:val="9"/>
        </w:numPr>
        <w:ind w:left="199" w:right="4" w:hanging="156"/>
      </w:pP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w:t>
      </w:r>
      <w:r>
        <w:t>ní úvěru se státní finanční podporou stejný jako poplatek za spravování úvěru bez podpory.</w:t>
      </w:r>
    </w:p>
    <w:tbl>
      <w:tblPr>
        <w:tblStyle w:val="TableGrid"/>
        <w:tblW w:w="10580" w:type="dxa"/>
        <w:tblInd w:w="0" w:type="dxa"/>
        <w:tblLayout w:type="fixed"/>
        <w:tblCellMar>
          <w:top w:w="69" w:type="dxa"/>
          <w:left w:w="0" w:type="dxa"/>
          <w:bottom w:w="0" w:type="dxa"/>
          <w:right w:w="62" w:type="dxa"/>
        </w:tblCellMar>
        <w:tblLook w:val="04A0" w:firstRow="1" w:lastRow="0" w:firstColumn="1" w:lastColumn="0" w:noHBand="0" w:noVBand="1"/>
      </w:tblPr>
      <w:tblGrid>
        <w:gridCol w:w="3699"/>
        <w:gridCol w:w="3440"/>
        <w:gridCol w:w="266"/>
        <w:gridCol w:w="342"/>
        <w:gridCol w:w="2832"/>
        <w:gridCol w:w="1"/>
      </w:tblGrid>
      <w:tr w:rsidR="002A1831" w:rsidTr="00294B37">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Profi Merlin - individuální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Profi Merlin - individuální - varianta 2</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pojištění</w:t>
            </w:r>
          </w:p>
        </w:tc>
        <w:tc>
          <w:tcPr>
            <w:tcW w:w="344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ročně 348</w:t>
            </w:r>
          </w:p>
        </w:tc>
        <w:tc>
          <w:tcPr>
            <w:tcW w:w="3440"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ročně 588</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Profi Patron (kolektivní)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Profi Patron (kolektivní) - varianta 2</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ročně 990</w:t>
            </w:r>
          </w:p>
        </w:tc>
        <w:tc>
          <w:tcPr>
            <w:tcW w:w="3440"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ročně 1 940</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Výpisy (pokud není součástí balíčku)</w:t>
            </w:r>
          </w:p>
        </w:tc>
        <w:tc>
          <w:tcPr>
            <w:tcW w:w="3440"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608"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gridAfter w:val="1"/>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344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jc w:val="right"/>
            </w:pPr>
            <w:r>
              <w:rPr>
                <w:sz w:val="20"/>
              </w:rPr>
              <w:t>Měsí</w:t>
            </w:r>
          </w:p>
        </w:tc>
        <w:tc>
          <w:tcPr>
            <w:tcW w:w="608" w:type="dxa"/>
            <w:gridSpan w:val="2"/>
            <w:tcBorders>
              <w:top w:val="single" w:sz="5" w:space="0" w:color="DCDCDC"/>
              <w:left w:val="nil"/>
              <w:bottom w:val="single" w:sz="5" w:space="0" w:color="DCDCDC"/>
              <w:right w:val="nil"/>
            </w:tcBorders>
            <w:shd w:val="clear" w:color="auto" w:fill="EDEDED"/>
          </w:tcPr>
          <w:p w:rsidR="002A1831" w:rsidRDefault="00294B37">
            <w:pPr>
              <w:spacing w:after="0" w:line="259" w:lineRule="auto"/>
              <w:ind w:left="-63" w:firstLine="0"/>
            </w:pPr>
            <w:r>
              <w:rPr>
                <w:sz w:val="20"/>
              </w:rPr>
              <w:t>ční cena</w:t>
            </w:r>
          </w:p>
        </w:tc>
        <w:tc>
          <w:tcPr>
            <w:tcW w:w="2832"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gridAfter w:val="1"/>
          <w:trHeight w:val="323"/>
        </w:trPr>
        <w:tc>
          <w:tcPr>
            <w:tcW w:w="0" w:type="auto"/>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60" w:firstLine="0"/>
              <w:jc w:val="center"/>
            </w:pPr>
            <w:r>
              <w:rPr>
                <w:sz w:val="20"/>
              </w:rPr>
              <w:t>Osobní odběr</w:t>
            </w:r>
          </w:p>
        </w:tc>
        <w:tc>
          <w:tcPr>
            <w:tcW w:w="608" w:type="dxa"/>
            <w:gridSpan w:val="2"/>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928" w:firstLine="0"/>
            </w:pPr>
            <w:r>
              <w:rPr>
                <w:sz w:val="20"/>
              </w:rPr>
              <w:t>Poštou</w:t>
            </w:r>
          </w:p>
        </w:tc>
      </w:tr>
      <w:tr w:rsidR="002A1831" w:rsidTr="00294B37">
        <w:trPr>
          <w:gridAfter w:val="1"/>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7" w:firstLine="0"/>
              <w:jc w:val="center"/>
            </w:pPr>
            <w:r>
              <w:rPr>
                <w:sz w:val="17"/>
              </w:rPr>
              <w:t>360</w:t>
            </w:r>
          </w:p>
        </w:tc>
        <w:tc>
          <w:tcPr>
            <w:tcW w:w="608" w:type="dxa"/>
            <w:gridSpan w:val="2"/>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tcPr>
          <w:p w:rsidR="002A1831" w:rsidRDefault="00294B37">
            <w:pPr>
              <w:spacing w:after="0" w:line="259" w:lineRule="auto"/>
              <w:ind w:left="1049" w:firstLine="0"/>
            </w:pPr>
            <w:r>
              <w:rPr>
                <w:sz w:val="17"/>
              </w:rPr>
              <w:t>160</w:t>
            </w:r>
          </w:p>
        </w:tc>
      </w:tr>
      <w:tr w:rsidR="002A1831" w:rsidTr="00294B37">
        <w:trPr>
          <w:trHeight w:val="323"/>
        </w:trPr>
        <w:tc>
          <w:tcPr>
            <w:tcW w:w="7405" w:type="dxa"/>
            <w:gridSpan w:val="3"/>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Kartotéka neprovedených plateb</w:t>
            </w:r>
          </w:p>
        </w:tc>
        <w:tc>
          <w:tcPr>
            <w:tcW w:w="3175" w:type="dxa"/>
            <w:gridSpan w:val="3"/>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Smluvně dohodnuté vedení kartotéky neprovedených plateb (měsíčně)</w:t>
            </w:r>
          </w:p>
        </w:tc>
        <w:tc>
          <w:tcPr>
            <w:tcW w:w="317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10 000</w:t>
            </w:r>
          </w:p>
        </w:tc>
      </w:tr>
      <w:tr w:rsidR="002A1831" w:rsidTr="00294B37">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Položkový výpis kartotéky plateb</w:t>
            </w:r>
          </w:p>
        </w:tc>
        <w:tc>
          <w:tcPr>
            <w:tcW w:w="317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400</w:t>
            </w:r>
          </w:p>
        </w:tc>
      </w:tr>
    </w:tbl>
    <w:p w:rsidR="002A1831" w:rsidRDefault="00294B37">
      <w:pPr>
        <w:pStyle w:val="Nadpis2"/>
        <w:ind w:left="-5"/>
      </w:pPr>
      <w:r>
        <w:t>ZKRATKY A VŠEOBECNÁ USTANOVENÍ</w:t>
      </w:r>
    </w:p>
    <w:p w:rsidR="002A1831" w:rsidRDefault="00294B37">
      <w:pPr>
        <w:spacing w:after="236" w:line="259" w:lineRule="auto"/>
        <w:ind w:left="0" w:right="-10" w:firstLine="0"/>
      </w:pPr>
      <w:r>
        <w:rPr>
          <w:noProof/>
          <w:sz w:val="22"/>
        </w:rPr>
        <mc:AlternateContent>
          <mc:Choice Requires="wpg">
            <w:drawing>
              <wp:inline distT="0" distB="0" distL="0" distR="0">
                <wp:extent cx="6718051" cy="7318"/>
                <wp:effectExtent l="0" t="0" r="0" b="0"/>
                <wp:docPr id="87119" name="Group 87119"/>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2" name="Shape 93652"/>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477C6C6A" id="Group 87119"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IMMHsuF&#10;AgAAWQYAAA4AAAAAAAAAAAAAAAAALgIAAGRycy9lMm9Eb2MueG1sUEsBAi0AFAAGAAgAAAAhADfD&#10;ANbaAAAABAEAAA8AAAAAAAAAAAAAAAAA3wQAAGRycy9kb3ducmV2LnhtbFBLBQYAAAAABAAEAPMA&#10;AADmBQAAAAA=&#10;">
                <v:shape id="Shape 93652"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26MkA&#10;AADeAAAADwAAAGRycy9kb3ducmV2LnhtbESP0UrDQBRE3wX/YbmCL6Xd2Dapxm6LKEqhYNPUD7hm&#10;r9lg9m7Irm30612h4OMwM2eY5XqwrThS7xvHCm4mCQjiyumGawVvh+fxLQgfkDW2jknBN3lYry4v&#10;lphrd+I9HctQiwhhn6MCE0KXS+krQxb9xHXE0ftwvcUQZV9L3eMpwm0rp0mSSYsNxwWDHT0aqj7L&#10;L6tgUb4UM/p5N9tslO5e50/FYTsqlLq+Gh7uQQQawn/43N5oBXezLJ3C3514Be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yV26MkAAADeAAAADwAAAAAAAAAAAAAAAACYAgAA&#10;ZHJzL2Rvd25yZXYueG1sUEsFBgAAAAAEAAQA9QAAAI4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Layout w:type="fixed"/>
        <w:tblCellMar>
          <w:top w:w="67" w:type="dxa"/>
          <w:left w:w="0" w:type="dxa"/>
          <w:bottom w:w="45" w:type="dxa"/>
          <w:right w:w="21" w:type="dxa"/>
        </w:tblCellMar>
        <w:tblLook w:val="04A0" w:firstRow="1" w:lastRow="0" w:firstColumn="1" w:lastColumn="0" w:noHBand="0" w:noVBand="1"/>
      </w:tblPr>
      <w:tblGrid>
        <w:gridCol w:w="1740"/>
        <w:gridCol w:w="8839"/>
      </w:tblGrid>
      <w:tr w:rsidR="002A1831" w:rsidTr="00294B37">
        <w:trPr>
          <w:trHeight w:val="386"/>
        </w:trPr>
        <w:tc>
          <w:tcPr>
            <w:tcW w:w="10580" w:type="dxa"/>
            <w:gridSpan w:val="2"/>
            <w:tcBorders>
              <w:top w:val="nil"/>
              <w:left w:val="nil"/>
              <w:bottom w:val="nil"/>
              <w:right w:val="nil"/>
            </w:tcBorders>
            <w:shd w:val="clear" w:color="auto" w:fill="EE6B61"/>
          </w:tcPr>
          <w:p w:rsidR="002A1831" w:rsidRDefault="00294B37">
            <w:pPr>
              <w:spacing w:after="0" w:line="259" w:lineRule="auto"/>
              <w:ind w:left="156" w:firstLine="0"/>
            </w:pPr>
            <w:r>
              <w:rPr>
                <w:b/>
                <w:color w:val="F5F5F5"/>
                <w:sz w:val="26"/>
              </w:rPr>
              <w:t>Vysvětlení použitých zkratek a pojmů</w:t>
            </w:r>
          </w:p>
        </w:tc>
      </w:tr>
      <w:tr w:rsidR="002A1831" w:rsidTr="00294B37">
        <w:trPr>
          <w:trHeight w:val="473"/>
        </w:trPr>
        <w:tc>
          <w:tcPr>
            <w:tcW w:w="1740" w:type="dxa"/>
            <w:tcBorders>
              <w:top w:val="nil"/>
              <w:left w:val="nil"/>
              <w:bottom w:val="single" w:sz="5" w:space="0" w:color="DCDCDC"/>
              <w:right w:val="nil"/>
            </w:tcBorders>
            <w:vAlign w:val="bottom"/>
          </w:tcPr>
          <w:p w:rsidR="002A1831" w:rsidRDefault="00294B37">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2A1831" w:rsidRDefault="00294B37">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Automatic teller machine (peněžní automat).</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Alikvotní úrokový výnos ke dni vypořádání obchodu.</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Burza cenných papírů Praha,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Bytové družstvo.</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Bankovní Elektronický Systém - formát přenosu dat mezi klientem a KB v rámci přímého bankovnictví.</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Účet vedený na základě smlouvy o běžném účtu (podle ustanovení § 2662 a násl. z. č. 89/2012 Sb., občanského zákoníku, ve znění pozdějších předpis</w:t>
            </w:r>
            <w:r>
              <w:rPr>
                <w:sz w:val="17"/>
              </w:rPr>
              <w:t>ů), na který KB pro klienta přijímá vklady a platby a uskutečňuje z něho výplaty a platby.</w:t>
            </w:r>
          </w:p>
        </w:tc>
      </w:tr>
      <w:tr w:rsidR="002A1831" w:rsidTr="00294B37">
        <w:trPr>
          <w:trHeight w:val="519"/>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BIC- Bank Identifier Code - swiftová adresa banky.</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Centrální depozitář cenných papírů,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Listinný cenný papír, zaknihovaný cenný papír nebo imobilizovaný cenný papír.</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Centrála Komerční banky,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Česká národní banka.</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Electronic Data Interchange Bankovní Elektronický Systém - formát přenosu dat mezi klientem a bankou v rámci přímého bankovnictví.</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Evropská investiční banka.</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Expresní linka KB.</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Osobní certifikát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Elektronické osvědčení, které propojuje identifikační údaje klienta s jeho veřejným elektronickým klíčem.</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Fyzická osoba.</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Fond národního majetku.</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Fyzická osoba podnikatel.</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Slouží k jednoznačné identifikaci účtu klienta, země a banky, ve které je účet klienta veden (z anglického International Bank Account Number).</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IKS KB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Investiční kapitálová společnost KB,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International Security Identification Number - mezinárodn</w:t>
            </w:r>
            <w:r>
              <w:rPr>
                <w:sz w:val="17"/>
              </w:rPr>
              <w:t>í identifikace investičního cenného papíru.</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KB Penzijní společnost,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Komerční banka, a.s., pobočka zahraničnej banky.</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Kompatibilní Média - formát předávání dat.</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Komerční pojišťovna,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Ministerstvo financí České republiky.</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Mikropodnikatel</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Drobný podnikatel podle ustanovení § 75 odst. 4 zákona o platebním styku ve znění pozdějších předpisů.</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Modrá pyramida stavební spořitelna,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Message Type - typ zprávy.</w:t>
            </w:r>
          </w:p>
        </w:tc>
      </w:tr>
      <w:tr w:rsidR="002A1831" w:rsidTr="00294B37">
        <w:trPr>
          <w:trHeight w:val="1164"/>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right="7" w:firstLine="0"/>
            </w:pPr>
            <w:r>
              <w:rPr>
                <w:sz w:val="17"/>
              </w:rPr>
              <w:t xml:space="preserve">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w:t>
            </w:r>
            <w:r>
              <w:rPr>
                <w:sz w:val="17"/>
              </w:rPr>
              <w:t>částky vložené na účet klienta v hotovosti. Do očištěného kreditního obratu se nezapočítávají transakce, u kterých je plátcem stejný klient nebo stejný ekonomický subjekt (tedy převody mezi účty stejného klienta nebo stejného ekonomického subjektu). Dále s</w:t>
            </w:r>
            <w:r>
              <w:rPr>
                <w:sz w:val="17"/>
              </w:rPr>
              <w:t>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bl>
    <w:p w:rsidR="002A1831" w:rsidRDefault="002A1831">
      <w:pPr>
        <w:sectPr w:rsidR="002A1831">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900" w:h="16840"/>
          <w:pgMar w:top="384" w:right="669" w:bottom="1575" w:left="661" w:header="708" w:footer="315" w:gutter="0"/>
          <w:cols w:space="708"/>
          <w:formProt w:val="0"/>
          <w:titlePg/>
        </w:sectPr>
      </w:pPr>
    </w:p>
    <w:p w:rsidR="002A1831" w:rsidRDefault="002A1831">
      <w:pPr>
        <w:spacing w:after="0" w:line="259" w:lineRule="auto"/>
        <w:ind w:left="-1440" w:right="10460" w:firstLine="0"/>
      </w:pPr>
    </w:p>
    <w:tbl>
      <w:tblPr>
        <w:tblStyle w:val="TableGrid"/>
        <w:tblW w:w="10580" w:type="dxa"/>
        <w:tblInd w:w="-779" w:type="dxa"/>
        <w:tblLayout w:type="fixed"/>
        <w:tblCellMar>
          <w:top w:w="66" w:type="dxa"/>
          <w:left w:w="0" w:type="dxa"/>
          <w:bottom w:w="0" w:type="dxa"/>
          <w:right w:w="25" w:type="dxa"/>
        </w:tblCellMar>
        <w:tblLook w:val="04A0" w:firstRow="1" w:lastRow="0" w:firstColumn="1" w:lastColumn="0" w:noHBand="0" w:noVBand="1"/>
      </w:tblPr>
      <w:tblGrid>
        <w:gridCol w:w="1740"/>
        <w:gridCol w:w="8839"/>
      </w:tblGrid>
      <w:tr w:rsidR="002A1831" w:rsidTr="00294B37">
        <w:trPr>
          <w:trHeight w:val="683"/>
        </w:trPr>
        <w:tc>
          <w:tcPr>
            <w:tcW w:w="1740" w:type="dxa"/>
            <w:tcBorders>
              <w:top w:val="single" w:sz="2" w:space="0" w:color="DCDCDC"/>
              <w:left w:val="nil"/>
              <w:bottom w:val="single" w:sz="5" w:space="0" w:color="DCDCDC"/>
              <w:right w:val="nil"/>
            </w:tcBorders>
          </w:tcPr>
          <w:p w:rsidR="002A1831" w:rsidRDefault="00294B37">
            <w:pPr>
              <w:spacing w:after="0" w:line="259" w:lineRule="auto"/>
              <w:ind w:left="156" w:firstLine="0"/>
              <w:jc w:val="both"/>
            </w:pPr>
            <w:r>
              <w:rPr>
                <w:b/>
                <w:sz w:val="20"/>
              </w:rPr>
              <w:t>Očištěný kreditní obrat na účtu</w:t>
            </w:r>
          </w:p>
        </w:tc>
        <w:tc>
          <w:tcPr>
            <w:tcW w:w="8839" w:type="dxa"/>
            <w:tcBorders>
              <w:top w:val="single" w:sz="2" w:space="0" w:color="DCDCDC"/>
              <w:left w:val="nil"/>
              <w:bottom w:val="single" w:sz="5" w:space="0" w:color="DCDCDC"/>
              <w:right w:val="nil"/>
            </w:tcBorders>
          </w:tcPr>
          <w:p w:rsidR="002A1831" w:rsidRDefault="00294B37">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w:t>
            </w:r>
            <w:r>
              <w:rPr>
                <w:sz w:val="17"/>
              </w:rPr>
              <w:t xml:space="preserve"> občana se nezapočítávají. Očištěný kreditní obrat se vypočítává od prvního do posledního dne běžného měsíce.</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Obchodní Divize.</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Ročně.</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Osobní identifikační číslo (Personal Identification Number).</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jc w:val="both"/>
            </w:pPr>
            <w:r>
              <w:rPr>
                <w:sz w:val="17"/>
              </w:rPr>
              <w:t>Klient, který uzavřel s KB Rámcovou smlouvu o obstarání nákupu/prodeje cenných papírů (P-klient), v rámci které mu KB na dobu neurčitou vede portfolio cenných papírů.</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Poplatky za výlohy jiných tuzemských i zahraničních bank platí plátce.</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Právnická osoba.</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Pobočka KB.</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Request for Transfer - žádost o provedení platby ve formátu SWIFT MT 101.</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Pozastavení výkonu práva vlastníka nakládat s investičním nástrojem.</w:t>
            </w:r>
          </w:p>
        </w:tc>
      </w:tr>
      <w:tr w:rsidR="002A1831" w:rsidTr="00294B37">
        <w:trPr>
          <w:trHeight w:val="519"/>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Preclusive period of bank-bills</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right="4" w:firstLine="0"/>
              <w:jc w:val="both"/>
            </w:pPr>
            <w:r>
              <w:rPr>
                <w:sz w:val="17"/>
              </w:rPr>
              <w:t>Časové období stanovené příslušnou emisní bankou, ve kterém jsou bankovky přijímány pouze v omezeném režimu stanoveném touto emisní bankou (obchodní síť je již nepřijímá).</w:t>
            </w:r>
          </w:p>
        </w:tc>
      </w:tr>
      <w:tr w:rsidR="002A1831" w:rsidTr="00294B37">
        <w:trPr>
          <w:trHeight w:val="472"/>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2A1831" w:rsidTr="00294B37">
        <w:trPr>
          <w:trHeight w:val="645"/>
        </w:trPr>
        <w:tc>
          <w:tcPr>
            <w:tcW w:w="1740" w:type="dxa"/>
            <w:tcBorders>
              <w:top w:val="single" w:sz="5" w:space="0" w:color="DCDCDC"/>
              <w:left w:val="nil"/>
              <w:bottom w:val="single" w:sz="5" w:space="0" w:color="DCDCDC"/>
              <w:right w:val="nil"/>
            </w:tcBorders>
          </w:tcPr>
          <w:p w:rsidR="002A1831" w:rsidRDefault="00294B37">
            <w:pPr>
              <w:spacing w:after="0" w:line="259" w:lineRule="auto"/>
              <w:ind w:left="0" w:right="7"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Komunikace s KB na dálku prostřednictvím následujících služeb telefonního bankovnictví  Expresní linka KB, internetového bankovnictví MojeBanka, MojeBanka Business, Profibanka, MultiCash KB, mobilního bankovnictví Mobilní banka a systému Přímý kanál. Služb</w:t>
            </w:r>
            <w:r>
              <w:rPr>
                <w:sz w:val="17"/>
              </w:rPr>
              <w:t>a Mobilní banka zahrnuje aplikace Mobilní banka a Mobilní banka Business.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Definice pojmu</w:t>
            </w:r>
          </w:p>
        </w:tc>
        <w:tc>
          <w:tcPr>
            <w:tcW w:w="8839" w:type="dxa"/>
            <w:tcBorders>
              <w:top w:val="single" w:sz="5" w:space="0" w:color="DCDCDC"/>
              <w:left w:val="nil"/>
              <w:bottom w:val="single" w:sz="5" w:space="0" w:color="DCDCDC"/>
              <w:right w:val="nil"/>
            </w:tcBorders>
          </w:tcPr>
          <w:p w:rsidR="002A1831" w:rsidRDefault="002A1831">
            <w:pPr>
              <w:spacing w:after="160" w:line="259" w:lineRule="auto"/>
              <w:ind w:left="0" w:firstLine="0"/>
            </w:pPr>
          </w:p>
        </w:tc>
      </w:tr>
      <w:tr w:rsidR="002A1831" w:rsidTr="00294B37">
        <w:trPr>
          <w:trHeight w:val="645"/>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w:t>
            </w:r>
            <w:r>
              <w:rPr>
                <w:sz w:val="17"/>
              </w:rPr>
              <w:t>části příjemcem (typ poplatku „SLEV" nebo "SHA").</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SIPO</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Soustředěné inkaso plateb obyvatelstva.</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Komerční banka, a.s., Komerční pojišťovna, a.s., KB Penzijní společnost, a.s.,  Modrá pyramida stavební spořitelna, a.s., Investiční kapitálová společnost KB, a.s., SG Equipment Finance Czech Republic s.r</w:t>
            </w:r>
            <w:r>
              <w:rPr>
                <w:sz w:val="17"/>
              </w:rPr>
              <w:t>.o., ESSOX s.r.o., a Faktoring KB,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Společenství vlastníků jednotek.</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The Society for Worldwide Interbank Financial Telecommunication S.C.</w:t>
            </w:r>
          </w:p>
        </w:tc>
      </w:tr>
    </w:tbl>
    <w:p w:rsidR="002A1831" w:rsidRDefault="002A1831">
      <w:pPr>
        <w:spacing w:after="0" w:line="259" w:lineRule="auto"/>
        <w:ind w:left="-1440" w:right="10460" w:firstLine="0"/>
      </w:pPr>
    </w:p>
    <w:tbl>
      <w:tblPr>
        <w:tblStyle w:val="TableGrid"/>
        <w:tblW w:w="10580" w:type="dxa"/>
        <w:tblInd w:w="-779" w:type="dxa"/>
        <w:tblLayout w:type="fixed"/>
        <w:tblCellMar>
          <w:top w:w="67" w:type="dxa"/>
          <w:left w:w="0" w:type="dxa"/>
          <w:bottom w:w="45" w:type="dxa"/>
          <w:right w:w="32" w:type="dxa"/>
        </w:tblCellMar>
        <w:tblLook w:val="04A0" w:firstRow="1" w:lastRow="0" w:firstColumn="1" w:lastColumn="0" w:noHBand="0" w:noVBand="1"/>
      </w:tblPr>
      <w:tblGrid>
        <w:gridCol w:w="680"/>
        <w:gridCol w:w="9900"/>
      </w:tblGrid>
      <w:tr w:rsidR="002A1831" w:rsidTr="00294B37">
        <w:trPr>
          <w:trHeight w:val="386"/>
        </w:trPr>
        <w:tc>
          <w:tcPr>
            <w:tcW w:w="10580" w:type="dxa"/>
            <w:gridSpan w:val="2"/>
            <w:tcBorders>
              <w:top w:val="nil"/>
              <w:left w:val="nil"/>
              <w:bottom w:val="nil"/>
              <w:right w:val="nil"/>
            </w:tcBorders>
            <w:shd w:val="clear" w:color="auto" w:fill="EE6B61"/>
          </w:tcPr>
          <w:p w:rsidR="002A1831" w:rsidRDefault="00294B37">
            <w:pPr>
              <w:spacing w:after="0" w:line="259" w:lineRule="auto"/>
              <w:ind w:left="156" w:firstLine="0"/>
            </w:pPr>
            <w:r>
              <w:rPr>
                <w:b/>
                <w:color w:val="F5F5F5"/>
                <w:sz w:val="26"/>
              </w:rPr>
              <w:t>Všeobecná ustanovení</w:t>
            </w:r>
          </w:p>
        </w:tc>
      </w:tr>
      <w:tr w:rsidR="002A1831" w:rsidTr="00294B37">
        <w:trPr>
          <w:trHeight w:val="795"/>
        </w:trPr>
        <w:tc>
          <w:tcPr>
            <w:tcW w:w="680" w:type="dxa"/>
            <w:tcBorders>
              <w:top w:val="nil"/>
              <w:left w:val="nil"/>
              <w:bottom w:val="single" w:sz="5" w:space="0" w:color="DCDCDC"/>
              <w:right w:val="nil"/>
            </w:tcBorders>
          </w:tcPr>
          <w:p w:rsidR="002A1831" w:rsidRDefault="00294B37">
            <w:pPr>
              <w:spacing w:after="0" w:line="259" w:lineRule="auto"/>
              <w:ind w:left="156" w:firstLine="0"/>
            </w:pPr>
            <w:r>
              <w:rPr>
                <w:b/>
                <w:sz w:val="20"/>
              </w:rPr>
              <w:t>1.</w:t>
            </w:r>
          </w:p>
        </w:tc>
        <w:tc>
          <w:tcPr>
            <w:tcW w:w="9900" w:type="dxa"/>
            <w:tcBorders>
              <w:top w:val="nil"/>
              <w:left w:val="nil"/>
              <w:bottom w:val="single" w:sz="5" w:space="0" w:color="DCDCDC"/>
              <w:right w:val="nil"/>
            </w:tcBorders>
            <w:vAlign w:val="bottom"/>
          </w:tcPr>
          <w:p w:rsidR="002A1831" w:rsidRDefault="00294B37">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w:t>
            </w:r>
            <w:r>
              <w:rPr>
                <w:sz w:val="17"/>
              </w:rPr>
              <w:t>í pozdějších předpisů. Základem pro výpočet daně z přidané hodnoty je celková suma dle Sazebníku.</w:t>
            </w:r>
          </w:p>
        </w:tc>
      </w:tr>
      <w:tr w:rsidR="002A1831" w:rsidTr="00294B37">
        <w:trPr>
          <w:trHeight w:val="645"/>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2a.</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V rámci úhrad ze zahraničí v cizí měně a Kč a úhrad v cizí měně z jiné tuzemské banky obdrží klient převáděnou částku v plné výši a bez poplatku, jestliž</w:t>
            </w:r>
            <w:r>
              <w:rPr>
                <w:sz w:val="17"/>
              </w:rPr>
              <w:t xml:space="preserve">e se jedná o platbu prováděnou bez výloh pro příjemce (poplatek OUR). V případě, kdy minimální poplatek převyšuje vlastní částku platby, se poplatek též neúčtuje (neplatí pro "drobnou platbu" - viz položka drobná platba, jedna platba měsíčně pro klienta v </w:t>
            </w:r>
            <w:r>
              <w:rPr>
                <w:sz w:val="17"/>
              </w:rPr>
              <w:t>ekvivalentu do 10 000,- Kč a SEPA inkaso - viz položka SEPA inkaso).</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2b.</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V rámci úhrad do zahraničí v Kč a cizí měně a úhrad do tuzemska v cizí měně mimo KB hradí klient cenu dle zvoleného typu poplatku.</w:t>
            </w:r>
          </w:p>
        </w:tc>
      </w:tr>
      <w:tr w:rsidR="002A1831" w:rsidTr="00294B37">
        <w:trPr>
          <w:trHeight w:val="47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2c.</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 xml:space="preserve">V rámci úhrad do zahraničí v Kč a cizí měně a úhrad do tuzemska v cizí měně mimo KB označených BEN nebo SHA hradí klient dodatečné výlohy jiných bank, které jsou KB naúčtovány (v případě plateb nízkých částek). </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2d.</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SEPA platby předané na papírovém nosiči jsou zpracovávány expresním způsobem bez příplatku za rychlost.</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2e.</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Cena za úhradu ze zahraničí a úhradu do zahraničí je počítána z převáděné částky kurzem "střed KB".</w:t>
            </w:r>
          </w:p>
        </w:tc>
      </w:tr>
      <w:tr w:rsidR="002A1831" w:rsidTr="00294B37">
        <w:trPr>
          <w:trHeight w:val="991"/>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3.</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w:t>
            </w:r>
            <w:r>
              <w:rPr>
                <w:sz w:val="17"/>
              </w:rPr>
              <w:t xml:space="preserve">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w:t>
            </w:r>
            <w:r>
              <w:rPr>
                <w:sz w:val="17"/>
              </w:rPr>
              <w:t>dentifikačních či obdobných údajů (zejména: neoznámí-li klient změnu bydliště, změnu údajů zapsaných v obchodním rejstříku, dozví-li se KB neoficiálně o úmrtí klienta apod.).</w:t>
            </w:r>
          </w:p>
        </w:tc>
      </w:tr>
      <w:tr w:rsidR="002A1831" w:rsidTr="00294B37">
        <w:trPr>
          <w:trHeight w:val="472"/>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4.</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5.</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U cen vybíraných v hotovosti v Kč se finanční částka poplatku zaokrouhluje k nejbl</w:t>
            </w:r>
            <w:r>
              <w:rPr>
                <w:sz w:val="17"/>
              </w:rPr>
              <w:t>ižší platné nominální hodnotě zákonných peněz v oběhu.</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6.</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Banka přijímá mince pouze v měně Kč a EUR.</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7.</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r w:rsidR="002A1831" w:rsidTr="00294B37">
        <w:trPr>
          <w:trHeight w:val="818"/>
        </w:trPr>
        <w:tc>
          <w:tcPr>
            <w:tcW w:w="680" w:type="dxa"/>
            <w:tcBorders>
              <w:top w:val="single" w:sz="5" w:space="0" w:color="DCDCDC"/>
              <w:left w:val="nil"/>
              <w:bottom w:val="single" w:sz="5" w:space="0" w:color="DCDCDC"/>
              <w:right w:val="nil"/>
            </w:tcBorders>
          </w:tcPr>
          <w:p w:rsidR="002A1831" w:rsidRDefault="002A1831">
            <w:pPr>
              <w:spacing w:after="160" w:line="259" w:lineRule="auto"/>
              <w:ind w:left="0" w:firstLine="0"/>
            </w:pPr>
          </w:p>
        </w:tc>
        <w:tc>
          <w:tcPr>
            <w:tcW w:w="9900" w:type="dxa"/>
            <w:tcBorders>
              <w:top w:val="single" w:sz="5" w:space="0" w:color="DCDCDC"/>
              <w:left w:val="nil"/>
              <w:bottom w:val="single" w:sz="5" w:space="0" w:color="DCDCDC"/>
              <w:right w:val="nil"/>
            </w:tcBorders>
          </w:tcPr>
          <w:p w:rsidR="002A1831" w:rsidRDefault="00294B37">
            <w:pPr>
              <w:spacing w:after="0" w:line="216" w:lineRule="auto"/>
              <w:ind w:left="0" w:firstLine="0"/>
            </w:pPr>
            <w:r>
              <w:rPr>
                <w:sz w:val="17"/>
              </w:rPr>
              <w:t>Služby a produkty v tomto „Sazebníku pro podnikatele, podniky a municipality v obsluze Korpo</w:t>
            </w:r>
            <w:r>
              <w:rPr>
                <w:sz w:val="17"/>
              </w:rPr>
              <w:t>rátních a Obchodních divizí“ neuvedené budou klientům z tohoto segmentu poskytnuty za ceny uvedené pro danou službu nebo produkt v „Sazebníku pro podniky a municipality v obsluze poboček“, kde jsou zveřejněny. Dle</w:t>
            </w:r>
          </w:p>
          <w:p w:rsidR="002A1831" w:rsidRDefault="00294B37">
            <w:pPr>
              <w:spacing w:after="0" w:line="259" w:lineRule="auto"/>
              <w:ind w:left="0" w:firstLine="0"/>
              <w:jc w:val="both"/>
            </w:pPr>
            <w:r>
              <w:rPr>
                <w:sz w:val="17"/>
              </w:rPr>
              <w:t>„Sazebníku pro podniky a municipality v obsluze poboček“, ve které je daný produkt uveden, se rovněž účtují ceny za všechny služby poskytované v souvislosti s tímto produktem.</w:t>
            </w:r>
          </w:p>
        </w:tc>
      </w:tr>
    </w:tbl>
    <w:p w:rsidR="00000000" w:rsidRDefault="00294B37"/>
    <w:sectPr w:rsidR="00000000">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0" w:h="16840"/>
      <w:pgMar w:top="1130" w:right="1440" w:bottom="1440" w:left="1440" w:header="384" w:footer="315"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94B37">
      <w:pPr>
        <w:spacing w:after="0" w:line="240" w:lineRule="auto"/>
      </w:pPr>
      <w:r>
        <w:separator/>
      </w:r>
    </w:p>
  </w:endnote>
  <w:endnote w:type="continuationSeparator" w:id="0">
    <w:p w:rsidR="00000000" w:rsidRDefault="00294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A1831">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w:t>
    </w:r>
    <w:r>
      <w:rPr>
        <w:color w:val="EE2B46"/>
      </w:rPr>
      <w:t>.kb.cz</w:t>
    </w:r>
    <w:r>
      <w:t xml:space="preserve"> nebo bezplatné lince </w:t>
    </w:r>
    <w:r>
      <w:rPr>
        <w:color w:val="EE2B46"/>
      </w:rPr>
      <w:t>800 521 521</w:t>
    </w:r>
    <w:r>
      <w:rPr>
        <w:color w:val="EE2B46"/>
      </w:rPr>
      <w:tab/>
    </w:r>
    <w:r>
      <w:t>Platnost Sazebníku od 29. 12. 2017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w:t>
    </w:r>
    <w:r>
      <w:rPr>
        <w:color w:val="EE2B46"/>
      </w:rPr>
      <w:t>.kb.cz</w:t>
    </w:r>
    <w:r>
      <w:t xml:space="preserve"> nebo bezplatné lince </w:t>
    </w:r>
    <w:r>
      <w:rPr>
        <w:color w:val="EE2B46"/>
      </w:rPr>
      <w:t>800 521 521</w:t>
    </w:r>
    <w:r>
      <w:rPr>
        <w:color w:val="EE2B46"/>
      </w:rPr>
      <w:tab/>
    </w:r>
    <w:r>
      <w:t>Platnost Sazebníku od 29. 12. 2017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w:t>
    </w:r>
    <w:r>
      <w:t>9. 12. 2017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671"/>
      </w:tabs>
      <w:spacing w:after="0" w:line="259" w:lineRule="auto"/>
      <w:ind w:left="-5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A1831">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w:t>
    </w:r>
    <w:r>
      <w:rPr>
        <w:color w:val="EE2B46"/>
      </w:rPr>
      <w:t>.kb.cz</w:t>
    </w:r>
    <w:r>
      <w:t xml:space="preserve"> nebo bezplatné lince </w:t>
    </w:r>
    <w:r>
      <w:rPr>
        <w:color w:val="EE2B46"/>
      </w:rPr>
      <w:t>800 521 521</w:t>
    </w:r>
    <w:r>
      <w:rPr>
        <w:color w:val="EE2B46"/>
      </w:rPr>
      <w:tab/>
    </w:r>
    <w:r>
      <w:t>Platnost Sazebníku od 29. 12.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w:t>
    </w:r>
    <w:r>
      <w:t>9. 12. 2017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831" w:rsidRDefault="00294B37">
      <w:pPr>
        <w:spacing w:after="0" w:line="259" w:lineRule="auto"/>
        <w:ind w:left="58" w:firstLine="0"/>
      </w:pPr>
      <w:r>
        <w:separator/>
      </w:r>
    </w:p>
  </w:footnote>
  <w:footnote w:type="continuationSeparator" w:id="0">
    <w:p w:rsidR="002A1831" w:rsidRDefault="00294B37">
      <w:pPr>
        <w:spacing w:after="0" w:line="259" w:lineRule="auto"/>
        <w:ind w:left="58" w:firstLine="0"/>
      </w:pPr>
      <w:r>
        <w:continuationSeparator/>
      </w:r>
    </w:p>
  </w:footnote>
  <w:footnote w:id="1">
    <w:p w:rsidR="002A1831" w:rsidRDefault="00294B37">
      <w:pPr>
        <w:pStyle w:val="footnotedescription"/>
      </w:pPr>
      <w:r>
        <w:rPr>
          <w:rStyle w:val="footnotemark"/>
        </w:rPr>
        <w:footnoteRef/>
      </w:r>
      <w:r>
        <w:t xml:space="preserve"> )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2A183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160" w:line="259" w:lineRule="auto"/>
              <w:ind w:left="0" w:firstLine="0"/>
            </w:pPr>
            <w:r>
              <w:rPr>
                <w:b/>
                <w:sz w:val="20"/>
              </w:rPr>
              <w:t>Profi úvěr FIX</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zdarma</w:t>
            </w:r>
          </w:p>
        </w:tc>
      </w:tr>
      <w:tr w:rsidR="002A1831">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zdarma</w:t>
            </w:r>
          </w:p>
        </w:tc>
      </w:tr>
      <w:tr w:rsidR="002A1831">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200 měsíčně</w:t>
            </w:r>
          </w:p>
        </w:tc>
      </w:tr>
      <w:tr w:rsidR="002A1831">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 xml:space="preserve">Spravování úvěru - v případě smluvně sjednané výše úvěru nad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300 měsíčně</w:t>
            </w:r>
          </w:p>
        </w:tc>
      </w:tr>
    </w:tbl>
    <w:p w:rsidR="00000000" w:rsidRDefault="00294B37"/>
  </w:footnote>
  <w:footnote w:id="2">
    <w:p w:rsidR="002A1831" w:rsidRDefault="00294B37">
      <w:pPr>
        <w:pStyle w:val="footnotedescription"/>
      </w:pPr>
      <w:r>
        <w:rPr>
          <w:rStyle w:val="footnotemark"/>
        </w:rPr>
        <w:footnoteRef/>
      </w:r>
      <w:r>
        <w:t xml:space="preserve"> ) </w:t>
      </w:r>
      <w:r>
        <w:t>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6874"/>
        <w:gridCol w:w="3705"/>
      </w:tblGrid>
      <w:tr w:rsidR="002A183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160" w:line="259" w:lineRule="auto"/>
              <w:ind w:left="0" w:firstLine="0"/>
            </w:pPr>
            <w:r>
              <w:rPr>
                <w:b/>
                <w:sz w:val="20"/>
              </w:rPr>
              <w:t>Úvěry pro municipality (mimo hypotečních)</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individuálně</w:t>
            </w:r>
          </w:p>
        </w:tc>
      </w:tr>
      <w:tr w:rsidR="002A1831">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individuálně</w:t>
            </w:r>
          </w:p>
        </w:tc>
      </w:tr>
      <w:tr w:rsidR="002A1831">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300 měsíčně</w:t>
            </w:r>
          </w:p>
        </w:tc>
      </w:tr>
    </w:tbl>
    <w:p w:rsidR="00000000" w:rsidRDefault="00294B37"/>
  </w:footnote>
  <w:footnote w:id="3">
    <w:p w:rsidR="002A1831" w:rsidRDefault="00294B37">
      <w:pPr>
        <w:pStyle w:val="footnotedescription"/>
      </w:pPr>
      <w:r>
        <w:rPr>
          <w:rStyle w:val="footnotemark"/>
        </w:rPr>
        <w:footnoteRef/>
      </w:r>
      <w:r>
        <w:t xml:space="preserve"> ) </w:t>
      </w:r>
      <w:r>
        <w:t>Cena je inkasována od data účinnosti smlouvy o úvěru za každý i započatý měsíc po celou dobu trvání úvěrového obchodu a vztahuje se i na kontokorentní úvěry.</w:t>
      </w:r>
    </w:p>
  </w:footnote>
  <w:footnote w:id="4">
    <w:p w:rsidR="002A1831" w:rsidRDefault="00294B37">
      <w:pPr>
        <w:pStyle w:val="footnotedescription"/>
      </w:pPr>
      <w:r>
        <w:rPr>
          <w:rStyle w:val="footnotemark"/>
        </w:rPr>
        <w:footnoteRef/>
      </w:r>
      <w:r>
        <w:t xml:space="preserve"> ) Na šeky pro</w:t>
      </w:r>
      <w:r>
        <w:t>plácené v hotovosti se vztahuje poplatek za měsíční objem zpracované hotovosti nad 5 mil. Kč viz kapitola Hotovostní operace.</w:t>
      </w:r>
    </w:p>
  </w:footnote>
  <w:footnote w:id="5">
    <w:p w:rsidR="002A1831" w:rsidRDefault="00294B37">
      <w:pPr>
        <w:pStyle w:val="footnotedescription"/>
      </w:pPr>
      <w:r>
        <w:rPr>
          <w:rStyle w:val="footnotemark"/>
        </w:rPr>
        <w:footnoteRef/>
      </w:r>
      <w:r>
        <w:t xml:space="preserve"> ) Služba zrušení bankovního šeku se neposkytuje.</w:t>
      </w:r>
    </w:p>
  </w:footnote>
  <w:footnote w:id="6">
    <w:p w:rsidR="002A1831" w:rsidRDefault="00294B37">
      <w:pPr>
        <w:pStyle w:val="footnotedescription"/>
        <w:spacing w:after="281"/>
        <w:ind w:left="213"/>
      </w:pPr>
      <w:r>
        <w:rPr>
          <w:rStyle w:val="footnotemark"/>
        </w:rPr>
        <w:footnoteRef/>
      </w:r>
      <w:r>
        <w:t xml:space="preserve"> ) V případě vrácení soukromého šeku se poplatek neúčtuje.</w:t>
      </w:r>
    </w:p>
    <w:p w:rsidR="002A1831" w:rsidRDefault="00294B37">
      <w:pPr>
        <w:pStyle w:val="footnotedescription"/>
        <w:shd w:val="clear" w:color="auto" w:fill="EE6B61"/>
        <w:ind w:left="156"/>
      </w:pPr>
      <w:r>
        <w:rPr>
          <w:b/>
          <w:color w:val="F5F5F5"/>
          <w:sz w:val="26"/>
        </w:rPr>
        <w:t>Bankovní informace</w:t>
      </w:r>
    </w:p>
  </w:footnote>
  <w:footnote w:id="7">
    <w:p w:rsidR="002A1831" w:rsidRDefault="00294B37">
      <w:pPr>
        <w:pStyle w:val="footnotedescription"/>
      </w:pPr>
      <w:r>
        <w:rPr>
          <w:rStyle w:val="footnotemark"/>
        </w:rPr>
        <w:footnoteRef/>
      </w:r>
      <w:r>
        <w:t xml:space="preserve"> ) V případě existence pojištění Profi Merlin bude poplatek vrácen.</w:t>
      </w:r>
    </w:p>
  </w:footnote>
  <w:footnote w:id="8">
    <w:p w:rsidR="002A1831" w:rsidRDefault="00294B37">
      <w:pPr>
        <w:pStyle w:val="footnotedescription"/>
      </w:pPr>
      <w:r>
        <w:rPr>
          <w:rStyle w:val="footnotemark"/>
        </w:rPr>
        <w:footnoteRef/>
      </w:r>
      <w:r>
        <w:t xml:space="preserve"> ) </w:t>
      </w:r>
      <w:r>
        <w:t>Platí i pro mikropodnikatele. V případě existence pojištění Profi Merlin bude poplatek za vydání náhradní karty po stoplistaci vrácen.</w:t>
      </w:r>
    </w:p>
  </w:footnote>
  <w:footnote w:id="9">
    <w:p w:rsidR="002A1831" w:rsidRDefault="00294B37">
      <w:pPr>
        <w:pStyle w:val="footnotedescription"/>
        <w:spacing w:line="216" w:lineRule="auto"/>
        <w:ind w:left="214" w:hanging="156"/>
      </w:pPr>
      <w:r>
        <w:rPr>
          <w:rStyle w:val="footnotemark"/>
        </w:rPr>
        <w:footnoteRef/>
      </w:r>
      <w:r>
        <w:t xml:space="preserve"> ) </w:t>
      </w:r>
      <w:r>
        <w:t>Jedná se o příchozí platby typu VISA Direct nebo MasterCard MoneySend. Procentní část poplatku za příchozí Expresní platbu na kartu („Příchozí částka") je kalkulována z Příchozí částky v den jejího účetního zpracování u karetní společnosti.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A1831">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36"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76" name="Group 87376"/>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7" name="Shape 93657"/>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36EE5CEF" id="Group 87376"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Qv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9uVsuISNpCm/Bm0qsAok5XGVjeG/2oH8ygqPovX/WpNK1/Qz3khOCeA7j85AgD5XKVrpNF&#10;GhEGZ/PPi3QxoM9qaNELN1bvXneMx2tjn11IptMwSPaClX0fVo811RxbYD0CA1ZfbpaL1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FyQ&#10;9C+CAgAAZQYAAA4AAAAAAAAAAAAAAAAALgIAAGRycy9lMm9Eb2MueG1sUEsBAi0AFAAGAAgAAAAh&#10;ALVJ7lvgAAAACwEAAA8AAAAAAAAAAAAAAAAA3AQAAGRycy9kb3ducmV2LnhtbFBLBQYAAAAABAAE&#10;APMAAADpBQAAAAA=&#10;">
              <v:shape id="Shape 93657"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4iMgA&#10;AADeAAAADwAAAGRycy9kb3ducmV2LnhtbESPzWsCMRTE70L/h/AKXkQTLfVjNUopFDz04gcs3p6b&#10;52bt5mW7SXX73zeFQo/DzPyGWW06V4sbtaHyrGE8UiCIC28qLjUcD2/DOYgQkQ3WnknDNwXYrB96&#10;K8yMv/OObvtYigThkKEGG2OTSRkKSw7DyDfEybv41mFMsi2lafGe4K6WE6Wm0mHFacFiQ6+Wio/9&#10;l9NwDarogh2r3aU6D963n/kpb3Kt+4/dyxJEpC7+h//aW6Nh8TR9nsHvnXQF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djiI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36"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54" name="Group 87354"/>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6" name="Shape 93656"/>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7FF794FB" id="Group 87354"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pqggIAAGUGAAAOAAAAZHJzL2Uyb0RvYy54bWykVdtu2zAMfR+wfxD8vthOm8uM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c3s9uISNpCm/Bm0qsAok5XGVhujX7SD2ZQVP2Xr/pYmta/oR5yRHBPAVx+dISBcr5Il8ks&#10;jQiDs+ntLJ0N6LMaWvTKjdWbtx3j8drYZxeS6TQMkj1jZT+G1VNNNccWWI/AgNXXm/lsPm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K9w&#10;umqCAgAAZQYAAA4AAAAAAAAAAAAAAAAALgIAAGRycy9lMm9Eb2MueG1sUEsBAi0AFAAGAAgAAAAh&#10;ALVJ7lvgAAAACwEAAA8AAAAAAAAAAAAAAAAA3AQAAGRycy9kb3ducmV2LnhtbFBLBQYAAAAABAAE&#10;APMAAADpBQAAAAA=&#10;">
              <v:shape id="Shape 93656"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dE8cA&#10;AADeAAAADwAAAGRycy9kb3ducmV2LnhtbESPQWsCMRSE70L/Q3iFXoomVrroapRSKHjwohaW3p6b&#10;52bt5mW7SXX996ZQ8DjMzDfMYtW7RpypC7VnDeORAkFcelNzpeFz/zGcgggR2WDjmTRcKcBq+TBY&#10;YG78hbd03sVKJAiHHDXYGNtcylBachhGviVO3tF3DmOSXSVNh5cEd418USqTDmtOCxZberdUfu9+&#10;nYZTUGUf7Fhtj/XhebP+Kb6KttD66bF/m4OI1Md7+L+9Nhpmk+w1g7876Qr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6nRP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36" w:firstLine="0"/>
      <w:jc w:val="right"/>
    </w:pPr>
    <w:r>
      <w:rPr>
        <w:noProof/>
        <w:sz w:val="22"/>
      </w:rPr>
      <mc:AlternateContent>
        <mc:Choice Requires="wpg">
          <w:drawing>
            <wp:anchor distT="0" distB="0" distL="114300" distR="114300" simplePos="0" relativeHeight="251662336"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32" name="Group 87332"/>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5" name="Shape 93655"/>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0EF60909" id="Group 87332" o:spid="_x0000_s1026" style="position:absolute;margin-left:33.05pt;margin-top:56.5pt;width:529pt;height:19.3pt;z-index:251662336;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pR&#10;aaWCAgAAZQYAAA4AAAAAAAAAAAAAAAAALgIAAGRycy9lMm9Eb2MueG1sUEsBAi0AFAAGAAgAAAAh&#10;ALVJ7lvgAAAACwEAAA8AAAAAAAAAAAAAAAAA3AQAAGRycy9kb3ducmV2LnhtbFBLBQYAAAAABAAE&#10;APMAAADpBQAAAAA=&#10;">
              <v:shape id="Shape 93655"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DZMcA&#10;AADeAAAADwAAAGRycy9kb3ducmV2LnhtbESPQWsCMRSE74L/ITzBS9FEi6KrUUqh4KEXbWHx9tw8&#10;N6ubl+0m1e2/bwoFj8PMfMOst52rxY3aUHnWMBkrEMSFNxWXGj4/3kYLECEiG6w9k4YfCrDd9Htr&#10;zIy/855uh1iKBOGQoQYbY5NJGQpLDsPYN8TJO/vWYUyyLaVp8Z7grpZTpebSYcVpwWJDr5aK6+Hb&#10;abgEVXTBTtT+XJ2e3ndf+TFvcq2Hg+5lBSJSFx/h//bOaFg+z2cz+Lu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oA2T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8"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8"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8" w:firstLine="0"/>
      <w:jc w:val="right"/>
    </w:pPr>
    <w:r>
      <w:rPr>
        <w:rFonts w:ascii="Tahoma" w:eastAsia="Tahoma" w:hAnsi="Tahoma" w:cs="Tahoma"/>
        <w:sz w:val="19"/>
      </w:rPr>
      <w:t xml:space="preserve">KAŽDODENNÍ BANKOVNICTVÍ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43" w:firstLine="0"/>
      <w:jc w:val="right"/>
    </w:pPr>
    <w:r>
      <w:rPr>
        <w:rFonts w:ascii="Tahoma" w:eastAsia="Tahoma" w:hAnsi="Tahoma" w:cs="Tahoma"/>
        <w:sz w:val="19"/>
      </w:rPr>
      <w:t xml:space="preserve">INVESTIČNÍ BANKOVNICTVÍ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43" w:firstLine="0"/>
      <w:jc w:val="right"/>
    </w:pPr>
    <w:r>
      <w:rPr>
        <w:rFonts w:ascii="Tahoma" w:eastAsia="Tahoma" w:hAnsi="Tahoma" w:cs="Tahoma"/>
        <w:sz w:val="19"/>
      </w:rPr>
      <w:t xml:space="preserve">INVESTIČNÍ BANKOVNICTVÍ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43" w:firstLine="0"/>
      <w:jc w:val="right"/>
    </w:pPr>
    <w:r>
      <w:rPr>
        <w:rFonts w:ascii="Tahoma" w:eastAsia="Tahoma" w:hAnsi="Tahoma" w:cs="Tahoma"/>
        <w:sz w:val="19"/>
      </w:rPr>
      <w:t xml:space="preserve">INVESTIČNÍ BANKOVNICTVÍ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A1831">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4" w:firstLine="0"/>
      <w:jc w:val="right"/>
    </w:pPr>
    <w:r>
      <w:rPr>
        <w:rFonts w:ascii="Tahoma" w:eastAsia="Tahoma" w:hAnsi="Tahoma" w:cs="Tahoma"/>
        <w:sz w:val="19"/>
      </w:rPr>
      <w:t>ZKRATKY A VŠEOBECNÁ</w:t>
    </w:r>
    <w:r>
      <w:rPr>
        <w:rFonts w:ascii="Tahoma" w:eastAsia="Tahoma" w:hAnsi="Tahoma" w:cs="Tahoma"/>
        <w:sz w:val="19"/>
      </w:rPr>
      <w:t xml:space="preserve"> USTANOVENÍ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A1831">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A1831">
    <w:pPr>
      <w:spacing w:after="160" w:line="259" w:lineRule="auto"/>
      <w:ind w:left="0" w:firstLine="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774" w:firstLine="0"/>
      <w:jc w:val="right"/>
    </w:pPr>
    <w:r>
      <w:rPr>
        <w:rFonts w:ascii="Tahoma" w:eastAsia="Tahoma" w:hAnsi="Tahoma" w:cs="Tahoma"/>
        <w:sz w:val="19"/>
      </w:rPr>
      <w:t xml:space="preserve">ZKRATKY A VŠEOBECNÁ USTANOVENÍ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774" w:firstLine="0"/>
      <w:jc w:val="right"/>
    </w:pPr>
    <w:r>
      <w:rPr>
        <w:rFonts w:ascii="Tahoma" w:eastAsia="Tahoma" w:hAnsi="Tahoma" w:cs="Tahoma"/>
        <w:sz w:val="19"/>
      </w:rPr>
      <w:t xml:space="preserve">ZKRATKY A VŠEOBECNÁ USTANOVENÍ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774" w:firstLine="0"/>
      <w:jc w:val="right"/>
    </w:pPr>
    <w:r>
      <w:rPr>
        <w:rFonts w:ascii="Tahoma" w:eastAsia="Tahoma" w:hAnsi="Tahoma" w:cs="Tahoma"/>
        <w:sz w:val="19"/>
      </w:rPr>
      <w:t>ZKRATKY A VŠE</w:t>
    </w:r>
    <w:r>
      <w:rPr>
        <w:rFonts w:ascii="Tahoma" w:eastAsia="Tahoma" w:hAnsi="Tahoma" w:cs="Tahoma"/>
        <w:sz w:val="19"/>
      </w:rPr>
      <w:t xml:space="preserve">OBECNÁ USTANOVENÍ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A1831">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863"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863"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89" name="Group 87289"/>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4" name="Shape 93654"/>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6573F874" id="Group 87289"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ujggIAAGUGAAAOAAAAZHJzL2Uyb0RvYy54bWykVdtu2zAMfR+wfxD8vtjOmkuN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fT5W1EJG2hTXgz6VUAUaerDCy3Rj/pBzMoqv7LV30sTevfUA85IrinAC4/OsJAOV+ky2SW&#10;RoTB2fRmls4G9FkNLXrlxurN247xeG3sswvJdBoGyZ6xsh/D6qmmmmMLrEdgwOr263x2M2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m5&#10;a6OCAgAAZQYAAA4AAAAAAAAAAAAAAAAALgIAAGRycy9lMm9Eb2MueG1sUEsBAi0AFAAGAAgAAAAh&#10;ALVJ7lvgAAAACwEAAA8AAAAAAAAAAAAAAAAA3AQAAGRycy9kb3ducmV2LnhtbFBLBQYAAAAABAAE&#10;APMAAADpBQAAAAA=&#10;">
              <v:shape id="Shape 93654"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m/8gA&#10;AADeAAAADwAAAGRycy9kb3ducmV2LnhtbESPQWsCMRSE7wX/Q3hCL0UTayt2axQpCB560RYWb8/N&#10;c7O6eVk3qW7/vREKPQ4z8w0zW3SuFhdqQ+VZw2ioQBAX3lRcavj+Wg2mIEJENlh7Jg2/FGAx7z3M&#10;MDP+yhu6bGMpEoRDhhpsjE0mZSgsOQxD3xAn7+BbhzHJtpSmxWuCu1o+KzWRDitOCxYb+rBUnLY/&#10;TsMxqKILdqQ2h2r/9Lk+57u8ybV+7HfLdxCRuvgf/muvjYa38eT1Be530hW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pKb/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831" w:rsidRDefault="00294B37">
    <w:pPr>
      <w:spacing w:after="0" w:line="259" w:lineRule="auto"/>
      <w:ind w:left="0" w:right="-863"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67" name="Group 87267"/>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3" name="Shape 93653"/>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5E230B84" id="Group 87267"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i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my1VEJG2hTXgz6VUAUaerDCzvjX7UD2ZQVP2Xr/pUmta/oR5yQnDPAVx+coSBcrlK18ki&#10;jQiDs/nnRboY0Gc1tOiFG6t3rzvG47Wxzy4k02kYJHvByr4Pq8eaao4tsB6BAasvN8vFz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CEd&#10;8qKCAgAAZQYAAA4AAAAAAAAAAAAAAAAALgIAAGRycy9lMm9Eb2MueG1sUEsBAi0AFAAGAAgAAAAh&#10;ALVJ7lvgAAAACwEAAA8AAAAAAAAAAAAAAAAA3AQAAGRycy9kb3ducmV2LnhtbFBLBQYAAAAABAAE&#10;APMAAADpBQAAAAA=&#10;">
              <v:shape id="Shape 93653"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i8gA&#10;AADeAAAADwAAAGRycy9kb3ducmV2LnhtbESPT2sCMRTE7wW/Q3iCl6KJSkVXo5RCwUMv/oHF23Pz&#10;3KxuXrabVLffvikUehxm5jfMatO5WtypDZVnDeORAkFceFNxqeF4eB/OQYSIbLD2TBq+KcBm3Xta&#10;YWb8g3d038dSJAiHDDXYGJtMylBYchhGviFO3sW3DmOSbSlNi48Ed7WcKDWTDitOCxYberNU3PZf&#10;TsM1qKILdqx2l+r8/LH9zE95k2s96HevSxCRuvgf/mtvjYbFdPYyhd876Qr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TT6L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39CE"/>
    <w:multiLevelType w:val="hybridMultilevel"/>
    <w:tmpl w:val="9E4AF8EE"/>
    <w:lvl w:ilvl="0" w:tplc="4DB690E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3069AD2">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28EE08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8F24DB64">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B07E7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BB0ECC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5334716A">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6C22BA3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9AF670E2">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14BC335E"/>
    <w:multiLevelType w:val="hybridMultilevel"/>
    <w:tmpl w:val="A940A654"/>
    <w:lvl w:ilvl="0" w:tplc="925C6AD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87369A5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0B4535C">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BDA583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BDFAC68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5506A6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51B27D8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6F8AF7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58947CA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15074EE5"/>
    <w:multiLevelType w:val="hybridMultilevel"/>
    <w:tmpl w:val="B9F448CE"/>
    <w:lvl w:ilvl="0" w:tplc="834ED88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2B328E3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24AC0A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5A64A64">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6E3EDBE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6364066">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E7C2A38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C3C427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0045DF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1CB27FF7"/>
    <w:multiLevelType w:val="hybridMultilevel"/>
    <w:tmpl w:val="E7EE5C12"/>
    <w:lvl w:ilvl="0" w:tplc="716CD0B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9623B4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1446C16">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D60A11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AD38CBB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26CFE8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9D8CAD4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BF6DF6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C66969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2FC8505D"/>
    <w:multiLevelType w:val="hybridMultilevel"/>
    <w:tmpl w:val="99F26C74"/>
    <w:lvl w:ilvl="0" w:tplc="3CA62DFC">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6088D0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B94222C">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E4E92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D7C0777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268407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B24D62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64E8842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9F26AD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3DB62614"/>
    <w:multiLevelType w:val="hybridMultilevel"/>
    <w:tmpl w:val="EB0E36E2"/>
    <w:lvl w:ilvl="0" w:tplc="F326880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9B0893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A6E07C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61E60BF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4B8CACEA">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25A4655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5FCB06E">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EAF8B646">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9C6654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48CF74B7"/>
    <w:multiLevelType w:val="hybridMultilevel"/>
    <w:tmpl w:val="B024CCB6"/>
    <w:lvl w:ilvl="0" w:tplc="F56CF59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42AC566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AC89A9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C3053B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C2295E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9281E3E">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92CAC9E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144297B4">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A44F4C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62B4679F"/>
    <w:multiLevelType w:val="hybridMultilevel"/>
    <w:tmpl w:val="2134434A"/>
    <w:lvl w:ilvl="0" w:tplc="036470CC">
      <w:start w:val="21"/>
      <w:numFmt w:val="upp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F4EE46">
      <w:start w:val="1"/>
      <w:numFmt w:val="lowerLetter"/>
      <w:lvlText w:val="%2"/>
      <w:lvlJc w:val="left"/>
      <w:pPr>
        <w:ind w:left="1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FC5634">
      <w:start w:val="1"/>
      <w:numFmt w:val="lowerRoman"/>
      <w:lvlText w:val="%3"/>
      <w:lvlJc w:val="left"/>
      <w:pPr>
        <w:ind w:left="1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6ADA5C">
      <w:start w:val="1"/>
      <w:numFmt w:val="decimal"/>
      <w:lvlText w:val="%4"/>
      <w:lvlJc w:val="left"/>
      <w:pPr>
        <w:ind w:left="2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120264">
      <w:start w:val="1"/>
      <w:numFmt w:val="lowerLetter"/>
      <w:lvlText w:val="%5"/>
      <w:lvlJc w:val="left"/>
      <w:pPr>
        <w:ind w:left="3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949B42">
      <w:start w:val="1"/>
      <w:numFmt w:val="lowerRoman"/>
      <w:lvlText w:val="%6"/>
      <w:lvlJc w:val="left"/>
      <w:pPr>
        <w:ind w:left="4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54C37A">
      <w:start w:val="1"/>
      <w:numFmt w:val="decimal"/>
      <w:lvlText w:val="%7"/>
      <w:lvlJc w:val="left"/>
      <w:pPr>
        <w:ind w:left="4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C2E80E">
      <w:start w:val="1"/>
      <w:numFmt w:val="lowerLetter"/>
      <w:lvlText w:val="%8"/>
      <w:lvlJc w:val="left"/>
      <w:pPr>
        <w:ind w:left="5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002A5C">
      <w:start w:val="1"/>
      <w:numFmt w:val="lowerRoman"/>
      <w:lvlText w:val="%9"/>
      <w:lvlJc w:val="left"/>
      <w:pPr>
        <w:ind w:left="6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51F2464"/>
    <w:multiLevelType w:val="hybridMultilevel"/>
    <w:tmpl w:val="9600069A"/>
    <w:lvl w:ilvl="0" w:tplc="9A8EC23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CD50292C">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CBE6F518">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323463F2">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C728C624">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02303740">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DFF8EC8C">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73E81ADE">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1CE79DA">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777042EB"/>
    <w:multiLevelType w:val="hybridMultilevel"/>
    <w:tmpl w:val="F6B62D4A"/>
    <w:lvl w:ilvl="0" w:tplc="FEFE241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7B46CC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B84E36E2">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E5E4FDBA">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8524204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B861B9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1521B00">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04C63F8">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1B8E7B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0"/>
  </w:num>
  <w:num w:numId="2">
    <w:abstractNumId w:val="9"/>
  </w:num>
  <w:num w:numId="3">
    <w:abstractNumId w:val="8"/>
  </w:num>
  <w:num w:numId="4">
    <w:abstractNumId w:val="1"/>
  </w:num>
  <w:num w:numId="5">
    <w:abstractNumId w:val="3"/>
  </w:num>
  <w:num w:numId="6">
    <w:abstractNumId w:val="6"/>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31"/>
    <w:rsid w:val="00294B37"/>
    <w:rsid w:val="002A18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5DAD7-6F8F-435E-A3EF-252E1F4E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48"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b/>
      <w:color w:val="B22222"/>
      <w:sz w:val="39"/>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35"/>
    </w:rPr>
  </w:style>
  <w:style w:type="paragraph" w:styleId="Nadpis3">
    <w:name w:val="heading 3"/>
    <w:next w:val="Normln"/>
    <w:link w:val="Nadpis3Char"/>
    <w:uiPriority w:val="9"/>
    <w:unhideWhenUsed/>
    <w:qFormat/>
    <w:pPr>
      <w:keepNext/>
      <w:keepLines/>
      <w:shd w:val="clear" w:color="auto" w:fill="EE6B61"/>
      <w:spacing w:after="0"/>
      <w:ind w:left="166" w:hanging="10"/>
      <w:outlineLvl w:val="2"/>
    </w:pPr>
    <w:rPr>
      <w:rFonts w:ascii="Calibri" w:eastAsia="Calibri" w:hAnsi="Calibri" w:cs="Calibri"/>
      <w:b/>
      <w:color w:val="F5F5F5"/>
      <w:sz w:val="26"/>
    </w:rPr>
  </w:style>
  <w:style w:type="paragraph" w:styleId="Nadpis4">
    <w:name w:val="heading 4"/>
    <w:next w:val="Normln"/>
    <w:link w:val="Nadpis4Char"/>
    <w:uiPriority w:val="9"/>
    <w:unhideWhenUsed/>
    <w:qFormat/>
    <w:pPr>
      <w:keepNext/>
      <w:keepLines/>
      <w:shd w:val="clear" w:color="auto" w:fill="C8C8C8"/>
      <w:spacing w:after="0"/>
      <w:ind w:left="108" w:hanging="10"/>
      <w:outlineLvl w:val="3"/>
    </w:pPr>
    <w:rPr>
      <w:rFonts w:ascii="Calibri" w:eastAsia="Calibri" w:hAnsi="Calibri" w:cs="Calibri"/>
      <w:b/>
      <w:color w:val="000000"/>
      <w:sz w:val="24"/>
    </w:rPr>
  </w:style>
  <w:style w:type="paragraph" w:styleId="Nadpis5">
    <w:name w:val="heading 5"/>
    <w:next w:val="Normln"/>
    <w:link w:val="Nadpis5Char"/>
    <w:uiPriority w:val="9"/>
    <w:unhideWhenUsed/>
    <w:qFormat/>
    <w:pPr>
      <w:keepNext/>
      <w:keepLines/>
      <w:spacing w:after="0"/>
      <w:ind w:left="156"/>
      <w:outlineLvl w:val="4"/>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b/>
      <w:color w:val="000000"/>
      <w:sz w:val="22"/>
    </w:rPr>
  </w:style>
  <w:style w:type="character" w:customStyle="1" w:styleId="Nadpis4Char">
    <w:name w:val="Nadpis 4 Char"/>
    <w:link w:val="Nadpis4"/>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F5F5F5"/>
      <w:sz w:val="26"/>
    </w:rPr>
  </w:style>
  <w:style w:type="character" w:customStyle="1" w:styleId="Nadpis2Char">
    <w:name w:val="Nadpis 2 Char"/>
    <w:link w:val="Nadpis2"/>
    <w:rPr>
      <w:rFonts w:ascii="Calibri" w:eastAsia="Calibri" w:hAnsi="Calibri" w:cs="Calibri"/>
      <w:b/>
      <w:color w:val="000000"/>
      <w:sz w:val="35"/>
    </w:rPr>
  </w:style>
  <w:style w:type="character" w:customStyle="1" w:styleId="Nadpis1Char">
    <w:name w:val="Nadpis 1 Char"/>
    <w:link w:val="Nadpis1"/>
    <w:rPr>
      <w:rFonts w:ascii="Calibri" w:eastAsia="Calibri" w:hAnsi="Calibri" w:cs="Calibri"/>
      <w:b/>
      <w:color w:val="B22222"/>
      <w:sz w:val="39"/>
    </w:rPr>
  </w:style>
  <w:style w:type="paragraph" w:customStyle="1" w:styleId="footnotedescription">
    <w:name w:val="footnote description"/>
    <w:next w:val="Normln"/>
    <w:link w:val="footnotedescriptionChar"/>
    <w:hidden/>
    <w:pPr>
      <w:spacing w:after="0"/>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61" Type="http://schemas.openxmlformats.org/officeDocument/2006/relationships/footer" Target="footer2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www.kb.cz/file/cs/o-bance/dokumenty-ke-stazeni/kb-lhuty-platebniho-styku.pdf" TargetMode="Externa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hyperlink" Target="https://www.kb.cz/kvalita" TargetMode="Externa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10813</Words>
  <Characters>59260</Characters>
  <Application>Microsoft Office Word</Application>
  <DocSecurity>4</DocSecurity>
  <Lines>4558</Lines>
  <Paragraphs>1523</Paragraphs>
  <ScaleCrop>false</ScaleCrop>
  <HeadingPairs>
    <vt:vector size="2" baseType="variant">
      <vt:variant>
        <vt:lpstr>Název</vt:lpstr>
      </vt:variant>
      <vt:variant>
        <vt:i4>1</vt:i4>
      </vt:variant>
    </vt:vector>
  </HeadingPairs>
  <TitlesOfParts>
    <vt:vector size="1" baseType="lpstr">
      <vt:lpstr>Sazebník KB</vt:lpstr>
    </vt:vector>
  </TitlesOfParts>
  <Company>Komerèní banka, a.s.</Company>
  <LinksUpToDate>false</LinksUpToDate>
  <CharactersWithSpaces>68550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subject/>
  <dc:creator>Razimova Stanislava</dc:creator>
  <cp:keywords/>
  <cp:lastModifiedBy>Razimova Stanislava</cp:lastModifiedBy>
  <cp:revision>2</cp:revision>
  <dcterms:created xsi:type="dcterms:W3CDTF">2018-02-21T13:56:00Z</dcterms:created>
  <dcterms:modified xsi:type="dcterms:W3CDTF">2018-02-21T13:56:00Z</dcterms:modified>
</cp:coreProperties>
</file>