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E80C3" w14:textId="19C7F4E5" w:rsidR="00A1738B" w:rsidRPr="001617CE" w:rsidRDefault="00A1738B" w:rsidP="00177BED">
      <w:pPr>
        <w:pStyle w:val="Zkladntext"/>
        <w:spacing w:line="276" w:lineRule="auto"/>
        <w:jc w:val="both"/>
        <w:rPr>
          <w:rFonts w:cs="Tahoma"/>
          <w:b/>
          <w:szCs w:val="22"/>
          <w:lang w:val="en-US"/>
        </w:rPr>
      </w:pPr>
      <w:r w:rsidRPr="001617CE">
        <w:rPr>
          <w:rFonts w:cs="Tahoma"/>
          <w:b/>
          <w:szCs w:val="22"/>
        </w:rPr>
        <w:t>Sm</w:t>
      </w:r>
      <w:r w:rsidR="00434F4C" w:rsidRPr="001617CE">
        <w:rPr>
          <w:rFonts w:cs="Tahoma"/>
          <w:b/>
          <w:szCs w:val="22"/>
        </w:rPr>
        <w:t xml:space="preserve">louva o spolupráci při </w:t>
      </w:r>
      <w:r w:rsidR="00630E98">
        <w:rPr>
          <w:rFonts w:cs="Tahoma"/>
          <w:b/>
          <w:szCs w:val="22"/>
        </w:rPr>
        <w:t xml:space="preserve">Slavnostním </w:t>
      </w:r>
      <w:r w:rsidR="00434F4C" w:rsidRPr="001617CE">
        <w:rPr>
          <w:rFonts w:cs="Tahoma"/>
          <w:b/>
          <w:szCs w:val="22"/>
        </w:rPr>
        <w:t xml:space="preserve">vyhlašování </w:t>
      </w:r>
      <w:r w:rsidR="00630E98">
        <w:rPr>
          <w:rFonts w:cs="Tahoma"/>
          <w:b/>
          <w:szCs w:val="22"/>
        </w:rPr>
        <w:t xml:space="preserve">výsledků </w:t>
      </w:r>
      <w:r w:rsidR="00434F4C" w:rsidRPr="001617CE">
        <w:rPr>
          <w:rFonts w:cs="Tahoma"/>
          <w:b/>
          <w:szCs w:val="22"/>
        </w:rPr>
        <w:t xml:space="preserve">soutěže Manažer roku </w:t>
      </w:r>
    </w:p>
    <w:p w14:paraId="6CFE9380" w14:textId="77777777" w:rsidR="00434F4C" w:rsidRPr="001617CE" w:rsidRDefault="00434F4C" w:rsidP="00177BED">
      <w:pPr>
        <w:pStyle w:val="Zkladntext"/>
        <w:spacing w:line="276" w:lineRule="auto"/>
        <w:jc w:val="both"/>
        <w:rPr>
          <w:rFonts w:cs="Tahoma"/>
          <w:szCs w:val="22"/>
        </w:rPr>
      </w:pPr>
      <w:r w:rsidRPr="001617CE">
        <w:rPr>
          <w:rFonts w:cs="Tahoma"/>
          <w:szCs w:val="22"/>
        </w:rPr>
        <w:t>uzavřená v souladu s ustanovením § 1746 odst. 2 zákona č. 89/2012 Sb., občanský zákoník, ve znění pozdějších předpisů (dále jen „ občanský zákoník“).</w:t>
      </w:r>
    </w:p>
    <w:p w14:paraId="7D6D8D75" w14:textId="77777777" w:rsidR="00434F4C" w:rsidRPr="001617CE" w:rsidRDefault="00434F4C" w:rsidP="00177BED">
      <w:pPr>
        <w:pStyle w:val="Zkladntext"/>
        <w:spacing w:line="276" w:lineRule="auto"/>
        <w:jc w:val="both"/>
        <w:rPr>
          <w:rFonts w:cs="Tahoma"/>
          <w:b/>
          <w:szCs w:val="22"/>
        </w:rPr>
      </w:pPr>
      <w:r w:rsidRPr="001617CE">
        <w:rPr>
          <w:rFonts w:cs="Tahoma"/>
          <w:szCs w:val="22"/>
        </w:rPr>
        <w:t>Níže uvedeného dne, měsíce a roku uzavřely tyto smluvní strany</w:t>
      </w:r>
    </w:p>
    <w:p w14:paraId="6ED8BA5C" w14:textId="77777777" w:rsidR="00A1738B" w:rsidRPr="001617CE" w:rsidRDefault="00A1738B" w:rsidP="00177BED">
      <w:pPr>
        <w:pStyle w:val="Zkladntext"/>
        <w:spacing w:line="276" w:lineRule="auto"/>
        <w:jc w:val="both"/>
        <w:rPr>
          <w:rFonts w:cs="Tahoma"/>
          <w:b/>
          <w:szCs w:val="22"/>
          <w:lang w:val="en-US"/>
        </w:rPr>
      </w:pPr>
    </w:p>
    <w:p w14:paraId="0B725B2E" w14:textId="77777777" w:rsidR="00A1738B" w:rsidRPr="001617CE" w:rsidRDefault="00A1738B" w:rsidP="00177BED">
      <w:pPr>
        <w:spacing w:after="0" w:line="276" w:lineRule="auto"/>
        <w:jc w:val="both"/>
        <w:rPr>
          <w:szCs w:val="22"/>
        </w:rPr>
      </w:pPr>
      <w:r w:rsidRPr="001617CE">
        <w:rPr>
          <w:szCs w:val="22"/>
        </w:rPr>
        <w:t>Česká republika – Ministerstvo průmyslu a obchodu, organizační složka státu</w:t>
      </w:r>
    </w:p>
    <w:p w14:paraId="3D209BA6" w14:textId="77777777" w:rsidR="00A1738B" w:rsidRPr="001617CE" w:rsidRDefault="00A1738B" w:rsidP="00177BED">
      <w:pPr>
        <w:spacing w:after="0" w:line="276" w:lineRule="auto"/>
        <w:jc w:val="both"/>
        <w:rPr>
          <w:szCs w:val="22"/>
        </w:rPr>
      </w:pPr>
      <w:r w:rsidRPr="001617CE">
        <w:rPr>
          <w:szCs w:val="22"/>
        </w:rPr>
        <w:t>Na Františku 32, 110 15 Praha 1</w:t>
      </w:r>
    </w:p>
    <w:p w14:paraId="27000207" w14:textId="77777777" w:rsidR="00A1738B" w:rsidRPr="001617CE" w:rsidRDefault="00A1738B" w:rsidP="00177BED">
      <w:pPr>
        <w:spacing w:after="0" w:line="276" w:lineRule="auto"/>
        <w:jc w:val="both"/>
        <w:rPr>
          <w:szCs w:val="22"/>
        </w:rPr>
      </w:pPr>
      <w:r w:rsidRPr="001617CE">
        <w:rPr>
          <w:szCs w:val="22"/>
        </w:rPr>
        <w:t>zastoupené JUDr. Ing. Robertem Szurmanem</w:t>
      </w:r>
    </w:p>
    <w:p w14:paraId="465A8E66" w14:textId="77777777" w:rsidR="00A1738B" w:rsidRPr="001617CE" w:rsidRDefault="00A1738B" w:rsidP="00177BED">
      <w:pPr>
        <w:spacing w:after="0" w:line="276" w:lineRule="auto"/>
        <w:jc w:val="both"/>
        <w:rPr>
          <w:szCs w:val="22"/>
        </w:rPr>
      </w:pPr>
      <w:r w:rsidRPr="001617CE">
        <w:rPr>
          <w:szCs w:val="22"/>
        </w:rPr>
        <w:t>IČ:47609109</w:t>
      </w:r>
    </w:p>
    <w:p w14:paraId="1B15C050" w14:textId="77777777" w:rsidR="00A1738B" w:rsidRPr="001617CE" w:rsidRDefault="00A1738B" w:rsidP="00177BED">
      <w:pPr>
        <w:spacing w:after="0" w:line="276" w:lineRule="auto"/>
        <w:jc w:val="both"/>
        <w:rPr>
          <w:szCs w:val="22"/>
        </w:rPr>
      </w:pPr>
      <w:r w:rsidRPr="001617CE">
        <w:rPr>
          <w:szCs w:val="22"/>
        </w:rPr>
        <w:t>DIČ: v oboru své činnosti je MPO osoba nepovinná k DPH</w:t>
      </w:r>
    </w:p>
    <w:p w14:paraId="2C7F8E10" w14:textId="77777777" w:rsidR="00A1738B" w:rsidRPr="001617CE" w:rsidRDefault="00A1738B" w:rsidP="00177BED">
      <w:pPr>
        <w:spacing w:after="0" w:line="276" w:lineRule="auto"/>
        <w:jc w:val="both"/>
        <w:rPr>
          <w:szCs w:val="22"/>
        </w:rPr>
      </w:pPr>
      <w:r w:rsidRPr="001617CE">
        <w:rPr>
          <w:szCs w:val="22"/>
        </w:rPr>
        <w:t>Bankovní spojení: Česká národní banka, pobočka Praha</w:t>
      </w:r>
    </w:p>
    <w:p w14:paraId="3479BCDA" w14:textId="132C57E2" w:rsidR="00A1738B" w:rsidRPr="001617CE" w:rsidRDefault="00A1738B" w:rsidP="00177BED">
      <w:pPr>
        <w:pStyle w:val="Zkladntext"/>
        <w:spacing w:after="0" w:line="276" w:lineRule="auto"/>
        <w:jc w:val="both"/>
        <w:rPr>
          <w:szCs w:val="22"/>
        </w:rPr>
      </w:pPr>
      <w:r w:rsidRPr="001617CE">
        <w:rPr>
          <w:szCs w:val="22"/>
        </w:rPr>
        <w:t>č.ú.:</w:t>
      </w:r>
      <w:r w:rsidR="001617CE" w:rsidRPr="001617CE">
        <w:rPr>
          <w:szCs w:val="22"/>
        </w:rPr>
        <w:t xml:space="preserve"> </w:t>
      </w:r>
      <w:r w:rsidR="005E00FA">
        <w:rPr>
          <w:szCs w:val="22"/>
        </w:rPr>
        <w:t>xxxxxxx</w:t>
      </w:r>
      <w:bookmarkStart w:id="0" w:name="_GoBack"/>
      <w:bookmarkEnd w:id="0"/>
    </w:p>
    <w:p w14:paraId="3D4EC426" w14:textId="77777777" w:rsidR="00A1738B" w:rsidRPr="001617CE" w:rsidRDefault="001617CE" w:rsidP="00177BED">
      <w:pPr>
        <w:pStyle w:val="Zkladntext"/>
        <w:spacing w:line="276" w:lineRule="auto"/>
        <w:jc w:val="both"/>
        <w:rPr>
          <w:rFonts w:cs="Tahoma"/>
          <w:szCs w:val="22"/>
        </w:rPr>
      </w:pPr>
      <w:r w:rsidRPr="001617CE">
        <w:rPr>
          <w:szCs w:val="22"/>
        </w:rPr>
        <w:t>(dále jen „P</w:t>
      </w:r>
      <w:r w:rsidR="00A1738B" w:rsidRPr="001617CE">
        <w:rPr>
          <w:szCs w:val="22"/>
        </w:rPr>
        <w:t>artner“)</w:t>
      </w:r>
    </w:p>
    <w:p w14:paraId="11C7AE30" w14:textId="77777777" w:rsidR="00A1738B" w:rsidRPr="001617CE" w:rsidRDefault="00A1738B" w:rsidP="00177BED">
      <w:pPr>
        <w:pStyle w:val="Zkladntext"/>
        <w:spacing w:line="276" w:lineRule="auto"/>
        <w:jc w:val="both"/>
        <w:rPr>
          <w:rFonts w:cs="Tahoma"/>
          <w:szCs w:val="22"/>
        </w:rPr>
      </w:pPr>
      <w:r w:rsidRPr="001617CE">
        <w:rPr>
          <w:rFonts w:cs="Tahoma"/>
          <w:b/>
          <w:szCs w:val="22"/>
        </w:rPr>
        <w:t>a</w:t>
      </w:r>
    </w:p>
    <w:p w14:paraId="34722CBF" w14:textId="77777777" w:rsidR="00434F4C" w:rsidRPr="001617CE" w:rsidRDefault="001617CE" w:rsidP="00177BED">
      <w:pPr>
        <w:pStyle w:val="Zkladntext"/>
        <w:spacing w:after="0" w:line="276" w:lineRule="auto"/>
        <w:jc w:val="both"/>
        <w:rPr>
          <w:rFonts w:cs="Tahoma"/>
          <w:szCs w:val="22"/>
        </w:rPr>
      </w:pPr>
      <w:r w:rsidRPr="001617CE">
        <w:rPr>
          <w:rFonts w:cs="Tahoma"/>
          <w:szCs w:val="22"/>
        </w:rPr>
        <w:t>Česká manažerská asociace, z.s</w:t>
      </w:r>
    </w:p>
    <w:p w14:paraId="1B2B75E7" w14:textId="77777777" w:rsidR="00434F4C" w:rsidRPr="001617CE" w:rsidRDefault="00434F4C" w:rsidP="00177BED">
      <w:pPr>
        <w:pStyle w:val="Zkladntext"/>
        <w:spacing w:after="0" w:line="276" w:lineRule="auto"/>
        <w:jc w:val="both"/>
        <w:rPr>
          <w:rFonts w:cs="Tahoma"/>
          <w:szCs w:val="22"/>
        </w:rPr>
      </w:pPr>
      <w:r w:rsidRPr="001617CE">
        <w:rPr>
          <w:rFonts w:cs="Tahoma"/>
          <w:szCs w:val="22"/>
        </w:rPr>
        <w:t>Václavské náměstí 831/21. 110 00 Praha 1</w:t>
      </w:r>
    </w:p>
    <w:p w14:paraId="6D56E293" w14:textId="77777777" w:rsidR="00434F4C" w:rsidRPr="001617CE" w:rsidRDefault="00434F4C" w:rsidP="00177BED">
      <w:pPr>
        <w:pStyle w:val="Zkladntext"/>
        <w:spacing w:after="0" w:line="276" w:lineRule="auto"/>
        <w:jc w:val="both"/>
        <w:rPr>
          <w:rFonts w:cs="Tahoma"/>
          <w:szCs w:val="22"/>
        </w:rPr>
      </w:pPr>
      <w:r w:rsidRPr="001617CE">
        <w:rPr>
          <w:rFonts w:cs="Tahoma"/>
          <w:szCs w:val="22"/>
        </w:rPr>
        <w:t>zastoupená</w:t>
      </w:r>
    </w:p>
    <w:p w14:paraId="393F226E" w14:textId="77777777" w:rsidR="00434F4C" w:rsidRPr="001617CE" w:rsidRDefault="00434F4C" w:rsidP="00177BED">
      <w:pPr>
        <w:pStyle w:val="Zkladntext"/>
        <w:spacing w:after="0" w:line="276" w:lineRule="auto"/>
        <w:jc w:val="both"/>
        <w:rPr>
          <w:rFonts w:cs="Tahoma"/>
          <w:szCs w:val="22"/>
        </w:rPr>
      </w:pPr>
      <w:r w:rsidRPr="001617CE">
        <w:rPr>
          <w:rFonts w:cs="Tahoma"/>
          <w:szCs w:val="22"/>
        </w:rPr>
        <w:t>Ing. Pavlem Kafkou, dr.h.c.</w:t>
      </w:r>
    </w:p>
    <w:p w14:paraId="4618A7B5" w14:textId="77777777" w:rsidR="00434F4C" w:rsidRPr="001617CE" w:rsidRDefault="00434F4C" w:rsidP="00177BED">
      <w:pPr>
        <w:pStyle w:val="Zkladntext"/>
        <w:spacing w:after="0" w:line="276" w:lineRule="auto"/>
        <w:jc w:val="both"/>
        <w:rPr>
          <w:rFonts w:cs="Tahoma"/>
          <w:szCs w:val="22"/>
        </w:rPr>
      </w:pPr>
      <w:r w:rsidRPr="001617CE">
        <w:rPr>
          <w:rFonts w:cs="Tahoma"/>
          <w:szCs w:val="22"/>
        </w:rPr>
        <w:t>IČ:</w:t>
      </w:r>
      <w:r w:rsidR="00F953B8" w:rsidRPr="001617CE">
        <w:rPr>
          <w:rFonts w:eastAsiaTheme="majorEastAsia"/>
          <w:szCs w:val="22"/>
        </w:rPr>
        <w:t xml:space="preserve"> </w:t>
      </w:r>
      <w:r w:rsidR="00F953B8" w:rsidRPr="001617CE">
        <w:rPr>
          <w:rStyle w:val="nowrap"/>
          <w:rFonts w:eastAsiaTheme="majorEastAsia"/>
          <w:szCs w:val="22"/>
        </w:rPr>
        <w:t>00570753</w:t>
      </w:r>
    </w:p>
    <w:p w14:paraId="3AE6AB1D" w14:textId="77777777" w:rsidR="00434F4C" w:rsidRPr="001617CE" w:rsidRDefault="00434F4C" w:rsidP="00177BED">
      <w:pPr>
        <w:pStyle w:val="Zkladntext"/>
        <w:spacing w:after="0" w:line="276" w:lineRule="auto"/>
        <w:jc w:val="both"/>
        <w:rPr>
          <w:rFonts w:cs="Tahoma"/>
          <w:szCs w:val="22"/>
        </w:rPr>
      </w:pPr>
      <w:r w:rsidRPr="001617CE">
        <w:rPr>
          <w:rFonts w:cs="Tahoma"/>
          <w:szCs w:val="22"/>
        </w:rPr>
        <w:t>DIČ:</w:t>
      </w:r>
    </w:p>
    <w:p w14:paraId="3E3F41A4" w14:textId="77777777" w:rsidR="00434F4C" w:rsidRPr="001617CE" w:rsidRDefault="00434F4C" w:rsidP="00177BED">
      <w:pPr>
        <w:pStyle w:val="Zkladntext"/>
        <w:spacing w:after="0" w:line="276" w:lineRule="auto"/>
        <w:jc w:val="both"/>
        <w:rPr>
          <w:rFonts w:cs="Tahoma"/>
          <w:szCs w:val="22"/>
        </w:rPr>
      </w:pPr>
      <w:r w:rsidRPr="001617CE">
        <w:rPr>
          <w:rFonts w:cs="Tahoma"/>
          <w:szCs w:val="22"/>
        </w:rPr>
        <w:t>bankovní spojení:</w:t>
      </w:r>
    </w:p>
    <w:p w14:paraId="1BC5FCB5" w14:textId="77777777" w:rsidR="00A1738B" w:rsidRPr="001617CE" w:rsidRDefault="00A1738B" w:rsidP="00177BED">
      <w:pPr>
        <w:pStyle w:val="Zkladntext"/>
        <w:spacing w:line="276" w:lineRule="auto"/>
        <w:jc w:val="both"/>
        <w:rPr>
          <w:rFonts w:cs="Tahoma"/>
          <w:szCs w:val="22"/>
        </w:rPr>
      </w:pPr>
      <w:r w:rsidRPr="001617CE">
        <w:rPr>
          <w:rFonts w:cs="Tahoma"/>
          <w:szCs w:val="22"/>
        </w:rPr>
        <w:t>(</w:t>
      </w:r>
      <w:r w:rsidR="001617CE" w:rsidRPr="001617CE">
        <w:rPr>
          <w:rFonts w:cs="Tahoma"/>
          <w:szCs w:val="22"/>
        </w:rPr>
        <w:t>dále jen „D</w:t>
      </w:r>
      <w:r w:rsidRPr="001617CE">
        <w:rPr>
          <w:rFonts w:cs="Tahoma"/>
          <w:szCs w:val="22"/>
        </w:rPr>
        <w:t>odavatel“)</w:t>
      </w:r>
    </w:p>
    <w:p w14:paraId="157C7436" w14:textId="0E0670D5" w:rsidR="00A1738B" w:rsidRPr="001617CE" w:rsidRDefault="00D35F82" w:rsidP="00177BED">
      <w:pPr>
        <w:spacing w:line="276" w:lineRule="auto"/>
        <w:jc w:val="both"/>
        <w:rPr>
          <w:szCs w:val="22"/>
        </w:rPr>
      </w:pPr>
      <w:r>
        <w:rPr>
          <w:szCs w:val="22"/>
        </w:rPr>
        <w:t>smlouvu o spolupráci při S</w:t>
      </w:r>
      <w:r w:rsidR="00434F4C" w:rsidRPr="001617CE">
        <w:rPr>
          <w:szCs w:val="22"/>
        </w:rPr>
        <w:t xml:space="preserve">lavnostním vyhlašování vítěze soutěže Manažer roku následujícího znění </w:t>
      </w:r>
    </w:p>
    <w:p w14:paraId="628307E4" w14:textId="77777777" w:rsidR="00A1738B" w:rsidRPr="001617CE" w:rsidRDefault="00A1738B" w:rsidP="00177BED">
      <w:pPr>
        <w:spacing w:line="276" w:lineRule="auto"/>
        <w:jc w:val="both"/>
        <w:rPr>
          <w:szCs w:val="22"/>
        </w:rPr>
      </w:pPr>
    </w:p>
    <w:p w14:paraId="57D2B295" w14:textId="77777777" w:rsidR="00A1738B" w:rsidRPr="001617CE" w:rsidRDefault="00A1738B" w:rsidP="00177BED">
      <w:pPr>
        <w:pStyle w:val="Zkladntext"/>
        <w:spacing w:line="276" w:lineRule="auto"/>
        <w:ind w:left="3540" w:firstLine="708"/>
        <w:jc w:val="both"/>
        <w:rPr>
          <w:rFonts w:cs="Tahoma"/>
          <w:b/>
          <w:szCs w:val="22"/>
        </w:rPr>
      </w:pPr>
      <w:r w:rsidRPr="001617CE">
        <w:rPr>
          <w:rFonts w:cs="Tahoma"/>
          <w:b/>
          <w:szCs w:val="22"/>
        </w:rPr>
        <w:t>Čl. I.</w:t>
      </w:r>
    </w:p>
    <w:p w14:paraId="4919E887" w14:textId="77777777" w:rsidR="00F710F2" w:rsidRPr="001617CE" w:rsidRDefault="00F710F2" w:rsidP="00177BED">
      <w:pPr>
        <w:pStyle w:val="Zkladntext"/>
        <w:spacing w:line="276" w:lineRule="auto"/>
        <w:ind w:left="3540" w:firstLine="708"/>
        <w:jc w:val="both"/>
        <w:rPr>
          <w:rFonts w:cs="Tahoma"/>
          <w:b/>
          <w:szCs w:val="22"/>
        </w:rPr>
      </w:pPr>
      <w:r w:rsidRPr="001617CE">
        <w:rPr>
          <w:rFonts w:cs="Tahoma"/>
          <w:b/>
          <w:szCs w:val="22"/>
        </w:rPr>
        <w:t>Preambule</w:t>
      </w:r>
    </w:p>
    <w:p w14:paraId="01FA5A30" w14:textId="77777777" w:rsidR="00F710F2" w:rsidRPr="001617CE" w:rsidRDefault="00F710F2" w:rsidP="00177BED">
      <w:pPr>
        <w:pStyle w:val="Zkladntext"/>
        <w:spacing w:line="276" w:lineRule="auto"/>
        <w:jc w:val="both"/>
        <w:rPr>
          <w:rFonts w:cs="Tahoma"/>
          <w:szCs w:val="22"/>
        </w:rPr>
      </w:pPr>
      <w:r w:rsidRPr="001617CE">
        <w:rPr>
          <w:rFonts w:cs="Tahoma"/>
          <w:szCs w:val="22"/>
        </w:rPr>
        <w:t>Soutěž Manažer roku je veřejná soutěž, jejím</w:t>
      </w:r>
      <w:r w:rsidR="001617CE" w:rsidRPr="001617CE">
        <w:rPr>
          <w:rFonts w:cs="Tahoma"/>
          <w:szCs w:val="22"/>
        </w:rPr>
        <w:t>ž</w:t>
      </w:r>
      <w:r w:rsidRPr="001617CE">
        <w:rPr>
          <w:rFonts w:cs="Tahoma"/>
          <w:szCs w:val="22"/>
        </w:rPr>
        <w:t xml:space="preserve"> cílem je poukázat na zásadní úlohu</w:t>
      </w:r>
      <w:r w:rsidR="001617CE" w:rsidRPr="001617CE">
        <w:rPr>
          <w:rFonts w:cs="Tahoma"/>
          <w:szCs w:val="22"/>
        </w:rPr>
        <w:t xml:space="preserve"> manažerů</w:t>
      </w:r>
      <w:r w:rsidRPr="001617CE">
        <w:rPr>
          <w:rFonts w:cs="Tahoma"/>
          <w:szCs w:val="22"/>
        </w:rPr>
        <w:t xml:space="preserve"> při rozvoji české ekonomiky</w:t>
      </w:r>
      <w:r w:rsidR="001617CE" w:rsidRPr="001617CE">
        <w:rPr>
          <w:rFonts w:cs="Tahoma"/>
          <w:szCs w:val="22"/>
        </w:rPr>
        <w:t>, ocenit jejich práci a seznámit širokou veřejnost s významem práce manažerů pro kvalitu výrobků i poskytovaných služeb.</w:t>
      </w:r>
    </w:p>
    <w:p w14:paraId="7C62A06D" w14:textId="52ACD978" w:rsidR="00F953B8" w:rsidRPr="001617CE" w:rsidRDefault="00F953B8" w:rsidP="00177BED">
      <w:pPr>
        <w:pStyle w:val="Zkladntext"/>
        <w:spacing w:line="276" w:lineRule="auto"/>
        <w:jc w:val="both"/>
        <w:rPr>
          <w:rFonts w:cs="Tahoma"/>
          <w:szCs w:val="22"/>
        </w:rPr>
      </w:pPr>
      <w:r w:rsidRPr="001617CE">
        <w:rPr>
          <w:rFonts w:cs="Tahoma"/>
          <w:szCs w:val="22"/>
        </w:rPr>
        <w:t xml:space="preserve">Česká republika dlouhodobě usiluje o zvyšování kvality </w:t>
      </w:r>
      <w:r w:rsidR="00625226" w:rsidRPr="001617CE">
        <w:rPr>
          <w:rFonts w:cs="Tahoma"/>
          <w:szCs w:val="22"/>
        </w:rPr>
        <w:t xml:space="preserve">ve všech oblastech společnosti. Kvalita řízení subjektů veřejné i soukromé sféry má zásadní vliv jak na kvalitu výrobků, tak služeb soukromého i veřejného sektoru. </w:t>
      </w:r>
      <w:r w:rsidR="00172DD0" w:rsidRPr="001617CE">
        <w:rPr>
          <w:rFonts w:cs="Tahoma"/>
          <w:szCs w:val="22"/>
        </w:rPr>
        <w:t>Prostřednictvím ocenění nejlepších manažerů chce Ministerstvo</w:t>
      </w:r>
      <w:r w:rsidR="001617CE" w:rsidRPr="001617CE">
        <w:rPr>
          <w:rFonts w:cs="Tahoma"/>
          <w:szCs w:val="22"/>
        </w:rPr>
        <w:t xml:space="preserve"> průmyslu a obchodu</w:t>
      </w:r>
      <w:r w:rsidR="00172DD0" w:rsidRPr="001617CE">
        <w:rPr>
          <w:rFonts w:cs="Tahoma"/>
          <w:szCs w:val="22"/>
        </w:rPr>
        <w:t xml:space="preserve"> </w:t>
      </w:r>
      <w:r w:rsidR="00630E98">
        <w:rPr>
          <w:rFonts w:cs="Tahoma"/>
          <w:szCs w:val="22"/>
        </w:rPr>
        <w:t xml:space="preserve">a </w:t>
      </w:r>
      <w:r w:rsidR="00172DD0" w:rsidRPr="001617CE">
        <w:rPr>
          <w:rFonts w:cs="Tahoma"/>
          <w:szCs w:val="22"/>
        </w:rPr>
        <w:t> Rad</w:t>
      </w:r>
      <w:r w:rsidR="00630E98">
        <w:rPr>
          <w:rFonts w:cs="Tahoma"/>
          <w:szCs w:val="22"/>
        </w:rPr>
        <w:t>a</w:t>
      </w:r>
      <w:r w:rsidR="00172DD0" w:rsidRPr="001617CE">
        <w:rPr>
          <w:rFonts w:cs="Tahoma"/>
          <w:szCs w:val="22"/>
        </w:rPr>
        <w:t xml:space="preserve"> kvality </w:t>
      </w:r>
      <w:r w:rsidR="00630E98">
        <w:rPr>
          <w:rFonts w:cs="Tahoma"/>
          <w:szCs w:val="22"/>
        </w:rPr>
        <w:t>České republiky podpořit</w:t>
      </w:r>
      <w:r w:rsidR="00172DD0" w:rsidRPr="001617CE">
        <w:rPr>
          <w:rFonts w:cs="Tahoma"/>
          <w:szCs w:val="22"/>
        </w:rPr>
        <w:t xml:space="preserve"> nejmodernější metody řízení, vývoje a trendy, stejně jako jejich výsledky a tím přispět k rozvoji českého managementu</w:t>
      </w:r>
      <w:r w:rsidR="001617CE" w:rsidRPr="001617CE">
        <w:rPr>
          <w:rFonts w:cs="Tahoma"/>
          <w:szCs w:val="22"/>
        </w:rPr>
        <w:t xml:space="preserve">. </w:t>
      </w:r>
      <w:r w:rsidR="00172DD0" w:rsidRPr="001617CE">
        <w:rPr>
          <w:rFonts w:cs="Tahoma"/>
          <w:szCs w:val="22"/>
        </w:rPr>
        <w:t xml:space="preserve">Jediným subjektem, který </w:t>
      </w:r>
      <w:r w:rsidR="00630E98">
        <w:rPr>
          <w:rFonts w:cs="Tahoma"/>
          <w:szCs w:val="22"/>
        </w:rPr>
        <w:t>realizuje soutěž Manažer roku, včetně Slavnostního vyhlašování výsledků,</w:t>
      </w:r>
      <w:r w:rsidR="00172DD0" w:rsidRPr="001617CE">
        <w:rPr>
          <w:rFonts w:cs="Tahoma"/>
          <w:szCs w:val="22"/>
        </w:rPr>
        <w:t xml:space="preserve"> je </w:t>
      </w:r>
      <w:r w:rsidR="001617CE" w:rsidRPr="001617CE">
        <w:rPr>
          <w:rFonts w:cs="Tahoma"/>
          <w:szCs w:val="22"/>
        </w:rPr>
        <w:t>D</w:t>
      </w:r>
      <w:r w:rsidR="00CB7659" w:rsidRPr="001617CE">
        <w:rPr>
          <w:rFonts w:cs="Tahoma"/>
          <w:szCs w:val="22"/>
        </w:rPr>
        <w:t>odavatel</w:t>
      </w:r>
      <w:r w:rsidR="00172DD0" w:rsidRPr="001617CE">
        <w:rPr>
          <w:rFonts w:cs="Tahoma"/>
          <w:szCs w:val="22"/>
        </w:rPr>
        <w:t xml:space="preserve">. </w:t>
      </w:r>
    </w:p>
    <w:p w14:paraId="6EB17041" w14:textId="6E33121D" w:rsidR="00A1738B" w:rsidRPr="001617CE" w:rsidRDefault="001617CE" w:rsidP="00177BED">
      <w:pPr>
        <w:pStyle w:val="Zkladntext"/>
        <w:spacing w:line="276" w:lineRule="auto"/>
        <w:jc w:val="both"/>
        <w:rPr>
          <w:rFonts w:cs="Tahoma"/>
          <w:szCs w:val="22"/>
        </w:rPr>
      </w:pPr>
      <w:r w:rsidRPr="001617CE">
        <w:rPr>
          <w:rFonts w:cs="Tahoma"/>
          <w:szCs w:val="22"/>
        </w:rPr>
        <w:t>S ohledem na výše uvedené se D</w:t>
      </w:r>
      <w:r w:rsidR="00850D43" w:rsidRPr="001617CE">
        <w:rPr>
          <w:rFonts w:cs="Tahoma"/>
          <w:szCs w:val="22"/>
        </w:rPr>
        <w:t>odavatel a partner dohodl</w:t>
      </w:r>
      <w:r w:rsidR="00630E98">
        <w:rPr>
          <w:rFonts w:cs="Tahoma"/>
          <w:szCs w:val="22"/>
        </w:rPr>
        <w:t>i</w:t>
      </w:r>
      <w:r w:rsidR="00850D43" w:rsidRPr="001617CE">
        <w:rPr>
          <w:rFonts w:cs="Tahoma"/>
          <w:szCs w:val="22"/>
        </w:rPr>
        <w:t xml:space="preserve"> na uzavření této smlouv</w:t>
      </w:r>
      <w:r w:rsidRPr="001617CE">
        <w:rPr>
          <w:rFonts w:cs="Tahoma"/>
          <w:szCs w:val="22"/>
        </w:rPr>
        <w:t>y</w:t>
      </w:r>
      <w:r w:rsidR="00D35F82">
        <w:rPr>
          <w:rFonts w:cs="Tahoma"/>
          <w:szCs w:val="22"/>
        </w:rPr>
        <w:t xml:space="preserve"> o</w:t>
      </w:r>
      <w:r w:rsidR="00850D43" w:rsidRPr="001617CE">
        <w:rPr>
          <w:rFonts w:cs="Tahoma"/>
          <w:szCs w:val="22"/>
        </w:rPr>
        <w:t xml:space="preserve"> spolupráci při </w:t>
      </w:r>
      <w:r w:rsidR="00630E98">
        <w:rPr>
          <w:rFonts w:cs="Tahoma"/>
          <w:szCs w:val="22"/>
        </w:rPr>
        <w:t>S</w:t>
      </w:r>
      <w:r w:rsidR="00850D43" w:rsidRPr="001617CE">
        <w:rPr>
          <w:szCs w:val="22"/>
        </w:rPr>
        <w:t xml:space="preserve">lavnostním vyhlašování </w:t>
      </w:r>
      <w:r w:rsidR="00630E98">
        <w:rPr>
          <w:szCs w:val="22"/>
        </w:rPr>
        <w:t xml:space="preserve">výsledků </w:t>
      </w:r>
      <w:r w:rsidR="00850D43" w:rsidRPr="001617CE">
        <w:rPr>
          <w:szCs w:val="22"/>
        </w:rPr>
        <w:t>soutěže Manažer roku</w:t>
      </w:r>
      <w:r w:rsidRPr="001617CE">
        <w:rPr>
          <w:szCs w:val="22"/>
        </w:rPr>
        <w:t xml:space="preserve"> (dále jen „Smlouva“)</w:t>
      </w:r>
      <w:r w:rsidR="00850D43" w:rsidRPr="001617CE">
        <w:rPr>
          <w:szCs w:val="22"/>
        </w:rPr>
        <w:t xml:space="preserve">. Jejím předmětem je </w:t>
      </w:r>
      <w:r w:rsidR="00A1738B" w:rsidRPr="001617CE">
        <w:rPr>
          <w:rFonts w:cs="Tahoma"/>
          <w:szCs w:val="22"/>
        </w:rPr>
        <w:t xml:space="preserve">úprava a vymezení vzájemných práv a povinností smluvních stran při zajištění spoluúčasti Ministerstva </w:t>
      </w:r>
      <w:r w:rsidR="00A1738B" w:rsidRPr="001617CE">
        <w:rPr>
          <w:rFonts w:cs="Tahoma"/>
          <w:szCs w:val="22"/>
        </w:rPr>
        <w:lastRenderedPageBreak/>
        <w:t xml:space="preserve">průmyslu a obchodu </w:t>
      </w:r>
      <w:r w:rsidR="00630E98">
        <w:rPr>
          <w:rFonts w:cs="Tahoma"/>
          <w:szCs w:val="22"/>
        </w:rPr>
        <w:t xml:space="preserve">a Rady kvality České republiky </w:t>
      </w:r>
      <w:r w:rsidR="00A1738B" w:rsidRPr="001617CE">
        <w:rPr>
          <w:rFonts w:cs="Tahoma"/>
          <w:szCs w:val="22"/>
        </w:rPr>
        <w:t>na</w:t>
      </w:r>
      <w:r w:rsidRPr="001617CE">
        <w:rPr>
          <w:rFonts w:cs="Tahoma"/>
          <w:szCs w:val="22"/>
        </w:rPr>
        <w:t xml:space="preserve"> Slavnostním</w:t>
      </w:r>
      <w:r w:rsidR="00A1738B" w:rsidRPr="001617CE">
        <w:rPr>
          <w:rFonts w:cs="Tahoma"/>
          <w:szCs w:val="22"/>
        </w:rPr>
        <w:t xml:space="preserve"> </w:t>
      </w:r>
      <w:r w:rsidR="002D4E66" w:rsidRPr="001617CE">
        <w:rPr>
          <w:rFonts w:cs="Tahoma"/>
          <w:szCs w:val="22"/>
        </w:rPr>
        <w:t>vyhl</w:t>
      </w:r>
      <w:r w:rsidR="00630E98">
        <w:rPr>
          <w:rFonts w:cs="Tahoma"/>
          <w:szCs w:val="22"/>
        </w:rPr>
        <w:t>ašování</w:t>
      </w:r>
      <w:r w:rsidR="005145E8" w:rsidRPr="001617CE">
        <w:rPr>
          <w:rFonts w:cs="Tahoma"/>
          <w:szCs w:val="22"/>
        </w:rPr>
        <w:t xml:space="preserve"> </w:t>
      </w:r>
      <w:r w:rsidR="00630E98">
        <w:rPr>
          <w:rFonts w:cs="Tahoma"/>
          <w:szCs w:val="22"/>
        </w:rPr>
        <w:t xml:space="preserve">výsledků </w:t>
      </w:r>
      <w:r w:rsidR="005145E8" w:rsidRPr="001617CE">
        <w:rPr>
          <w:rFonts w:cs="Tahoma"/>
          <w:szCs w:val="22"/>
        </w:rPr>
        <w:t>soutěže M</w:t>
      </w:r>
      <w:r w:rsidR="00132B65" w:rsidRPr="001617CE">
        <w:rPr>
          <w:rFonts w:cs="Tahoma"/>
          <w:szCs w:val="22"/>
        </w:rPr>
        <w:t>anažer roku</w:t>
      </w:r>
      <w:r w:rsidR="00A1738B" w:rsidRPr="001617CE">
        <w:rPr>
          <w:rFonts w:cs="Tahoma"/>
          <w:szCs w:val="22"/>
        </w:rPr>
        <w:t xml:space="preserve">, která se uskuteční </w:t>
      </w:r>
      <w:r w:rsidR="00132B65" w:rsidRPr="001617CE">
        <w:rPr>
          <w:rFonts w:cs="Tahoma"/>
          <w:szCs w:val="22"/>
        </w:rPr>
        <w:t>20. dubna 2017 v Paláci Žofín Praha</w:t>
      </w:r>
      <w:r w:rsidR="002D4E66" w:rsidRPr="001617CE">
        <w:rPr>
          <w:rFonts w:cs="Tahoma"/>
          <w:szCs w:val="22"/>
        </w:rPr>
        <w:t>.</w:t>
      </w:r>
    </w:p>
    <w:p w14:paraId="282C6BB8" w14:textId="77777777" w:rsidR="002D4E66" w:rsidRPr="001617CE" w:rsidRDefault="001617CE" w:rsidP="00177BED">
      <w:pPr>
        <w:pStyle w:val="Zkladntext"/>
        <w:spacing w:line="276" w:lineRule="auto"/>
        <w:jc w:val="both"/>
        <w:rPr>
          <w:szCs w:val="22"/>
        </w:rPr>
      </w:pPr>
      <w:r w:rsidRPr="001617CE">
        <w:rPr>
          <w:szCs w:val="22"/>
        </w:rPr>
        <w:t>Dodavatel s uzavřením této S</w:t>
      </w:r>
      <w:r w:rsidR="002D4E66" w:rsidRPr="001617CE">
        <w:rPr>
          <w:szCs w:val="22"/>
        </w:rPr>
        <w:t>mlouvy vyjadřuje svůj souhlas.</w:t>
      </w:r>
      <w:r w:rsidRPr="001617CE">
        <w:rPr>
          <w:szCs w:val="22"/>
        </w:rPr>
        <w:t xml:space="preserve"> Smluvní strany se dohodly, že P</w:t>
      </w:r>
      <w:r w:rsidR="002D4E66" w:rsidRPr="001617CE">
        <w:rPr>
          <w:szCs w:val="22"/>
        </w:rPr>
        <w:t>artnerovi z této smlouvy ani z jejích dodatků nevzniknou jiné závazky, než je úhrada nájemného nebytových prostor</w:t>
      </w:r>
      <w:r w:rsidR="00F82244" w:rsidRPr="001617CE">
        <w:rPr>
          <w:szCs w:val="22"/>
        </w:rPr>
        <w:t xml:space="preserve"> Paláce Žofín na den 20. dubna 2017</w:t>
      </w:r>
      <w:r w:rsidR="002D4E66" w:rsidRPr="001617CE">
        <w:rPr>
          <w:szCs w:val="22"/>
        </w:rPr>
        <w:t>, ve kter</w:t>
      </w:r>
      <w:r w:rsidR="00F82244" w:rsidRPr="001617CE">
        <w:rPr>
          <w:szCs w:val="22"/>
        </w:rPr>
        <w:t>ém</w:t>
      </w:r>
      <w:r w:rsidRPr="001617CE">
        <w:rPr>
          <w:szCs w:val="22"/>
        </w:rPr>
        <w:t xml:space="preserve"> bude probíhat S</w:t>
      </w:r>
      <w:r w:rsidR="002D4E66" w:rsidRPr="001617CE">
        <w:rPr>
          <w:szCs w:val="22"/>
        </w:rPr>
        <w:t xml:space="preserve">lavnostní vyhlašování </w:t>
      </w:r>
      <w:r w:rsidR="00630E98">
        <w:rPr>
          <w:szCs w:val="22"/>
        </w:rPr>
        <w:t xml:space="preserve">výsledků </w:t>
      </w:r>
      <w:r w:rsidR="002D4E66" w:rsidRPr="001617CE">
        <w:rPr>
          <w:szCs w:val="22"/>
        </w:rPr>
        <w:t>soutěže Manažer roku.</w:t>
      </w:r>
    </w:p>
    <w:p w14:paraId="4B2D404B" w14:textId="77777777" w:rsidR="00A1738B" w:rsidRPr="001617CE" w:rsidRDefault="00A1738B" w:rsidP="00177BED">
      <w:pPr>
        <w:pStyle w:val="Zkladntext"/>
        <w:spacing w:line="276" w:lineRule="auto"/>
        <w:jc w:val="center"/>
        <w:rPr>
          <w:rFonts w:cs="Tahoma"/>
          <w:b/>
          <w:szCs w:val="22"/>
        </w:rPr>
      </w:pPr>
      <w:r w:rsidRPr="001617CE">
        <w:rPr>
          <w:rFonts w:cs="Tahoma"/>
          <w:b/>
          <w:szCs w:val="22"/>
        </w:rPr>
        <w:t>Čl. II.</w:t>
      </w:r>
    </w:p>
    <w:p w14:paraId="22085DE8" w14:textId="77777777" w:rsidR="00A1738B" w:rsidRPr="001617CE" w:rsidRDefault="00A1738B" w:rsidP="00177BED">
      <w:pPr>
        <w:pStyle w:val="Zkladntext"/>
        <w:spacing w:line="276" w:lineRule="auto"/>
        <w:jc w:val="center"/>
        <w:rPr>
          <w:rFonts w:cs="Tahoma"/>
          <w:b/>
          <w:szCs w:val="22"/>
        </w:rPr>
      </w:pPr>
      <w:r w:rsidRPr="001617CE">
        <w:rPr>
          <w:rFonts w:cs="Tahoma"/>
          <w:b/>
          <w:szCs w:val="22"/>
        </w:rPr>
        <w:t>Závazky smluvních stran</w:t>
      </w:r>
    </w:p>
    <w:p w14:paraId="36074CE5" w14:textId="788E8558" w:rsidR="00A1738B" w:rsidRPr="00772013" w:rsidRDefault="00772013" w:rsidP="00177BED">
      <w:pPr>
        <w:pStyle w:val="Odstavecseseznamem"/>
        <w:numPr>
          <w:ilvl w:val="0"/>
          <w:numId w:val="37"/>
        </w:numPr>
        <w:tabs>
          <w:tab w:val="clear" w:pos="705"/>
          <w:tab w:val="num" w:pos="142"/>
        </w:tabs>
        <w:overflowPunct/>
        <w:autoSpaceDE/>
        <w:autoSpaceDN/>
        <w:adjustRightInd/>
        <w:spacing w:after="240" w:line="276" w:lineRule="auto"/>
        <w:ind w:left="284" w:hanging="284"/>
        <w:jc w:val="both"/>
        <w:textAlignment w:val="auto"/>
        <w:rPr>
          <w:rFonts w:cs="Tahoma"/>
          <w:szCs w:val="22"/>
        </w:rPr>
      </w:pPr>
      <w:r w:rsidRPr="001617CE">
        <w:rPr>
          <w:rFonts w:cs="Tahoma"/>
          <w:szCs w:val="22"/>
        </w:rPr>
        <w:t xml:space="preserve">Dodavatel se zavazuje propagovat </w:t>
      </w:r>
      <w:r w:rsidR="00F50CA8">
        <w:rPr>
          <w:rFonts w:cs="Tahoma"/>
          <w:szCs w:val="22"/>
        </w:rPr>
        <w:t>Partnera</w:t>
      </w:r>
      <w:r>
        <w:rPr>
          <w:rFonts w:cs="Tahoma"/>
          <w:szCs w:val="22"/>
        </w:rPr>
        <w:t xml:space="preserve"> a </w:t>
      </w:r>
      <w:r w:rsidRPr="001617CE">
        <w:rPr>
          <w:rFonts w:cs="Tahoma"/>
          <w:szCs w:val="22"/>
        </w:rPr>
        <w:t xml:space="preserve">Radu kvality České republiky a oblast kvality v rámci </w:t>
      </w:r>
      <w:r>
        <w:rPr>
          <w:rFonts w:cs="Tahoma"/>
          <w:szCs w:val="22"/>
        </w:rPr>
        <w:t>S</w:t>
      </w:r>
      <w:r w:rsidRPr="001617CE">
        <w:rPr>
          <w:rFonts w:cs="Tahoma"/>
          <w:szCs w:val="22"/>
        </w:rPr>
        <w:t xml:space="preserve">lavnostního </w:t>
      </w:r>
      <w:r>
        <w:rPr>
          <w:rFonts w:cs="Tahoma"/>
          <w:szCs w:val="22"/>
        </w:rPr>
        <w:t xml:space="preserve">vyhlašování výsledků soutěže Manažer roku tak, že na pozvánku na Slavnostní vyhlašování výsledků soutěže Manažer roku umístí logo Národní politiky kvality a </w:t>
      </w:r>
      <w:r w:rsidRPr="001617CE">
        <w:rPr>
          <w:rFonts w:cs="Tahoma"/>
          <w:szCs w:val="22"/>
        </w:rPr>
        <w:t xml:space="preserve">na </w:t>
      </w:r>
      <w:r>
        <w:rPr>
          <w:rFonts w:cs="Tahoma"/>
          <w:szCs w:val="22"/>
        </w:rPr>
        <w:t>S</w:t>
      </w:r>
      <w:r w:rsidRPr="001617CE">
        <w:rPr>
          <w:rFonts w:cs="Tahoma"/>
          <w:szCs w:val="22"/>
        </w:rPr>
        <w:t xml:space="preserve">lavnostním </w:t>
      </w:r>
      <w:r>
        <w:rPr>
          <w:rFonts w:cs="Tahoma"/>
          <w:szCs w:val="22"/>
        </w:rPr>
        <w:t xml:space="preserve">vyhlašování výsledků </w:t>
      </w:r>
      <w:r w:rsidRPr="001617CE">
        <w:rPr>
          <w:rFonts w:cs="Tahoma"/>
          <w:szCs w:val="22"/>
        </w:rPr>
        <w:t>soutěže Manažer roku a v souvislosti s ní</w:t>
      </w:r>
      <w:r>
        <w:rPr>
          <w:rFonts w:cs="Tahoma"/>
          <w:szCs w:val="22"/>
        </w:rPr>
        <w:t>m</w:t>
      </w:r>
      <w:r w:rsidRPr="001617CE">
        <w:rPr>
          <w:rFonts w:cs="Tahoma"/>
          <w:szCs w:val="22"/>
        </w:rPr>
        <w:t xml:space="preserve"> prezentovat </w:t>
      </w:r>
      <w:r w:rsidR="00F50CA8">
        <w:rPr>
          <w:rFonts w:cs="Tahoma"/>
          <w:szCs w:val="22"/>
        </w:rPr>
        <w:t xml:space="preserve">Partnera a </w:t>
      </w:r>
      <w:r w:rsidRPr="001617CE">
        <w:rPr>
          <w:rFonts w:cs="Tahoma"/>
          <w:szCs w:val="22"/>
        </w:rPr>
        <w:t>Radu kvality České republiky uvedením Národní politiky kvality mezi partnery na webové stránce soutěže Manažer roku</w:t>
      </w:r>
      <w:r>
        <w:rPr>
          <w:rFonts w:cs="Tahoma"/>
          <w:szCs w:val="22"/>
        </w:rPr>
        <w:t>.</w:t>
      </w:r>
    </w:p>
    <w:p w14:paraId="1D19D03D" w14:textId="77777777" w:rsidR="00A1738B" w:rsidRPr="001617CE" w:rsidRDefault="00A1738B" w:rsidP="00177BED">
      <w:pPr>
        <w:pStyle w:val="Odstavecseseznamem"/>
        <w:numPr>
          <w:ilvl w:val="0"/>
          <w:numId w:val="37"/>
        </w:numPr>
        <w:tabs>
          <w:tab w:val="clear" w:pos="705"/>
        </w:tabs>
        <w:overflowPunct/>
        <w:autoSpaceDE/>
        <w:autoSpaceDN/>
        <w:adjustRightInd/>
        <w:spacing w:after="240" w:line="276" w:lineRule="auto"/>
        <w:ind w:left="284" w:hanging="284"/>
        <w:jc w:val="both"/>
        <w:textAlignment w:val="auto"/>
        <w:rPr>
          <w:rFonts w:cs="Tahoma"/>
          <w:szCs w:val="22"/>
        </w:rPr>
      </w:pPr>
      <w:r w:rsidRPr="001617CE">
        <w:rPr>
          <w:rFonts w:cs="Tahoma"/>
          <w:szCs w:val="22"/>
        </w:rPr>
        <w:t>Dodavatel se dále zavazuje:</w:t>
      </w:r>
    </w:p>
    <w:p w14:paraId="02568503" w14:textId="77777777" w:rsidR="00A1738B" w:rsidRPr="001617CE" w:rsidRDefault="00A1738B" w:rsidP="00177BED">
      <w:pPr>
        <w:pStyle w:val="Odstavecseseznamem"/>
        <w:numPr>
          <w:ilvl w:val="0"/>
          <w:numId w:val="39"/>
        </w:numPr>
        <w:overflowPunct/>
        <w:autoSpaceDE/>
        <w:autoSpaceDN/>
        <w:adjustRightInd/>
        <w:spacing w:after="240" w:line="276" w:lineRule="auto"/>
        <w:ind w:left="284" w:hanging="284"/>
        <w:jc w:val="both"/>
        <w:textAlignment w:val="auto"/>
        <w:rPr>
          <w:rFonts w:cs="Tahoma"/>
          <w:szCs w:val="22"/>
        </w:rPr>
      </w:pPr>
      <w:r w:rsidRPr="001617CE">
        <w:rPr>
          <w:rFonts w:cs="Tahoma"/>
          <w:szCs w:val="22"/>
        </w:rPr>
        <w:t xml:space="preserve">zabezpečit pro </w:t>
      </w:r>
      <w:r w:rsidR="001617CE">
        <w:rPr>
          <w:rFonts w:cs="Tahoma"/>
          <w:szCs w:val="22"/>
        </w:rPr>
        <w:t>P</w:t>
      </w:r>
      <w:r w:rsidR="003C4CDC" w:rsidRPr="001617CE">
        <w:rPr>
          <w:rFonts w:cs="Tahoma"/>
          <w:szCs w:val="22"/>
        </w:rPr>
        <w:t>artnera</w:t>
      </w:r>
      <w:r w:rsidR="001617CE">
        <w:rPr>
          <w:rFonts w:cs="Tahoma"/>
          <w:szCs w:val="22"/>
        </w:rPr>
        <w:t xml:space="preserve"> deset bezplatných vstupů </w:t>
      </w:r>
      <w:r w:rsidR="00D1665D">
        <w:rPr>
          <w:rFonts w:cs="Tahoma"/>
          <w:szCs w:val="22"/>
        </w:rPr>
        <w:t>na Slavnostní vyhlašování výsledků soutěže Manažer roku,</w:t>
      </w:r>
    </w:p>
    <w:p w14:paraId="539E67FF" w14:textId="197DCF7C" w:rsidR="00A1738B" w:rsidRPr="00CD0515" w:rsidRDefault="001617CE" w:rsidP="00177BED">
      <w:pPr>
        <w:pStyle w:val="Odstavecseseznamem"/>
        <w:numPr>
          <w:ilvl w:val="0"/>
          <w:numId w:val="40"/>
        </w:numPr>
        <w:overflowPunct/>
        <w:autoSpaceDE/>
        <w:autoSpaceDN/>
        <w:adjustRightInd/>
        <w:spacing w:after="240" w:line="276" w:lineRule="auto"/>
        <w:ind w:left="284" w:hanging="284"/>
        <w:jc w:val="both"/>
        <w:textAlignment w:val="auto"/>
        <w:rPr>
          <w:rFonts w:cs="Tahoma"/>
          <w:szCs w:val="22"/>
        </w:rPr>
      </w:pPr>
      <w:r>
        <w:rPr>
          <w:rFonts w:cs="Tahoma"/>
          <w:szCs w:val="22"/>
        </w:rPr>
        <w:t>předložit P</w:t>
      </w:r>
      <w:r w:rsidR="003C4CDC" w:rsidRPr="001617CE">
        <w:rPr>
          <w:rFonts w:cs="Tahoma"/>
          <w:szCs w:val="22"/>
        </w:rPr>
        <w:t xml:space="preserve">artnerovi smlouvu o nájmu nebytových prostor pro konání </w:t>
      </w:r>
      <w:r>
        <w:rPr>
          <w:rFonts w:cs="Tahoma"/>
          <w:szCs w:val="22"/>
        </w:rPr>
        <w:t>S</w:t>
      </w:r>
      <w:r w:rsidR="00132B65" w:rsidRPr="001617CE">
        <w:rPr>
          <w:rFonts w:cs="Tahoma"/>
          <w:szCs w:val="22"/>
        </w:rPr>
        <w:t xml:space="preserve">lavnostního </w:t>
      </w:r>
      <w:r w:rsidR="00D1665D">
        <w:rPr>
          <w:rFonts w:cs="Tahoma"/>
          <w:szCs w:val="22"/>
        </w:rPr>
        <w:t xml:space="preserve">vyhlašování výsledků </w:t>
      </w:r>
      <w:r w:rsidR="00F82244" w:rsidRPr="001617CE">
        <w:rPr>
          <w:rFonts w:cs="Tahoma"/>
          <w:szCs w:val="22"/>
        </w:rPr>
        <w:t>soutěže M</w:t>
      </w:r>
      <w:r w:rsidR="002D4E66" w:rsidRPr="001617CE">
        <w:rPr>
          <w:rFonts w:cs="Tahoma"/>
          <w:szCs w:val="22"/>
        </w:rPr>
        <w:t>anažer roku</w:t>
      </w:r>
      <w:r w:rsidR="00CD0515">
        <w:rPr>
          <w:rFonts w:cs="Tahoma"/>
          <w:szCs w:val="22"/>
        </w:rPr>
        <w:t xml:space="preserve"> mezi D</w:t>
      </w:r>
      <w:r w:rsidR="003C4CDC" w:rsidRPr="001617CE">
        <w:rPr>
          <w:rFonts w:cs="Tahoma"/>
          <w:szCs w:val="22"/>
        </w:rPr>
        <w:t>odavatel</w:t>
      </w:r>
      <w:r w:rsidR="00B76DE2" w:rsidRPr="001617CE">
        <w:rPr>
          <w:rFonts w:cs="Tahoma"/>
          <w:szCs w:val="22"/>
        </w:rPr>
        <w:t>em</w:t>
      </w:r>
      <w:r w:rsidR="003C4CDC" w:rsidRPr="001617CE">
        <w:rPr>
          <w:rFonts w:cs="Tahoma"/>
          <w:szCs w:val="22"/>
        </w:rPr>
        <w:t xml:space="preserve"> a pronajímatelem</w:t>
      </w:r>
      <w:r w:rsidR="00B76DE2" w:rsidRPr="001617CE">
        <w:rPr>
          <w:rFonts w:cs="Tahoma"/>
          <w:szCs w:val="22"/>
        </w:rPr>
        <w:t xml:space="preserve"> na fak</w:t>
      </w:r>
      <w:r w:rsidR="00132B65" w:rsidRPr="001617CE">
        <w:rPr>
          <w:rFonts w:cs="Tahoma"/>
          <w:szCs w:val="22"/>
        </w:rPr>
        <w:t xml:space="preserve">turační adresu </w:t>
      </w:r>
      <w:r w:rsidR="00F50CA8">
        <w:rPr>
          <w:rFonts w:cs="Tahoma"/>
          <w:szCs w:val="22"/>
        </w:rPr>
        <w:t xml:space="preserve">Partnera </w:t>
      </w:r>
      <w:r w:rsidR="00132B65" w:rsidRPr="001617CE">
        <w:rPr>
          <w:rFonts w:cs="Tahoma"/>
          <w:szCs w:val="22"/>
        </w:rPr>
        <w:t>nejpozději do 20. dubna 2017</w:t>
      </w:r>
      <w:r w:rsidR="00F50CA8">
        <w:rPr>
          <w:rFonts w:cs="Tahoma"/>
          <w:szCs w:val="22"/>
        </w:rPr>
        <w:t>.</w:t>
      </w:r>
    </w:p>
    <w:p w14:paraId="7F088045" w14:textId="77777777" w:rsidR="00A1738B" w:rsidRPr="001617CE" w:rsidRDefault="00A1738B" w:rsidP="00177BED">
      <w:pPr>
        <w:pStyle w:val="Odstavecseseznamem"/>
        <w:numPr>
          <w:ilvl w:val="0"/>
          <w:numId w:val="37"/>
        </w:numPr>
        <w:tabs>
          <w:tab w:val="clear" w:pos="705"/>
          <w:tab w:val="num" w:pos="142"/>
        </w:tabs>
        <w:overflowPunct/>
        <w:autoSpaceDE/>
        <w:autoSpaceDN/>
        <w:adjustRightInd/>
        <w:spacing w:after="240" w:line="276" w:lineRule="auto"/>
        <w:ind w:left="284" w:hanging="284"/>
        <w:jc w:val="both"/>
        <w:textAlignment w:val="auto"/>
        <w:rPr>
          <w:rFonts w:cs="Tahoma"/>
          <w:szCs w:val="22"/>
        </w:rPr>
      </w:pPr>
      <w:r w:rsidRPr="001617CE">
        <w:rPr>
          <w:rFonts w:cs="Tahoma"/>
          <w:szCs w:val="22"/>
        </w:rPr>
        <w:t>Partner se zavazuje:</w:t>
      </w:r>
    </w:p>
    <w:p w14:paraId="042DC0B8" w14:textId="3B612141" w:rsidR="00A1738B" w:rsidRPr="001617CE" w:rsidRDefault="00A1738B" w:rsidP="00177BED">
      <w:pPr>
        <w:pStyle w:val="Odstavecseseznamem"/>
        <w:numPr>
          <w:ilvl w:val="0"/>
          <w:numId w:val="41"/>
        </w:numPr>
        <w:overflowPunct/>
        <w:autoSpaceDE/>
        <w:autoSpaceDN/>
        <w:adjustRightInd/>
        <w:spacing w:after="240" w:line="276" w:lineRule="auto"/>
        <w:ind w:left="284" w:hanging="284"/>
        <w:jc w:val="both"/>
        <w:textAlignment w:val="auto"/>
        <w:rPr>
          <w:rFonts w:cs="Tahoma"/>
          <w:szCs w:val="22"/>
        </w:rPr>
      </w:pPr>
      <w:r w:rsidRPr="001617CE">
        <w:rPr>
          <w:rFonts w:cs="Tahoma"/>
          <w:szCs w:val="22"/>
        </w:rPr>
        <w:t xml:space="preserve">zajistit úhradu výdajů za nájem nebytových prostor </w:t>
      </w:r>
      <w:r w:rsidR="00132B65" w:rsidRPr="001617CE">
        <w:rPr>
          <w:rFonts w:cs="Tahoma"/>
          <w:szCs w:val="22"/>
        </w:rPr>
        <w:t>Palác Žofín</w:t>
      </w:r>
      <w:r w:rsidR="00782FF4" w:rsidRPr="001617CE">
        <w:rPr>
          <w:rFonts w:cs="Tahoma"/>
          <w:szCs w:val="22"/>
        </w:rPr>
        <w:t xml:space="preserve"> Praha</w:t>
      </w:r>
      <w:r w:rsidR="003C4CDC" w:rsidRPr="001617CE">
        <w:rPr>
          <w:rFonts w:cs="Tahoma"/>
          <w:szCs w:val="22"/>
        </w:rPr>
        <w:t xml:space="preserve"> </w:t>
      </w:r>
      <w:r w:rsidR="00CD0515">
        <w:rPr>
          <w:rFonts w:cs="Tahoma"/>
          <w:szCs w:val="22"/>
        </w:rPr>
        <w:t>pronajatých D</w:t>
      </w:r>
      <w:r w:rsidRPr="001617CE">
        <w:rPr>
          <w:rFonts w:cs="Tahoma"/>
          <w:szCs w:val="22"/>
        </w:rPr>
        <w:t>odavatelem za účelem konání</w:t>
      </w:r>
      <w:r w:rsidR="00CD0515">
        <w:rPr>
          <w:rFonts w:cs="Tahoma"/>
          <w:szCs w:val="22"/>
        </w:rPr>
        <w:t xml:space="preserve"> S</w:t>
      </w:r>
      <w:r w:rsidR="00782FF4" w:rsidRPr="001617CE">
        <w:rPr>
          <w:rFonts w:cs="Tahoma"/>
          <w:szCs w:val="22"/>
        </w:rPr>
        <w:t xml:space="preserve">lavnostního </w:t>
      </w:r>
      <w:r w:rsidR="00D1665D">
        <w:rPr>
          <w:rFonts w:cs="Tahoma"/>
          <w:szCs w:val="22"/>
        </w:rPr>
        <w:t xml:space="preserve">vyhlašování výsledků </w:t>
      </w:r>
      <w:r w:rsidR="00782FF4" w:rsidRPr="001617CE">
        <w:rPr>
          <w:rFonts w:cs="Tahoma"/>
          <w:szCs w:val="22"/>
        </w:rPr>
        <w:t xml:space="preserve">soutěže Manažer roku </w:t>
      </w:r>
      <w:r w:rsidR="002D4E66" w:rsidRPr="001617CE">
        <w:rPr>
          <w:rFonts w:cs="Tahoma"/>
          <w:szCs w:val="22"/>
        </w:rPr>
        <w:t xml:space="preserve">konané dne 20. dubna 2017 v paláci Žofín </w:t>
      </w:r>
      <w:r w:rsidR="00CD0515">
        <w:rPr>
          <w:rFonts w:cs="Tahoma"/>
          <w:szCs w:val="22"/>
        </w:rPr>
        <w:t>podle čl. III. této S</w:t>
      </w:r>
      <w:r w:rsidRPr="001617CE">
        <w:rPr>
          <w:rFonts w:cs="Tahoma"/>
          <w:szCs w:val="22"/>
        </w:rPr>
        <w:t>mlouvy,</w:t>
      </w:r>
    </w:p>
    <w:p w14:paraId="60F1DEB2" w14:textId="15501656" w:rsidR="00A1738B" w:rsidRPr="001617CE" w:rsidRDefault="00A1738B" w:rsidP="00177BED">
      <w:pPr>
        <w:pStyle w:val="Odstavecseseznamem"/>
        <w:numPr>
          <w:ilvl w:val="0"/>
          <w:numId w:val="41"/>
        </w:numPr>
        <w:overflowPunct/>
        <w:autoSpaceDE/>
        <w:autoSpaceDN/>
        <w:adjustRightInd/>
        <w:spacing w:after="240" w:line="276" w:lineRule="auto"/>
        <w:ind w:left="284" w:hanging="284"/>
        <w:jc w:val="both"/>
        <w:textAlignment w:val="auto"/>
        <w:rPr>
          <w:rFonts w:cs="Tahoma"/>
          <w:szCs w:val="22"/>
        </w:rPr>
      </w:pPr>
      <w:r w:rsidRPr="001617CE">
        <w:rPr>
          <w:rFonts w:cs="Tahoma"/>
          <w:szCs w:val="22"/>
        </w:rPr>
        <w:t xml:space="preserve">poskytnout </w:t>
      </w:r>
      <w:r w:rsidR="00D1665D">
        <w:rPr>
          <w:rFonts w:cs="Tahoma"/>
          <w:szCs w:val="22"/>
        </w:rPr>
        <w:t>D</w:t>
      </w:r>
      <w:r w:rsidRPr="001617CE">
        <w:rPr>
          <w:rFonts w:cs="Tahoma"/>
          <w:szCs w:val="22"/>
        </w:rPr>
        <w:t>odavateli potřebnou součinnost při plnění této smlouvy.</w:t>
      </w:r>
    </w:p>
    <w:p w14:paraId="39F9375E" w14:textId="77777777" w:rsidR="00A1738B" w:rsidRPr="001617CE" w:rsidRDefault="00A1738B" w:rsidP="00177BED">
      <w:pPr>
        <w:pStyle w:val="Odstavecseseznamem"/>
        <w:overflowPunct/>
        <w:autoSpaceDE/>
        <w:autoSpaceDN/>
        <w:adjustRightInd/>
        <w:spacing w:after="240" w:line="276" w:lineRule="auto"/>
        <w:ind w:left="1065"/>
        <w:jc w:val="both"/>
        <w:textAlignment w:val="auto"/>
        <w:rPr>
          <w:rFonts w:cs="Tahoma"/>
          <w:szCs w:val="22"/>
        </w:rPr>
      </w:pPr>
    </w:p>
    <w:p w14:paraId="28CDEFC9" w14:textId="77777777" w:rsidR="00A1738B" w:rsidRPr="001617CE" w:rsidRDefault="00A1738B" w:rsidP="00177BED">
      <w:pPr>
        <w:pStyle w:val="Zkladntext"/>
        <w:spacing w:line="276" w:lineRule="auto"/>
        <w:jc w:val="center"/>
        <w:rPr>
          <w:rFonts w:cs="Tahoma"/>
          <w:b/>
          <w:szCs w:val="22"/>
        </w:rPr>
      </w:pPr>
      <w:r w:rsidRPr="001617CE">
        <w:rPr>
          <w:rFonts w:cs="Tahoma"/>
          <w:b/>
          <w:szCs w:val="22"/>
        </w:rPr>
        <w:t>Čl. III.</w:t>
      </w:r>
    </w:p>
    <w:p w14:paraId="7F74B54D" w14:textId="77777777" w:rsidR="00A1738B" w:rsidRPr="00CD0515" w:rsidRDefault="00A1738B" w:rsidP="00177BED">
      <w:pPr>
        <w:pStyle w:val="Zkladntext"/>
        <w:spacing w:line="276" w:lineRule="auto"/>
        <w:jc w:val="center"/>
        <w:rPr>
          <w:rFonts w:cs="Tahoma"/>
          <w:b/>
          <w:szCs w:val="22"/>
        </w:rPr>
      </w:pPr>
      <w:r w:rsidRPr="001617CE">
        <w:rPr>
          <w:rFonts w:cs="Tahoma"/>
          <w:b/>
          <w:szCs w:val="22"/>
        </w:rPr>
        <w:t>Cena a platební podmínky</w:t>
      </w:r>
    </w:p>
    <w:p w14:paraId="3B5C4F85" w14:textId="77777777" w:rsidR="00A1738B" w:rsidRPr="001617CE" w:rsidRDefault="002D4E66" w:rsidP="00177BED">
      <w:pPr>
        <w:pStyle w:val="Zkladntext"/>
        <w:widowControl w:val="0"/>
        <w:numPr>
          <w:ilvl w:val="0"/>
          <w:numId w:val="42"/>
        </w:numPr>
        <w:overflowPunct/>
        <w:autoSpaceDE/>
        <w:autoSpaceDN/>
        <w:adjustRightInd/>
        <w:spacing w:after="0" w:line="276" w:lineRule="auto"/>
        <w:ind w:left="284" w:hanging="284"/>
        <w:jc w:val="both"/>
        <w:textAlignment w:val="auto"/>
        <w:rPr>
          <w:rFonts w:cs="Tahoma"/>
          <w:szCs w:val="22"/>
        </w:rPr>
      </w:pPr>
      <w:r w:rsidRPr="001617CE">
        <w:rPr>
          <w:rFonts w:cs="Tahoma"/>
          <w:szCs w:val="22"/>
        </w:rPr>
        <w:t>Celková cena</w:t>
      </w:r>
      <w:r w:rsidR="00A1738B" w:rsidRPr="001617CE">
        <w:rPr>
          <w:rFonts w:cs="Tahoma"/>
          <w:szCs w:val="22"/>
        </w:rPr>
        <w:t xml:space="preserve"> za nájem nebytových prostor činí </w:t>
      </w:r>
      <w:r w:rsidRPr="001617CE">
        <w:rPr>
          <w:rFonts w:cs="Tahoma"/>
          <w:szCs w:val="22"/>
        </w:rPr>
        <w:t>60 000</w:t>
      </w:r>
      <w:r w:rsidR="00A1738B" w:rsidRPr="001617CE">
        <w:rPr>
          <w:rFonts w:cs="Tahoma"/>
          <w:szCs w:val="22"/>
        </w:rPr>
        <w:t xml:space="preserve">,- Kč </w:t>
      </w:r>
      <w:r w:rsidRPr="001617CE">
        <w:rPr>
          <w:rFonts w:cs="Tahoma"/>
          <w:szCs w:val="22"/>
        </w:rPr>
        <w:t xml:space="preserve">(slovy šedesát tisíc korun českých), </w:t>
      </w:r>
      <w:r w:rsidR="00A1738B" w:rsidRPr="001617CE">
        <w:rPr>
          <w:rFonts w:cs="Tahoma"/>
          <w:szCs w:val="22"/>
        </w:rPr>
        <w:t>včetně DPH.</w:t>
      </w:r>
      <w:r w:rsidRPr="001617CE">
        <w:rPr>
          <w:rFonts w:cs="Tahoma"/>
          <w:szCs w:val="22"/>
        </w:rPr>
        <w:t xml:space="preserve"> Celková cena je konečná </w:t>
      </w:r>
      <w:r w:rsidR="00F82244" w:rsidRPr="001617CE">
        <w:rPr>
          <w:rFonts w:cs="Tahoma"/>
          <w:szCs w:val="22"/>
        </w:rPr>
        <w:t>a nejvýše přípustná.</w:t>
      </w:r>
    </w:p>
    <w:p w14:paraId="5F638798" w14:textId="71CE2995" w:rsidR="00F82244" w:rsidRPr="001617CE" w:rsidRDefault="002D4E66" w:rsidP="00177BED">
      <w:pPr>
        <w:pStyle w:val="Zkladntext"/>
        <w:widowControl w:val="0"/>
        <w:numPr>
          <w:ilvl w:val="0"/>
          <w:numId w:val="42"/>
        </w:numPr>
        <w:overflowPunct/>
        <w:autoSpaceDE/>
        <w:autoSpaceDN/>
        <w:adjustRightInd/>
        <w:spacing w:after="0" w:line="276" w:lineRule="auto"/>
        <w:ind w:left="284" w:hanging="284"/>
        <w:jc w:val="both"/>
        <w:textAlignment w:val="auto"/>
        <w:rPr>
          <w:rFonts w:cs="Tahoma"/>
          <w:szCs w:val="22"/>
        </w:rPr>
      </w:pPr>
      <w:r w:rsidRPr="001617CE">
        <w:rPr>
          <w:rFonts w:cs="Tahoma"/>
          <w:szCs w:val="22"/>
        </w:rPr>
        <w:t>V</w:t>
      </w:r>
      <w:r w:rsidR="00A1738B" w:rsidRPr="001617CE">
        <w:rPr>
          <w:rFonts w:cs="Tahoma"/>
          <w:szCs w:val="22"/>
        </w:rPr>
        <w:t xml:space="preserve">ýdaje za nájem nebytových prostor podle odstavce </w:t>
      </w:r>
      <w:r w:rsidRPr="001617CE">
        <w:rPr>
          <w:rFonts w:cs="Tahoma"/>
          <w:szCs w:val="22"/>
        </w:rPr>
        <w:t>1</w:t>
      </w:r>
      <w:r w:rsidR="00CD0515">
        <w:rPr>
          <w:rFonts w:cs="Tahoma"/>
          <w:szCs w:val="22"/>
        </w:rPr>
        <w:t xml:space="preserve"> uhradí P</w:t>
      </w:r>
      <w:r w:rsidR="00A1738B" w:rsidRPr="001617CE">
        <w:rPr>
          <w:rFonts w:cs="Tahoma"/>
          <w:szCs w:val="22"/>
        </w:rPr>
        <w:t>artne</w:t>
      </w:r>
      <w:r w:rsidR="00CD0515">
        <w:rPr>
          <w:rFonts w:cs="Tahoma"/>
          <w:szCs w:val="22"/>
        </w:rPr>
        <w:t>r na základě faktury vystavené D</w:t>
      </w:r>
      <w:r w:rsidR="00A1738B" w:rsidRPr="001617CE">
        <w:rPr>
          <w:rFonts w:cs="Tahoma"/>
          <w:szCs w:val="22"/>
        </w:rPr>
        <w:t xml:space="preserve">odavatelem. Dodavatel </w:t>
      </w:r>
      <w:r w:rsidR="00F82244" w:rsidRPr="001617CE">
        <w:rPr>
          <w:rFonts w:cs="Tahoma"/>
          <w:szCs w:val="22"/>
        </w:rPr>
        <w:t xml:space="preserve">je oprávněn vystavit fakturu </w:t>
      </w:r>
      <w:r w:rsidR="00CD0515">
        <w:rPr>
          <w:rFonts w:cs="Tahoma"/>
          <w:szCs w:val="22"/>
        </w:rPr>
        <w:t>podle odstavce 1 tohoto článku S</w:t>
      </w:r>
      <w:r w:rsidR="00F82244" w:rsidRPr="001617CE">
        <w:rPr>
          <w:rFonts w:cs="Tahoma"/>
          <w:szCs w:val="22"/>
        </w:rPr>
        <w:t xml:space="preserve">mlouvy společně s předložením kopie smlouvy o nájmu nebytových prostor pro konání </w:t>
      </w:r>
      <w:r w:rsidR="00CD0515">
        <w:rPr>
          <w:rFonts w:cs="Tahoma"/>
          <w:szCs w:val="22"/>
        </w:rPr>
        <w:t>S</w:t>
      </w:r>
      <w:r w:rsidR="00F82244" w:rsidRPr="001617CE">
        <w:rPr>
          <w:rFonts w:cs="Tahoma"/>
          <w:szCs w:val="22"/>
        </w:rPr>
        <w:t xml:space="preserve">lavnostního </w:t>
      </w:r>
      <w:r w:rsidR="00D1665D">
        <w:rPr>
          <w:rFonts w:cs="Tahoma"/>
          <w:szCs w:val="22"/>
        </w:rPr>
        <w:t xml:space="preserve">vyhlašování výsledků </w:t>
      </w:r>
      <w:r w:rsidR="00F82244" w:rsidRPr="001617CE">
        <w:rPr>
          <w:rFonts w:cs="Tahoma"/>
          <w:szCs w:val="22"/>
        </w:rPr>
        <w:t>soutěže Manažer roku podl</w:t>
      </w:r>
      <w:r w:rsidR="00F50CA8">
        <w:rPr>
          <w:rFonts w:cs="Tahoma"/>
          <w:szCs w:val="22"/>
        </w:rPr>
        <w:t>e čl. II odst. 2 písm. b</w:t>
      </w:r>
      <w:r w:rsidR="00CD0515">
        <w:rPr>
          <w:rFonts w:cs="Tahoma"/>
          <w:szCs w:val="22"/>
        </w:rPr>
        <w:t>) této S</w:t>
      </w:r>
      <w:r w:rsidR="00F82244" w:rsidRPr="001617CE">
        <w:rPr>
          <w:rFonts w:cs="Tahoma"/>
          <w:szCs w:val="22"/>
        </w:rPr>
        <w:t>mlouvy. Splatnost faktury je 15 dnů od</w:t>
      </w:r>
      <w:r w:rsidR="00CD0515">
        <w:rPr>
          <w:rFonts w:cs="Tahoma"/>
          <w:szCs w:val="22"/>
        </w:rPr>
        <w:t>e dne, kdy je faktura doručena P</w:t>
      </w:r>
      <w:r w:rsidR="00F82244" w:rsidRPr="001617CE">
        <w:rPr>
          <w:rFonts w:cs="Tahoma"/>
          <w:szCs w:val="22"/>
        </w:rPr>
        <w:t>artnerovi.</w:t>
      </w:r>
    </w:p>
    <w:p w14:paraId="0855A9BD" w14:textId="07249985" w:rsidR="00F82244" w:rsidRPr="001617CE" w:rsidRDefault="00F82244" w:rsidP="00177BED">
      <w:pPr>
        <w:pStyle w:val="Style4"/>
        <w:widowControl/>
        <w:numPr>
          <w:ilvl w:val="0"/>
          <w:numId w:val="42"/>
        </w:numPr>
        <w:tabs>
          <w:tab w:val="left" w:pos="245"/>
        </w:tabs>
        <w:spacing w:line="276" w:lineRule="auto"/>
        <w:ind w:left="284" w:hanging="284"/>
        <w:rPr>
          <w:rStyle w:val="FontStyle15"/>
          <w:rFonts w:asciiTheme="minorHAnsi" w:hAnsiTheme="minorHAnsi"/>
        </w:rPr>
      </w:pPr>
      <w:r w:rsidRPr="001617CE">
        <w:rPr>
          <w:rStyle w:val="FontStyle15"/>
          <w:rFonts w:asciiTheme="minorHAnsi" w:hAnsiTheme="minorHAnsi"/>
        </w:rPr>
        <w:t xml:space="preserve">Nebude-li faktura obsahovat náležitosti dokladu stanovené v § 11 zák. č. 563/ 1991 Sb., o účetnictví, v platném znění a </w:t>
      </w:r>
      <w:r w:rsidR="00D1665D">
        <w:rPr>
          <w:rStyle w:val="FontStyle15"/>
          <w:rFonts w:asciiTheme="minorHAnsi" w:hAnsiTheme="minorHAnsi"/>
        </w:rPr>
        <w:t xml:space="preserve">případně </w:t>
      </w:r>
      <w:r w:rsidRPr="001617CE">
        <w:rPr>
          <w:rStyle w:val="FontStyle15"/>
          <w:rFonts w:asciiTheme="minorHAnsi" w:hAnsiTheme="minorHAnsi"/>
        </w:rPr>
        <w:t xml:space="preserve">§ 29 zák. č. 235/2004 Sb., o dani z přidané hodnoty, ve znění pozdějších předpisů, je </w:t>
      </w:r>
      <w:r w:rsidR="00CD0515">
        <w:rPr>
          <w:rStyle w:val="FontStyle15"/>
          <w:rFonts w:asciiTheme="minorHAnsi" w:hAnsiTheme="minorHAnsi"/>
        </w:rPr>
        <w:t xml:space="preserve">Partner </w:t>
      </w:r>
      <w:r w:rsidRPr="001617CE">
        <w:rPr>
          <w:rStyle w:val="FontStyle15"/>
          <w:rFonts w:asciiTheme="minorHAnsi" w:hAnsiTheme="minorHAnsi"/>
        </w:rPr>
        <w:t xml:space="preserve">oprávněn fakturu vrátit Dodavateli k přepracování. V tomto případě neplatí původní doba splatnosti, ale celá lhůta splatnosti běží </w:t>
      </w:r>
      <w:r w:rsidR="00D1665D">
        <w:rPr>
          <w:rStyle w:val="FontStyle15"/>
          <w:rFonts w:asciiTheme="minorHAnsi" w:hAnsiTheme="minorHAnsi"/>
        </w:rPr>
        <w:t xml:space="preserve">od počátku </w:t>
      </w:r>
      <w:r w:rsidRPr="001617CE">
        <w:rPr>
          <w:rStyle w:val="FontStyle15"/>
          <w:rFonts w:asciiTheme="minorHAnsi" w:hAnsiTheme="minorHAnsi"/>
        </w:rPr>
        <w:t>ode dne doručení nově vystavené faktury.</w:t>
      </w:r>
    </w:p>
    <w:p w14:paraId="595D7121" w14:textId="77777777" w:rsidR="00F82244" w:rsidRPr="001617CE" w:rsidRDefault="00F82244" w:rsidP="00177BED">
      <w:pPr>
        <w:pStyle w:val="Style4"/>
        <w:widowControl/>
        <w:numPr>
          <w:ilvl w:val="0"/>
          <w:numId w:val="42"/>
        </w:numPr>
        <w:tabs>
          <w:tab w:val="left" w:pos="245"/>
        </w:tabs>
        <w:spacing w:line="276" w:lineRule="auto"/>
        <w:ind w:left="284" w:hanging="284"/>
        <w:rPr>
          <w:rStyle w:val="FontStyle15"/>
          <w:rFonts w:asciiTheme="minorHAnsi" w:hAnsiTheme="minorHAnsi"/>
        </w:rPr>
      </w:pPr>
      <w:r w:rsidRPr="001617CE">
        <w:rPr>
          <w:rStyle w:val="FontStyle15"/>
          <w:rFonts w:asciiTheme="minorHAnsi" w:hAnsiTheme="minorHAnsi"/>
        </w:rPr>
        <w:lastRenderedPageBreak/>
        <w:t xml:space="preserve">V případě prodlení na straně </w:t>
      </w:r>
      <w:r w:rsidR="00CD0515">
        <w:rPr>
          <w:rStyle w:val="FontStyle15"/>
          <w:rFonts w:asciiTheme="minorHAnsi" w:hAnsiTheme="minorHAnsi"/>
        </w:rPr>
        <w:t>Partnera</w:t>
      </w:r>
      <w:r w:rsidRPr="001617CE">
        <w:rPr>
          <w:rStyle w:val="FontStyle15"/>
          <w:rFonts w:asciiTheme="minorHAnsi" w:hAnsiTheme="minorHAnsi"/>
        </w:rPr>
        <w:t xml:space="preserve"> je Dodavatel oprávněn účtovat Odběrateli zákonný úrok z prodlení.</w:t>
      </w:r>
    </w:p>
    <w:p w14:paraId="70C9E50A" w14:textId="77777777" w:rsidR="00A1738B" w:rsidRPr="00CD0515" w:rsidRDefault="00CD0515" w:rsidP="00177BED">
      <w:pPr>
        <w:pStyle w:val="Zkladntext"/>
        <w:widowControl w:val="0"/>
        <w:numPr>
          <w:ilvl w:val="0"/>
          <w:numId w:val="42"/>
        </w:numPr>
        <w:overflowPunct/>
        <w:autoSpaceDE/>
        <w:autoSpaceDN/>
        <w:adjustRightInd/>
        <w:spacing w:after="0" w:line="276" w:lineRule="auto"/>
        <w:ind w:left="284" w:hanging="284"/>
        <w:jc w:val="both"/>
        <w:textAlignment w:val="auto"/>
        <w:rPr>
          <w:rFonts w:cs="Tahoma"/>
          <w:szCs w:val="22"/>
        </w:rPr>
      </w:pPr>
      <w:r>
        <w:rPr>
          <w:rFonts w:cs="Tahoma"/>
          <w:szCs w:val="22"/>
        </w:rPr>
        <w:t>Fakturační adresa P</w:t>
      </w:r>
      <w:r w:rsidR="00A1738B" w:rsidRPr="001617CE">
        <w:rPr>
          <w:rFonts w:cs="Tahoma"/>
          <w:szCs w:val="22"/>
        </w:rPr>
        <w:t>artnera</w:t>
      </w:r>
      <w:r w:rsidR="003C4CDC" w:rsidRPr="001617CE">
        <w:rPr>
          <w:rFonts w:cs="Tahoma"/>
          <w:szCs w:val="22"/>
        </w:rPr>
        <w:t xml:space="preserve"> je Ministerstvo průmyslu a obchodu, Na Františku 32, 110 15 Praha 1.</w:t>
      </w:r>
      <w:r w:rsidR="00A1738B" w:rsidRPr="001617CE">
        <w:rPr>
          <w:rFonts w:cs="Tahoma"/>
          <w:szCs w:val="22"/>
        </w:rPr>
        <w:t xml:space="preserve"> </w:t>
      </w:r>
    </w:p>
    <w:p w14:paraId="0C64999C" w14:textId="77777777" w:rsidR="00A1738B" w:rsidRPr="001617CE" w:rsidRDefault="00A1738B" w:rsidP="00177BED">
      <w:pPr>
        <w:pStyle w:val="Zkladntext"/>
        <w:spacing w:line="276" w:lineRule="auto"/>
        <w:jc w:val="both"/>
        <w:rPr>
          <w:rFonts w:cs="Tahoma"/>
          <w:b/>
          <w:szCs w:val="22"/>
        </w:rPr>
      </w:pPr>
    </w:p>
    <w:p w14:paraId="0A65BB95" w14:textId="77777777" w:rsidR="00A1738B" w:rsidRPr="001617CE" w:rsidRDefault="00A1738B" w:rsidP="00177BED">
      <w:pPr>
        <w:pStyle w:val="Zkladntext"/>
        <w:spacing w:line="276" w:lineRule="auto"/>
        <w:jc w:val="center"/>
        <w:rPr>
          <w:rFonts w:cs="Tahoma"/>
          <w:b/>
          <w:szCs w:val="22"/>
        </w:rPr>
      </w:pPr>
      <w:r w:rsidRPr="001617CE">
        <w:rPr>
          <w:rFonts w:cs="Tahoma"/>
          <w:b/>
          <w:szCs w:val="22"/>
        </w:rPr>
        <w:t>Čl. IV.</w:t>
      </w:r>
    </w:p>
    <w:p w14:paraId="7BDA08A9" w14:textId="77777777" w:rsidR="00A1738B" w:rsidRPr="001617CE" w:rsidRDefault="00A1738B" w:rsidP="00177BED">
      <w:pPr>
        <w:pStyle w:val="Zkladntext"/>
        <w:spacing w:line="276" w:lineRule="auto"/>
        <w:jc w:val="center"/>
        <w:rPr>
          <w:rFonts w:cs="Tahoma"/>
          <w:b/>
          <w:szCs w:val="22"/>
        </w:rPr>
      </w:pPr>
      <w:r w:rsidRPr="001617CE">
        <w:rPr>
          <w:rFonts w:cs="Tahoma"/>
          <w:b/>
          <w:szCs w:val="22"/>
        </w:rPr>
        <w:t>Platnost smlouvy a odstoupení od smlouvy</w:t>
      </w:r>
    </w:p>
    <w:p w14:paraId="768B2ACF" w14:textId="77777777" w:rsidR="00D1665D" w:rsidRDefault="00196D28" w:rsidP="00177BED">
      <w:pPr>
        <w:pStyle w:val="Style4"/>
        <w:widowControl/>
        <w:numPr>
          <w:ilvl w:val="0"/>
          <w:numId w:val="47"/>
        </w:numPr>
        <w:tabs>
          <w:tab w:val="left" w:pos="245"/>
        </w:tabs>
        <w:spacing w:line="276" w:lineRule="auto"/>
        <w:ind w:left="284"/>
        <w:rPr>
          <w:rStyle w:val="FontStyle15"/>
          <w:rFonts w:asciiTheme="minorHAnsi" w:hAnsiTheme="minorHAnsi"/>
        </w:rPr>
      </w:pPr>
      <w:r w:rsidRPr="00D1665D">
        <w:rPr>
          <w:rStyle w:val="FontStyle15"/>
          <w:rFonts w:asciiTheme="minorHAnsi" w:hAnsiTheme="minorHAnsi"/>
        </w:rPr>
        <w:t xml:space="preserve">Pro </w:t>
      </w:r>
      <w:r w:rsidR="00CD0515" w:rsidRPr="00D1665D">
        <w:rPr>
          <w:rStyle w:val="FontStyle15"/>
          <w:rFonts w:asciiTheme="minorHAnsi" w:hAnsiTheme="minorHAnsi"/>
        </w:rPr>
        <w:t>případ, že D</w:t>
      </w:r>
      <w:r w:rsidRPr="00D1665D">
        <w:rPr>
          <w:rStyle w:val="FontStyle15"/>
          <w:rFonts w:asciiTheme="minorHAnsi" w:hAnsiTheme="minorHAnsi"/>
        </w:rPr>
        <w:t>odavatel nesplní některý ze závazků</w:t>
      </w:r>
      <w:r w:rsidR="00CD0515" w:rsidRPr="00D1665D">
        <w:rPr>
          <w:rStyle w:val="FontStyle15"/>
          <w:rFonts w:asciiTheme="minorHAnsi" w:hAnsiTheme="minorHAnsi"/>
        </w:rPr>
        <w:t xml:space="preserve"> podle čl. II odst. 1 a 2 této Smlouvy uhradí Dodavatel P</w:t>
      </w:r>
      <w:r w:rsidRPr="00D1665D">
        <w:rPr>
          <w:rStyle w:val="FontStyle15"/>
          <w:rFonts w:asciiTheme="minorHAnsi" w:hAnsiTheme="minorHAnsi"/>
        </w:rPr>
        <w:t xml:space="preserve">artnerovi smluvní pokutu ve výši </w:t>
      </w:r>
      <w:r w:rsidR="00CD0515" w:rsidRPr="00D1665D">
        <w:rPr>
          <w:rStyle w:val="FontStyle15"/>
          <w:rFonts w:asciiTheme="minorHAnsi" w:hAnsiTheme="minorHAnsi"/>
        </w:rPr>
        <w:t xml:space="preserve">10 000 </w:t>
      </w:r>
      <w:r w:rsidRPr="00D1665D">
        <w:rPr>
          <w:rStyle w:val="FontStyle15"/>
          <w:rFonts w:asciiTheme="minorHAnsi" w:hAnsiTheme="minorHAnsi"/>
        </w:rPr>
        <w:t>Kč (slovy</w:t>
      </w:r>
      <w:r w:rsidR="00CD0515" w:rsidRPr="00D1665D">
        <w:rPr>
          <w:rStyle w:val="FontStyle15"/>
          <w:rFonts w:asciiTheme="minorHAnsi" w:hAnsiTheme="minorHAnsi"/>
        </w:rPr>
        <w:t xml:space="preserve"> deset tisíc </w:t>
      </w:r>
      <w:r w:rsidRPr="00D1665D">
        <w:rPr>
          <w:rStyle w:val="FontStyle15"/>
          <w:rFonts w:asciiTheme="minorHAnsi" w:hAnsiTheme="minorHAnsi"/>
        </w:rPr>
        <w:t>korun českých).</w:t>
      </w:r>
    </w:p>
    <w:p w14:paraId="53F64B4C" w14:textId="77777777" w:rsidR="00D1665D" w:rsidRDefault="00196D28" w:rsidP="00177BED">
      <w:pPr>
        <w:pStyle w:val="Style4"/>
        <w:widowControl/>
        <w:numPr>
          <w:ilvl w:val="0"/>
          <w:numId w:val="47"/>
        </w:numPr>
        <w:tabs>
          <w:tab w:val="left" w:pos="245"/>
        </w:tabs>
        <w:spacing w:line="276" w:lineRule="auto"/>
        <w:ind w:left="284"/>
        <w:rPr>
          <w:rStyle w:val="FontStyle15"/>
          <w:rFonts w:asciiTheme="minorHAnsi" w:hAnsiTheme="minorHAnsi"/>
        </w:rPr>
      </w:pPr>
      <w:r w:rsidRPr="00D1665D">
        <w:rPr>
          <w:rStyle w:val="FontStyle15"/>
          <w:rFonts w:asciiTheme="minorHAnsi" w:hAnsiTheme="minorHAnsi"/>
        </w:rPr>
        <w:t>Zaplacením smluvní pokuty není dotčeno právo Partnera na náhradu škody vzniklé porušením smluvní povinnosti, které se smluvní pokuta týká. Partner má právo domáhat se náhrady škody ve výši přesahující výši smluvní pokuty.</w:t>
      </w:r>
    </w:p>
    <w:p w14:paraId="2AB38571" w14:textId="12E53AB8" w:rsidR="00D1665D" w:rsidRDefault="00D1665D" w:rsidP="00177BED">
      <w:pPr>
        <w:pStyle w:val="Style4"/>
        <w:widowControl/>
        <w:numPr>
          <w:ilvl w:val="0"/>
          <w:numId w:val="47"/>
        </w:numPr>
        <w:tabs>
          <w:tab w:val="left" w:pos="245"/>
        </w:tabs>
        <w:spacing w:line="276" w:lineRule="auto"/>
        <w:ind w:left="284"/>
        <w:rPr>
          <w:rStyle w:val="FontStyle15"/>
          <w:rFonts w:asciiTheme="minorHAnsi" w:hAnsiTheme="minorHAnsi"/>
        </w:rPr>
      </w:pPr>
      <w:r>
        <w:rPr>
          <w:rStyle w:val="FontStyle15"/>
          <w:rFonts w:asciiTheme="minorHAnsi" w:hAnsiTheme="minorHAnsi"/>
        </w:rPr>
        <w:t xml:space="preserve">Partner </w:t>
      </w:r>
      <w:r w:rsidR="00CD0515" w:rsidRPr="00D1665D">
        <w:rPr>
          <w:rStyle w:val="FontStyle15"/>
          <w:rFonts w:asciiTheme="minorHAnsi" w:hAnsiTheme="minorHAnsi"/>
        </w:rPr>
        <w:t>a Dodavatel má právo od S</w:t>
      </w:r>
      <w:r w:rsidR="00F82244" w:rsidRPr="00D1665D">
        <w:rPr>
          <w:rStyle w:val="FontStyle15"/>
          <w:rFonts w:asciiTheme="minorHAnsi" w:hAnsiTheme="minorHAnsi"/>
        </w:rPr>
        <w:t>mlouvy odstoupit v případě, že druhá smluvní strana poruší podstatným způsobem své povinnosti dané touto Smlouvou</w:t>
      </w:r>
      <w:r>
        <w:rPr>
          <w:rStyle w:val="FontStyle15"/>
          <w:rFonts w:asciiTheme="minorHAnsi" w:hAnsiTheme="minorHAnsi"/>
        </w:rPr>
        <w:t>.</w:t>
      </w:r>
      <w:r w:rsidR="00A1738B" w:rsidRPr="00D1665D">
        <w:rPr>
          <w:rStyle w:val="FontStyle15"/>
          <w:rFonts w:asciiTheme="minorHAnsi" w:hAnsiTheme="minorHAnsi"/>
        </w:rPr>
        <w:t xml:space="preserve"> </w:t>
      </w:r>
    </w:p>
    <w:p w14:paraId="441309EE" w14:textId="7F0A57B7" w:rsidR="00A1738B" w:rsidRPr="00D1665D" w:rsidRDefault="00CD0515" w:rsidP="00177BED">
      <w:pPr>
        <w:pStyle w:val="Style4"/>
        <w:widowControl/>
        <w:numPr>
          <w:ilvl w:val="0"/>
          <w:numId w:val="47"/>
        </w:numPr>
        <w:tabs>
          <w:tab w:val="left" w:pos="245"/>
        </w:tabs>
        <w:spacing w:line="276" w:lineRule="auto"/>
        <w:ind w:left="284"/>
        <w:rPr>
          <w:rStyle w:val="FontStyle15"/>
          <w:rFonts w:asciiTheme="minorHAnsi" w:hAnsiTheme="minorHAnsi"/>
        </w:rPr>
      </w:pPr>
      <w:r w:rsidRPr="00D1665D">
        <w:rPr>
          <w:rStyle w:val="FontStyle15"/>
          <w:rFonts w:asciiTheme="minorHAnsi" w:hAnsiTheme="minorHAnsi"/>
        </w:rPr>
        <w:t>Podstatným porušením S</w:t>
      </w:r>
      <w:r w:rsidR="00A1738B" w:rsidRPr="00D1665D">
        <w:rPr>
          <w:rStyle w:val="FontStyle15"/>
          <w:rFonts w:asciiTheme="minorHAnsi" w:hAnsiTheme="minorHAnsi"/>
        </w:rPr>
        <w:t>mlouvy</w:t>
      </w:r>
      <w:r w:rsidR="00F82244" w:rsidRPr="00D1665D">
        <w:rPr>
          <w:rStyle w:val="FontStyle15"/>
          <w:rFonts w:asciiTheme="minorHAnsi" w:hAnsiTheme="minorHAnsi"/>
        </w:rPr>
        <w:t>, kdy</w:t>
      </w:r>
      <w:r w:rsidRPr="00D1665D">
        <w:rPr>
          <w:rStyle w:val="FontStyle15"/>
          <w:rFonts w:asciiTheme="minorHAnsi" w:hAnsiTheme="minorHAnsi"/>
        </w:rPr>
        <w:t xml:space="preserve"> má právo </w:t>
      </w:r>
      <w:r w:rsidR="00D1665D">
        <w:rPr>
          <w:rStyle w:val="FontStyle15"/>
          <w:rFonts w:asciiTheme="minorHAnsi" w:hAnsiTheme="minorHAnsi"/>
        </w:rPr>
        <w:t>P</w:t>
      </w:r>
      <w:r w:rsidRPr="00D1665D">
        <w:rPr>
          <w:rStyle w:val="FontStyle15"/>
          <w:rFonts w:asciiTheme="minorHAnsi" w:hAnsiTheme="minorHAnsi"/>
        </w:rPr>
        <w:t>artner odstoupit od S</w:t>
      </w:r>
      <w:r w:rsidR="00F82244" w:rsidRPr="00D1665D">
        <w:rPr>
          <w:rStyle w:val="FontStyle15"/>
          <w:rFonts w:asciiTheme="minorHAnsi" w:hAnsiTheme="minorHAnsi"/>
        </w:rPr>
        <w:t>mlouvy</w:t>
      </w:r>
      <w:r w:rsidR="00A1738B" w:rsidRPr="00D1665D">
        <w:rPr>
          <w:rStyle w:val="FontStyle15"/>
          <w:rFonts w:asciiTheme="minorHAnsi" w:hAnsiTheme="minorHAnsi"/>
        </w:rPr>
        <w:t xml:space="preserve"> se </w:t>
      </w:r>
      <w:r w:rsidR="00F82244" w:rsidRPr="00D1665D">
        <w:rPr>
          <w:rStyle w:val="FontStyle15"/>
          <w:rFonts w:asciiTheme="minorHAnsi" w:hAnsiTheme="minorHAnsi"/>
        </w:rPr>
        <w:t>považuje zejména</w:t>
      </w:r>
      <w:r w:rsidR="00A1738B" w:rsidRPr="00D1665D">
        <w:rPr>
          <w:rStyle w:val="FontStyle15"/>
          <w:rFonts w:asciiTheme="minorHAnsi" w:hAnsiTheme="minorHAnsi"/>
        </w:rPr>
        <w:t xml:space="preserve"> nesplnění závazků dodavatele uvedených v Čl. II. odst. 1. a 2</w:t>
      </w:r>
      <w:r w:rsidRPr="00D1665D">
        <w:rPr>
          <w:rStyle w:val="FontStyle15"/>
          <w:rFonts w:asciiTheme="minorHAnsi" w:hAnsiTheme="minorHAnsi"/>
        </w:rPr>
        <w:t xml:space="preserve"> této S</w:t>
      </w:r>
      <w:r w:rsidR="00196D28" w:rsidRPr="00D1665D">
        <w:rPr>
          <w:rStyle w:val="FontStyle15"/>
          <w:rFonts w:asciiTheme="minorHAnsi" w:hAnsiTheme="minorHAnsi"/>
        </w:rPr>
        <w:t>mlouvy</w:t>
      </w:r>
      <w:r w:rsidR="00A1738B" w:rsidRPr="00D1665D">
        <w:rPr>
          <w:rStyle w:val="FontStyle15"/>
          <w:rFonts w:asciiTheme="minorHAnsi" w:hAnsiTheme="minorHAnsi"/>
        </w:rPr>
        <w:t>.</w:t>
      </w:r>
      <w:r w:rsidR="00196D28" w:rsidRPr="00D1665D">
        <w:rPr>
          <w:rStyle w:val="FontStyle15"/>
          <w:rFonts w:asciiTheme="minorHAnsi" w:hAnsiTheme="minorHAnsi"/>
        </w:rPr>
        <w:t xml:space="preserve"> </w:t>
      </w:r>
      <w:r w:rsidRPr="00D1665D">
        <w:rPr>
          <w:rStyle w:val="FontStyle15"/>
          <w:rFonts w:asciiTheme="minorHAnsi" w:hAnsiTheme="minorHAnsi"/>
        </w:rPr>
        <w:t>V případě odstoupení od S</w:t>
      </w:r>
      <w:r w:rsidR="00196D28" w:rsidRPr="00D1665D">
        <w:rPr>
          <w:rStyle w:val="FontStyle15"/>
          <w:rFonts w:asciiTheme="minorHAnsi" w:hAnsiTheme="minorHAnsi"/>
        </w:rPr>
        <w:t>mlouvy z důvodu na straně Dodavatele je Dodavatel</w:t>
      </w:r>
      <w:r w:rsidRPr="00D1665D">
        <w:rPr>
          <w:rStyle w:val="FontStyle15"/>
          <w:rFonts w:asciiTheme="minorHAnsi" w:hAnsiTheme="minorHAnsi"/>
        </w:rPr>
        <w:t xml:space="preserve"> povinen P</w:t>
      </w:r>
      <w:r w:rsidR="00196D28" w:rsidRPr="00D1665D">
        <w:rPr>
          <w:rStyle w:val="FontStyle15"/>
          <w:rFonts w:asciiTheme="minorHAnsi" w:hAnsiTheme="minorHAnsi"/>
        </w:rPr>
        <w:t xml:space="preserve">artnerovi kromě zaplacení smluvní pokuty vrátit </w:t>
      </w:r>
      <w:r w:rsidRPr="00D1665D">
        <w:rPr>
          <w:rStyle w:val="FontStyle15"/>
          <w:rFonts w:asciiTheme="minorHAnsi" w:hAnsiTheme="minorHAnsi"/>
        </w:rPr>
        <w:t>též cenu, kterou P</w:t>
      </w:r>
      <w:r w:rsidR="00C74798" w:rsidRPr="00D1665D">
        <w:rPr>
          <w:rStyle w:val="FontStyle15"/>
          <w:rFonts w:asciiTheme="minorHAnsi" w:hAnsiTheme="minorHAnsi"/>
        </w:rPr>
        <w:t>artner zaplatil, popřípadě část ceny, pokud bylo část plnění poskytnuto.</w:t>
      </w:r>
    </w:p>
    <w:p w14:paraId="2970CD0C" w14:textId="77777777" w:rsidR="00A1738B" w:rsidRPr="001617CE" w:rsidRDefault="00A1738B" w:rsidP="00177BED">
      <w:pPr>
        <w:pStyle w:val="Zkladntext"/>
        <w:spacing w:line="276" w:lineRule="auto"/>
        <w:jc w:val="both"/>
        <w:rPr>
          <w:rFonts w:cs="Tahoma"/>
          <w:b/>
          <w:szCs w:val="22"/>
        </w:rPr>
      </w:pPr>
    </w:p>
    <w:p w14:paraId="67771A2D" w14:textId="77777777" w:rsidR="00A1738B" w:rsidRPr="001617CE" w:rsidRDefault="00A1738B" w:rsidP="00177BED">
      <w:pPr>
        <w:pStyle w:val="Zkladntext"/>
        <w:spacing w:line="276" w:lineRule="auto"/>
        <w:jc w:val="center"/>
        <w:rPr>
          <w:rFonts w:cs="Tahoma"/>
          <w:b/>
          <w:szCs w:val="22"/>
        </w:rPr>
      </w:pPr>
      <w:r w:rsidRPr="001617CE">
        <w:rPr>
          <w:rFonts w:cs="Tahoma"/>
          <w:b/>
          <w:szCs w:val="22"/>
        </w:rPr>
        <w:t>Čl. V.</w:t>
      </w:r>
    </w:p>
    <w:p w14:paraId="5F3421DD" w14:textId="77777777" w:rsidR="00A1738B" w:rsidRPr="001617CE" w:rsidRDefault="00A1738B" w:rsidP="00177BED">
      <w:pPr>
        <w:pStyle w:val="Zkladntext"/>
        <w:spacing w:line="276" w:lineRule="auto"/>
        <w:jc w:val="center"/>
        <w:rPr>
          <w:rFonts w:cs="Tahoma"/>
          <w:b/>
          <w:szCs w:val="22"/>
        </w:rPr>
      </w:pPr>
      <w:r w:rsidRPr="001617CE">
        <w:rPr>
          <w:rFonts w:cs="Tahoma"/>
          <w:b/>
          <w:szCs w:val="22"/>
        </w:rPr>
        <w:t>Ostatní ujednání</w:t>
      </w:r>
    </w:p>
    <w:p w14:paraId="29F0B203" w14:textId="49759FAD" w:rsidR="00A1738B" w:rsidRPr="00CD0515" w:rsidRDefault="00A1738B" w:rsidP="00177BED">
      <w:pPr>
        <w:pStyle w:val="Zkladntext"/>
        <w:widowControl w:val="0"/>
        <w:numPr>
          <w:ilvl w:val="0"/>
          <w:numId w:val="43"/>
        </w:numPr>
        <w:overflowPunct/>
        <w:autoSpaceDE/>
        <w:autoSpaceDN/>
        <w:adjustRightInd/>
        <w:spacing w:after="0" w:line="276" w:lineRule="auto"/>
        <w:ind w:left="284" w:hanging="284"/>
        <w:jc w:val="both"/>
        <w:textAlignment w:val="auto"/>
        <w:rPr>
          <w:rFonts w:cs="Tahoma"/>
          <w:szCs w:val="22"/>
        </w:rPr>
      </w:pPr>
      <w:r w:rsidRPr="001617CE">
        <w:rPr>
          <w:rFonts w:cstheme="minorHAnsi"/>
          <w:bCs/>
          <w:szCs w:val="22"/>
        </w:rPr>
        <w:t>Dodavatel doložení splnění závazků uvedených v Čl. II. odst. 1.</w:t>
      </w:r>
      <w:r w:rsidRPr="001617CE">
        <w:rPr>
          <w:rFonts w:cs="Tahoma"/>
          <w:szCs w:val="22"/>
        </w:rPr>
        <w:t xml:space="preserve"> </w:t>
      </w:r>
      <w:r w:rsidR="00CD0515">
        <w:rPr>
          <w:rFonts w:cs="Tahoma"/>
          <w:szCs w:val="22"/>
        </w:rPr>
        <w:t xml:space="preserve">této Smlouvy </w:t>
      </w:r>
      <w:r w:rsidR="00CD0515">
        <w:rPr>
          <w:rFonts w:cstheme="minorHAnsi"/>
          <w:bCs/>
          <w:szCs w:val="22"/>
        </w:rPr>
        <w:t>provede tak, že P</w:t>
      </w:r>
      <w:r w:rsidRPr="001617CE">
        <w:rPr>
          <w:rFonts w:cstheme="minorHAnsi"/>
          <w:bCs/>
          <w:szCs w:val="22"/>
        </w:rPr>
        <w:t xml:space="preserve">artnerovi do </w:t>
      </w:r>
      <w:r w:rsidR="00CD0515">
        <w:rPr>
          <w:rFonts w:cstheme="minorHAnsi"/>
          <w:bCs/>
          <w:szCs w:val="22"/>
        </w:rPr>
        <w:t>nejpozději společně s fakturou</w:t>
      </w:r>
      <w:r w:rsidR="00B76DE2" w:rsidRPr="001617CE">
        <w:rPr>
          <w:rFonts w:cstheme="minorHAnsi"/>
          <w:bCs/>
          <w:szCs w:val="22"/>
        </w:rPr>
        <w:t xml:space="preserve"> </w:t>
      </w:r>
      <w:r w:rsidRPr="001617CE">
        <w:rPr>
          <w:rFonts w:cstheme="minorHAnsi"/>
          <w:bCs/>
          <w:szCs w:val="22"/>
        </w:rPr>
        <w:t>doručí fotografie či naskenované zobrazení zachycující splnění závazků. Fotografie či naskenované zobrazení budou uloženy na přenosném nosiči dat (flash d</w:t>
      </w:r>
      <w:r w:rsidR="00CD0515">
        <w:rPr>
          <w:rFonts w:cstheme="minorHAnsi"/>
          <w:bCs/>
          <w:szCs w:val="22"/>
        </w:rPr>
        <w:t>isk) a D</w:t>
      </w:r>
      <w:r w:rsidRPr="001617CE">
        <w:rPr>
          <w:rFonts w:cstheme="minorHAnsi"/>
          <w:bCs/>
          <w:szCs w:val="22"/>
        </w:rPr>
        <w:t xml:space="preserve">odavatel ho </w:t>
      </w:r>
      <w:r w:rsidR="00CD0515">
        <w:rPr>
          <w:rFonts w:cstheme="minorHAnsi"/>
          <w:bCs/>
          <w:szCs w:val="22"/>
        </w:rPr>
        <w:t>doručí na fakturační adresu P</w:t>
      </w:r>
      <w:r w:rsidRPr="001617CE">
        <w:rPr>
          <w:rFonts w:cstheme="minorHAnsi"/>
          <w:bCs/>
          <w:szCs w:val="22"/>
        </w:rPr>
        <w:t>art</w:t>
      </w:r>
      <w:r w:rsidR="00CD0515">
        <w:rPr>
          <w:rFonts w:cstheme="minorHAnsi"/>
          <w:bCs/>
          <w:szCs w:val="22"/>
        </w:rPr>
        <w:t>nera uvedenou v Čl. III. odst. 5 této S</w:t>
      </w:r>
      <w:r w:rsidRPr="001617CE">
        <w:rPr>
          <w:rFonts w:cstheme="minorHAnsi"/>
          <w:bCs/>
          <w:szCs w:val="22"/>
        </w:rPr>
        <w:t>mlouvy.</w:t>
      </w:r>
    </w:p>
    <w:p w14:paraId="11E9EEB1" w14:textId="06330AD1" w:rsidR="00A1738B" w:rsidRPr="001617CE" w:rsidRDefault="00A1738B" w:rsidP="00177BED">
      <w:pPr>
        <w:pStyle w:val="Zkladntext"/>
        <w:widowControl w:val="0"/>
        <w:numPr>
          <w:ilvl w:val="0"/>
          <w:numId w:val="43"/>
        </w:numPr>
        <w:overflowPunct/>
        <w:autoSpaceDE/>
        <w:autoSpaceDN/>
        <w:adjustRightInd/>
        <w:spacing w:after="0" w:line="276" w:lineRule="auto"/>
        <w:ind w:left="284" w:hanging="295"/>
        <w:jc w:val="both"/>
        <w:textAlignment w:val="auto"/>
        <w:rPr>
          <w:rFonts w:cs="Tahoma"/>
          <w:szCs w:val="22"/>
        </w:rPr>
      </w:pPr>
      <w:r w:rsidRPr="001617CE">
        <w:rPr>
          <w:rFonts w:cs="Tahoma"/>
          <w:szCs w:val="22"/>
        </w:rPr>
        <w:t xml:space="preserve">Předpokladem pro úhradu výdajů za nájem nebytových prostor </w:t>
      </w:r>
      <w:r w:rsidR="00CD0515">
        <w:rPr>
          <w:rFonts w:cs="Tahoma"/>
          <w:szCs w:val="22"/>
        </w:rPr>
        <w:t>podle čl. II. odst. 3 písm. a)</w:t>
      </w:r>
      <w:r w:rsidRPr="001617CE">
        <w:rPr>
          <w:rFonts w:cs="Tahoma"/>
          <w:szCs w:val="22"/>
        </w:rPr>
        <w:t xml:space="preserve"> </w:t>
      </w:r>
      <w:r w:rsidR="00CD0515">
        <w:rPr>
          <w:rFonts w:cs="Tahoma"/>
          <w:szCs w:val="22"/>
        </w:rPr>
        <w:t xml:space="preserve">této Smlouvy </w:t>
      </w:r>
      <w:r w:rsidRPr="001617CE">
        <w:rPr>
          <w:rFonts w:cs="Tahoma"/>
          <w:szCs w:val="22"/>
        </w:rPr>
        <w:t xml:space="preserve">je doručení kopie příslušné nájemní smlouvy uzavřené za účelem konání </w:t>
      </w:r>
      <w:r w:rsidR="00D04DD2">
        <w:rPr>
          <w:rFonts w:cs="Tahoma"/>
          <w:szCs w:val="22"/>
        </w:rPr>
        <w:t xml:space="preserve">Slavnostního vyhlašování výsledků soutěže Manažer roku </w:t>
      </w:r>
      <w:r w:rsidRPr="001617CE">
        <w:rPr>
          <w:rFonts w:cs="Tahoma"/>
          <w:szCs w:val="22"/>
        </w:rPr>
        <w:t xml:space="preserve">na fakturační adresu, a to nejpozději do </w:t>
      </w:r>
      <w:r w:rsidR="00D04DD2">
        <w:rPr>
          <w:rFonts w:cs="Tahoma"/>
          <w:szCs w:val="22"/>
        </w:rPr>
        <w:t>20. 4. 2017.</w:t>
      </w:r>
      <w:r w:rsidRPr="001617CE">
        <w:rPr>
          <w:rFonts w:cs="Tahoma"/>
          <w:szCs w:val="22"/>
        </w:rPr>
        <w:t xml:space="preserve"> </w:t>
      </w:r>
    </w:p>
    <w:p w14:paraId="5676A85C" w14:textId="77777777" w:rsidR="00A1738B" w:rsidRPr="001617CE" w:rsidRDefault="00A1738B" w:rsidP="00177BED">
      <w:pPr>
        <w:pStyle w:val="Zkladntext"/>
        <w:spacing w:line="276" w:lineRule="auto"/>
        <w:ind w:left="1004"/>
        <w:jc w:val="both"/>
        <w:rPr>
          <w:rFonts w:cs="Tahoma"/>
          <w:szCs w:val="22"/>
        </w:rPr>
      </w:pPr>
    </w:p>
    <w:p w14:paraId="2125A3C5" w14:textId="77777777" w:rsidR="00D04DD2" w:rsidRDefault="00D04DD2" w:rsidP="00177BED">
      <w:pPr>
        <w:pStyle w:val="Zkladntext"/>
        <w:spacing w:line="276" w:lineRule="auto"/>
        <w:ind w:left="644"/>
        <w:jc w:val="center"/>
        <w:rPr>
          <w:rFonts w:cs="Tahoma"/>
          <w:b/>
          <w:szCs w:val="22"/>
        </w:rPr>
      </w:pPr>
    </w:p>
    <w:p w14:paraId="3C0887F2" w14:textId="77777777" w:rsidR="00A1738B" w:rsidRPr="001617CE" w:rsidRDefault="00A1738B" w:rsidP="00177BED">
      <w:pPr>
        <w:pStyle w:val="Zkladntext"/>
        <w:spacing w:line="276" w:lineRule="auto"/>
        <w:ind w:left="644"/>
        <w:jc w:val="center"/>
        <w:rPr>
          <w:rFonts w:cs="Tahoma"/>
          <w:b/>
          <w:szCs w:val="22"/>
        </w:rPr>
      </w:pPr>
      <w:r w:rsidRPr="001617CE">
        <w:rPr>
          <w:rFonts w:cs="Tahoma"/>
          <w:b/>
          <w:szCs w:val="22"/>
        </w:rPr>
        <w:t>Čl. VI.</w:t>
      </w:r>
    </w:p>
    <w:p w14:paraId="2E541E6A" w14:textId="77777777" w:rsidR="00A1738B" w:rsidRPr="001617CE" w:rsidRDefault="00A1738B" w:rsidP="00177BED">
      <w:pPr>
        <w:pStyle w:val="Zkladntext"/>
        <w:spacing w:line="276" w:lineRule="auto"/>
        <w:ind w:left="1004"/>
        <w:jc w:val="center"/>
        <w:rPr>
          <w:rFonts w:cs="Tahoma"/>
          <w:b/>
          <w:szCs w:val="22"/>
        </w:rPr>
      </w:pPr>
      <w:r w:rsidRPr="001617CE">
        <w:rPr>
          <w:rFonts w:cs="Tahoma"/>
          <w:b/>
          <w:szCs w:val="22"/>
        </w:rPr>
        <w:t>Závěrečná ustanovení</w:t>
      </w:r>
    </w:p>
    <w:p w14:paraId="6C1F97A1" w14:textId="6F32ABF8" w:rsidR="00C74798" w:rsidRPr="001617CE" w:rsidRDefault="00A1738B" w:rsidP="00177BED">
      <w:pPr>
        <w:pStyle w:val="Zkladntext"/>
        <w:widowControl w:val="0"/>
        <w:numPr>
          <w:ilvl w:val="0"/>
          <w:numId w:val="44"/>
        </w:numPr>
        <w:overflowPunct/>
        <w:autoSpaceDE/>
        <w:autoSpaceDN/>
        <w:adjustRightInd/>
        <w:spacing w:after="0" w:line="276" w:lineRule="auto"/>
        <w:ind w:left="284" w:hanging="284"/>
        <w:jc w:val="both"/>
        <w:textAlignment w:val="auto"/>
        <w:rPr>
          <w:rFonts w:cs="Tahoma"/>
          <w:szCs w:val="22"/>
        </w:rPr>
      </w:pPr>
      <w:r w:rsidRPr="001617CE">
        <w:rPr>
          <w:rFonts w:cs="Tahoma"/>
          <w:szCs w:val="22"/>
        </w:rPr>
        <w:t xml:space="preserve">Tato </w:t>
      </w:r>
      <w:r w:rsidR="00C74798" w:rsidRPr="001617CE">
        <w:rPr>
          <w:rFonts w:cs="Tahoma"/>
          <w:szCs w:val="22"/>
        </w:rPr>
        <w:t xml:space="preserve">smlouva vstoupí v platnost i v účinnost dnem jejího podpisu smluvními stranami. Lze ji měnit či rušit pouze na základě písemné dohody </w:t>
      </w:r>
      <w:r w:rsidR="00D04DD2">
        <w:rPr>
          <w:rFonts w:cs="Tahoma"/>
          <w:szCs w:val="22"/>
        </w:rPr>
        <w:t xml:space="preserve">smluvních </w:t>
      </w:r>
      <w:r w:rsidR="00C74798" w:rsidRPr="001617CE">
        <w:rPr>
          <w:rFonts w:cs="Tahoma"/>
          <w:szCs w:val="22"/>
        </w:rPr>
        <w:t>stran, a to písemnými dodatky, podepsanými oprávněnými zástupci stran na téže listině.</w:t>
      </w:r>
    </w:p>
    <w:p w14:paraId="1308F480" w14:textId="77777777" w:rsidR="00A1738B" w:rsidRPr="001617CE" w:rsidRDefault="00C74798" w:rsidP="00177BED">
      <w:pPr>
        <w:pStyle w:val="Zkladntext"/>
        <w:widowControl w:val="0"/>
        <w:numPr>
          <w:ilvl w:val="0"/>
          <w:numId w:val="44"/>
        </w:numPr>
        <w:overflowPunct/>
        <w:autoSpaceDE/>
        <w:autoSpaceDN/>
        <w:adjustRightInd/>
        <w:spacing w:after="0" w:line="276" w:lineRule="auto"/>
        <w:ind w:left="284" w:hanging="284"/>
        <w:jc w:val="both"/>
        <w:textAlignment w:val="auto"/>
        <w:rPr>
          <w:rFonts w:cs="Tahoma"/>
          <w:szCs w:val="22"/>
        </w:rPr>
      </w:pPr>
      <w:r w:rsidRPr="001617CE">
        <w:rPr>
          <w:rFonts w:cs="Tahoma"/>
          <w:szCs w:val="22"/>
        </w:rPr>
        <w:t xml:space="preserve">Tato smlouva </w:t>
      </w:r>
      <w:r w:rsidR="00A1738B" w:rsidRPr="001617CE">
        <w:rPr>
          <w:rFonts w:cs="Tahoma"/>
          <w:szCs w:val="22"/>
        </w:rPr>
        <w:t>je vyhotovena ve dvou stejnopisech s platností originálu, přičemž každá smluvní strana obdrží jedno vyhotovení.</w:t>
      </w:r>
    </w:p>
    <w:p w14:paraId="59989376" w14:textId="77777777" w:rsidR="00A1738B" w:rsidRPr="001617CE" w:rsidRDefault="00C74798" w:rsidP="00177BED">
      <w:pPr>
        <w:pStyle w:val="Zkladntext"/>
        <w:widowControl w:val="0"/>
        <w:numPr>
          <w:ilvl w:val="0"/>
          <w:numId w:val="44"/>
        </w:numPr>
        <w:overflowPunct/>
        <w:autoSpaceDE/>
        <w:autoSpaceDN/>
        <w:adjustRightInd/>
        <w:spacing w:after="0" w:line="276" w:lineRule="auto"/>
        <w:ind w:left="284" w:hanging="284"/>
        <w:jc w:val="both"/>
        <w:textAlignment w:val="auto"/>
        <w:rPr>
          <w:rFonts w:cs="Tahoma"/>
          <w:szCs w:val="22"/>
        </w:rPr>
      </w:pPr>
      <w:r w:rsidRPr="001617CE">
        <w:rPr>
          <w:rFonts w:cs="Tahoma"/>
          <w:szCs w:val="22"/>
        </w:rPr>
        <w:t xml:space="preserve">Stane-li se některé ustanovení této smlouvy zcela nebo částečně neplatné, ostatní nedotčená ustanovení zůstávají v platnosti. V takovém případě se smluvní strany dohodly, že bez zbytečného odkladu nahradí neplatné nebo nevynutitelní ustanovení platným a vynutitelným, aby se dosáhlo </w:t>
      </w:r>
      <w:r w:rsidRPr="001617CE">
        <w:rPr>
          <w:rFonts w:cs="Tahoma"/>
          <w:szCs w:val="22"/>
        </w:rPr>
        <w:lastRenderedPageBreak/>
        <w:t>v maximální možné míře v souladu s právními předpisy účinků a výsledku, jaký byl sledován nahrazovaným ustanovením.</w:t>
      </w:r>
    </w:p>
    <w:p w14:paraId="4D5E0237" w14:textId="77777777" w:rsidR="00A1738B" w:rsidRPr="001617CE" w:rsidRDefault="00C74798" w:rsidP="00177BED">
      <w:pPr>
        <w:pStyle w:val="Zkladntext"/>
        <w:widowControl w:val="0"/>
        <w:numPr>
          <w:ilvl w:val="0"/>
          <w:numId w:val="44"/>
        </w:numPr>
        <w:overflowPunct/>
        <w:autoSpaceDE/>
        <w:autoSpaceDN/>
        <w:adjustRightInd/>
        <w:spacing w:after="0" w:line="276" w:lineRule="auto"/>
        <w:ind w:left="284" w:hanging="284"/>
        <w:jc w:val="both"/>
        <w:textAlignment w:val="auto"/>
        <w:rPr>
          <w:rFonts w:cs="Tahoma"/>
          <w:szCs w:val="22"/>
        </w:rPr>
      </w:pPr>
      <w:r w:rsidRPr="001617CE">
        <w:rPr>
          <w:rFonts w:cs="Tahoma"/>
          <w:szCs w:val="22"/>
        </w:rPr>
        <w:t>Právní v</w:t>
      </w:r>
      <w:r w:rsidR="003B3792">
        <w:rPr>
          <w:rFonts w:cs="Tahoma"/>
          <w:szCs w:val="22"/>
        </w:rPr>
        <w:t>ztahy v této S</w:t>
      </w:r>
      <w:r w:rsidR="00A1738B" w:rsidRPr="001617CE">
        <w:rPr>
          <w:rFonts w:cs="Tahoma"/>
          <w:szCs w:val="22"/>
        </w:rPr>
        <w:t xml:space="preserve">mlouvě </w:t>
      </w:r>
      <w:r w:rsidRPr="001617CE">
        <w:rPr>
          <w:rFonts w:cs="Tahoma"/>
          <w:szCs w:val="22"/>
        </w:rPr>
        <w:t xml:space="preserve">výslovně </w:t>
      </w:r>
      <w:r w:rsidR="00A1738B" w:rsidRPr="001617CE">
        <w:rPr>
          <w:rFonts w:cs="Tahoma"/>
          <w:szCs w:val="22"/>
        </w:rPr>
        <w:t xml:space="preserve">neupravené </w:t>
      </w:r>
      <w:r w:rsidRPr="001617CE">
        <w:rPr>
          <w:rFonts w:cs="Tahoma"/>
          <w:szCs w:val="22"/>
        </w:rPr>
        <w:t>řídí právním řádem České republiky, zejména příslušnými</w:t>
      </w:r>
      <w:r w:rsidR="00A1738B" w:rsidRPr="001617CE">
        <w:rPr>
          <w:rFonts w:cs="Tahoma"/>
          <w:szCs w:val="22"/>
        </w:rPr>
        <w:t xml:space="preserve"> ustanovení</w:t>
      </w:r>
      <w:r w:rsidRPr="001617CE">
        <w:rPr>
          <w:rFonts w:cs="Tahoma"/>
          <w:szCs w:val="22"/>
        </w:rPr>
        <w:t>mi zákona č. 89/2012 Sb., občanský zákoník, ve znění pozdějších předpisů.</w:t>
      </w:r>
    </w:p>
    <w:p w14:paraId="12D6A6D1" w14:textId="77777777" w:rsidR="00A1738B" w:rsidRPr="001617CE" w:rsidRDefault="00A1738B" w:rsidP="00177BED">
      <w:pPr>
        <w:pStyle w:val="Zkladntext"/>
        <w:widowControl w:val="0"/>
        <w:numPr>
          <w:ilvl w:val="0"/>
          <w:numId w:val="44"/>
        </w:numPr>
        <w:overflowPunct/>
        <w:autoSpaceDE/>
        <w:autoSpaceDN/>
        <w:adjustRightInd/>
        <w:spacing w:after="0" w:line="276" w:lineRule="auto"/>
        <w:ind w:left="284" w:hanging="284"/>
        <w:jc w:val="both"/>
        <w:textAlignment w:val="auto"/>
        <w:rPr>
          <w:rFonts w:cs="Tahoma"/>
          <w:szCs w:val="22"/>
        </w:rPr>
      </w:pPr>
      <w:r w:rsidRPr="001617CE">
        <w:rPr>
          <w:rFonts w:cs="Tahoma"/>
          <w:szCs w:val="22"/>
        </w:rPr>
        <w:t>Obě smluvní strany prohlašují, že si tuto smlouvu před jejím podpisem řádně přečetly, že byla uzavřena podle jejich pravé a svobodné vůle, určitě, vážně a srozumitelně, což zástupci obou smluvních stran stvrzují svými podpisy.</w:t>
      </w:r>
    </w:p>
    <w:p w14:paraId="4FCA5E0A" w14:textId="77777777" w:rsidR="00A1738B" w:rsidRPr="001617CE" w:rsidRDefault="00A1738B" w:rsidP="00177BED">
      <w:pPr>
        <w:pStyle w:val="Zkladntext"/>
        <w:spacing w:line="276" w:lineRule="auto"/>
        <w:jc w:val="both"/>
        <w:rPr>
          <w:rFonts w:cs="Tahoma"/>
          <w:szCs w:val="22"/>
        </w:rPr>
      </w:pPr>
    </w:p>
    <w:p w14:paraId="218695BA" w14:textId="77777777" w:rsidR="00A1738B" w:rsidRPr="001617CE" w:rsidRDefault="00A1738B" w:rsidP="00177BED">
      <w:pPr>
        <w:pStyle w:val="Zkladntext"/>
        <w:spacing w:line="276" w:lineRule="auto"/>
        <w:jc w:val="both"/>
        <w:rPr>
          <w:rFonts w:cs="Tahoma"/>
          <w:szCs w:val="22"/>
        </w:rPr>
      </w:pPr>
    </w:p>
    <w:p w14:paraId="432AD038" w14:textId="77777777" w:rsidR="00A1738B" w:rsidRPr="001617CE" w:rsidRDefault="00A1738B" w:rsidP="00177BED">
      <w:pPr>
        <w:pStyle w:val="Zkladntext"/>
        <w:spacing w:line="276" w:lineRule="auto"/>
        <w:jc w:val="both"/>
        <w:rPr>
          <w:rFonts w:cs="Tahoma"/>
          <w:szCs w:val="22"/>
        </w:rPr>
      </w:pPr>
      <w:r w:rsidRPr="001617CE">
        <w:rPr>
          <w:rFonts w:cs="Tahoma"/>
          <w:szCs w:val="22"/>
        </w:rPr>
        <w:t xml:space="preserve">V Praze dne:                        </w:t>
      </w:r>
      <w:r w:rsidRPr="001617CE">
        <w:rPr>
          <w:rFonts w:cs="Tahoma"/>
          <w:szCs w:val="22"/>
        </w:rPr>
        <w:tab/>
      </w:r>
      <w:r w:rsidRPr="001617CE">
        <w:rPr>
          <w:rFonts w:cs="Tahoma"/>
          <w:szCs w:val="22"/>
        </w:rPr>
        <w:tab/>
      </w:r>
      <w:r w:rsidRPr="001617CE">
        <w:rPr>
          <w:rFonts w:cs="Tahoma"/>
          <w:szCs w:val="22"/>
        </w:rPr>
        <w:tab/>
      </w:r>
      <w:r w:rsidR="00A8569A">
        <w:rPr>
          <w:rFonts w:cs="Tahoma"/>
          <w:szCs w:val="22"/>
        </w:rPr>
        <w:tab/>
      </w:r>
      <w:r w:rsidRPr="001617CE">
        <w:rPr>
          <w:rFonts w:cs="Tahoma"/>
          <w:szCs w:val="22"/>
        </w:rPr>
        <w:t>V Praze dne:</w:t>
      </w:r>
    </w:p>
    <w:p w14:paraId="5C82D167" w14:textId="77777777" w:rsidR="00A1738B" w:rsidRPr="001617CE" w:rsidRDefault="00A1738B" w:rsidP="00177BED">
      <w:pPr>
        <w:pStyle w:val="Zkladntext"/>
        <w:spacing w:line="276" w:lineRule="auto"/>
        <w:ind w:firstLine="709"/>
        <w:jc w:val="both"/>
        <w:rPr>
          <w:rFonts w:cs="Tahoma"/>
          <w:szCs w:val="22"/>
        </w:rPr>
      </w:pPr>
    </w:p>
    <w:p w14:paraId="21A84D30" w14:textId="77777777" w:rsidR="00A1738B" w:rsidRPr="001617CE" w:rsidRDefault="00A1738B" w:rsidP="00177BED">
      <w:pPr>
        <w:pStyle w:val="Zkladntext"/>
        <w:spacing w:line="276" w:lineRule="auto"/>
        <w:ind w:firstLine="709"/>
        <w:jc w:val="both"/>
        <w:rPr>
          <w:rFonts w:cs="Tahoma"/>
          <w:szCs w:val="22"/>
        </w:rPr>
      </w:pPr>
    </w:p>
    <w:p w14:paraId="50A5EC13" w14:textId="77777777" w:rsidR="00A1738B" w:rsidRPr="001617CE" w:rsidRDefault="00A1738B" w:rsidP="00177BED">
      <w:pPr>
        <w:pStyle w:val="Zkladntext"/>
        <w:spacing w:line="276" w:lineRule="auto"/>
        <w:jc w:val="both"/>
        <w:rPr>
          <w:rFonts w:cs="Tahoma"/>
          <w:szCs w:val="22"/>
        </w:rPr>
      </w:pPr>
    </w:p>
    <w:p w14:paraId="085E733E" w14:textId="77777777" w:rsidR="00A1738B" w:rsidRPr="001617CE" w:rsidRDefault="00A1738B" w:rsidP="00177BED">
      <w:pPr>
        <w:pStyle w:val="Zkladntext"/>
        <w:spacing w:line="276" w:lineRule="auto"/>
        <w:jc w:val="both"/>
        <w:rPr>
          <w:rFonts w:cs="Tahoma"/>
          <w:szCs w:val="22"/>
        </w:rPr>
      </w:pPr>
      <w:r w:rsidRPr="001617CE">
        <w:rPr>
          <w:rFonts w:cs="Tahoma"/>
          <w:szCs w:val="22"/>
        </w:rPr>
        <w:t>………………………………..</w:t>
      </w:r>
      <w:r w:rsidRPr="001617CE">
        <w:rPr>
          <w:rFonts w:cs="Tahoma"/>
          <w:szCs w:val="22"/>
        </w:rPr>
        <w:tab/>
      </w:r>
      <w:r w:rsidRPr="001617CE">
        <w:rPr>
          <w:rFonts w:cs="Tahoma"/>
          <w:szCs w:val="22"/>
        </w:rPr>
        <w:tab/>
      </w:r>
      <w:r w:rsidRPr="001617CE">
        <w:rPr>
          <w:rFonts w:cs="Tahoma"/>
          <w:szCs w:val="22"/>
        </w:rPr>
        <w:tab/>
      </w:r>
      <w:r w:rsidRPr="001617CE">
        <w:rPr>
          <w:rFonts w:cs="Tahoma"/>
          <w:szCs w:val="22"/>
        </w:rPr>
        <w:tab/>
        <w:t>……………………………………..</w:t>
      </w:r>
    </w:p>
    <w:p w14:paraId="2A77B8F0" w14:textId="77777777" w:rsidR="00A1738B" w:rsidRPr="001617CE" w:rsidRDefault="00A1738B" w:rsidP="00177BED">
      <w:pPr>
        <w:pStyle w:val="Zkladntext"/>
        <w:spacing w:line="276" w:lineRule="auto"/>
        <w:ind w:firstLine="709"/>
        <w:jc w:val="both"/>
        <w:rPr>
          <w:rFonts w:cs="Tahoma"/>
          <w:szCs w:val="22"/>
        </w:rPr>
      </w:pPr>
      <w:r w:rsidRPr="001617CE">
        <w:rPr>
          <w:rFonts w:cs="Tahoma"/>
          <w:szCs w:val="22"/>
        </w:rPr>
        <w:tab/>
        <w:t xml:space="preserve">  Partner </w:t>
      </w:r>
      <w:r w:rsidRPr="001617CE">
        <w:rPr>
          <w:rFonts w:cs="Tahoma"/>
          <w:szCs w:val="22"/>
        </w:rPr>
        <w:tab/>
      </w:r>
      <w:r w:rsidRPr="001617CE">
        <w:rPr>
          <w:rFonts w:cs="Tahoma"/>
          <w:szCs w:val="22"/>
        </w:rPr>
        <w:tab/>
      </w:r>
      <w:r w:rsidRPr="001617CE">
        <w:rPr>
          <w:rFonts w:cs="Tahoma"/>
          <w:szCs w:val="22"/>
        </w:rPr>
        <w:tab/>
      </w:r>
      <w:r w:rsidRPr="001617CE">
        <w:rPr>
          <w:rFonts w:cs="Tahoma"/>
          <w:szCs w:val="22"/>
        </w:rPr>
        <w:tab/>
        <w:t xml:space="preserve">            Dodavatel</w:t>
      </w:r>
    </w:p>
    <w:p w14:paraId="4DFE977E" w14:textId="77777777" w:rsidR="00A1738B" w:rsidRPr="001617CE" w:rsidRDefault="00A1738B" w:rsidP="00177BED">
      <w:pPr>
        <w:pStyle w:val="Zkladntext"/>
        <w:spacing w:line="276" w:lineRule="auto"/>
        <w:jc w:val="both"/>
        <w:rPr>
          <w:szCs w:val="22"/>
        </w:rPr>
      </w:pPr>
    </w:p>
    <w:p w14:paraId="3B06A17A" w14:textId="77777777" w:rsidR="00713948" w:rsidRPr="001617CE" w:rsidRDefault="00713948" w:rsidP="00177BED">
      <w:pPr>
        <w:spacing w:line="276" w:lineRule="auto"/>
        <w:jc w:val="both"/>
        <w:rPr>
          <w:szCs w:val="22"/>
        </w:rPr>
      </w:pPr>
    </w:p>
    <w:sectPr w:rsidR="00713948" w:rsidRPr="001617C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3264C" w14:textId="77777777" w:rsidR="00E44331" w:rsidRDefault="00E44331">
      <w:pPr>
        <w:spacing w:after="0" w:line="240" w:lineRule="auto"/>
      </w:pPr>
      <w:r>
        <w:separator/>
      </w:r>
    </w:p>
  </w:endnote>
  <w:endnote w:type="continuationSeparator" w:id="0">
    <w:p w14:paraId="193C2FAD" w14:textId="77777777" w:rsidR="00E44331" w:rsidRDefault="00E4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329277"/>
      <w:docPartObj>
        <w:docPartGallery w:val="Page Numbers (Bottom of Page)"/>
        <w:docPartUnique/>
      </w:docPartObj>
    </w:sdtPr>
    <w:sdtEndPr/>
    <w:sdtContent>
      <w:p w14:paraId="05A6F3E1" w14:textId="77777777" w:rsidR="00520CE7" w:rsidRDefault="006B7DCA">
        <w:pPr>
          <w:pStyle w:val="Zpat"/>
          <w:jc w:val="center"/>
        </w:pPr>
        <w:r>
          <w:fldChar w:fldCharType="begin"/>
        </w:r>
        <w:r>
          <w:instrText>PAGE   \* MERGEFORMAT</w:instrText>
        </w:r>
        <w:r>
          <w:fldChar w:fldCharType="separate"/>
        </w:r>
        <w:r w:rsidR="005E00FA">
          <w:rPr>
            <w:noProof/>
          </w:rPr>
          <w:t>3</w:t>
        </w:r>
        <w:r>
          <w:fldChar w:fldCharType="end"/>
        </w:r>
      </w:p>
    </w:sdtContent>
  </w:sdt>
  <w:p w14:paraId="70E6A254" w14:textId="77777777" w:rsidR="00520CE7" w:rsidRDefault="005E00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08BBD" w14:textId="77777777" w:rsidR="00E44331" w:rsidRDefault="00E44331">
      <w:pPr>
        <w:spacing w:after="0" w:line="240" w:lineRule="auto"/>
      </w:pPr>
      <w:r>
        <w:separator/>
      </w:r>
    </w:p>
  </w:footnote>
  <w:footnote w:type="continuationSeparator" w:id="0">
    <w:p w14:paraId="19FCB156" w14:textId="77777777" w:rsidR="00E44331" w:rsidRDefault="00E44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24E6230"/>
    <w:multiLevelType w:val="hybridMultilevel"/>
    <w:tmpl w:val="C130FA26"/>
    <w:lvl w:ilvl="0" w:tplc="68B66F0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130316F8"/>
    <w:multiLevelType w:val="multilevel"/>
    <w:tmpl w:val="3320A8B2"/>
    <w:numStyleLink w:val="VariantaB-odrky"/>
  </w:abstractNum>
  <w:abstractNum w:abstractNumId="15" w15:restartNumberingAfterBreak="0">
    <w:nsid w:val="13DD35F0"/>
    <w:multiLevelType w:val="hybridMultilevel"/>
    <w:tmpl w:val="2182EF1C"/>
    <w:lvl w:ilvl="0" w:tplc="9296EA4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13FB2F1F"/>
    <w:multiLevelType w:val="multilevel"/>
    <w:tmpl w:val="E8BAE50A"/>
    <w:numStyleLink w:val="VariantaA-odrky"/>
  </w:abstractNum>
  <w:abstractNum w:abstractNumId="17" w15:restartNumberingAfterBreak="0">
    <w:nsid w:val="15587B24"/>
    <w:multiLevelType w:val="multilevel"/>
    <w:tmpl w:val="E8BAE50A"/>
    <w:numStyleLink w:val="VariantaA-odrky"/>
  </w:abstractNum>
  <w:abstractNum w:abstractNumId="1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9" w15:restartNumberingAfterBreak="0">
    <w:nsid w:val="191872DA"/>
    <w:multiLevelType w:val="multilevel"/>
    <w:tmpl w:val="E8A48D7C"/>
    <w:numStyleLink w:val="VariantaA-sla"/>
  </w:abstractNum>
  <w:abstractNum w:abstractNumId="20" w15:restartNumberingAfterBreak="0">
    <w:nsid w:val="19987FCF"/>
    <w:multiLevelType w:val="multilevel"/>
    <w:tmpl w:val="0D8ABE32"/>
    <w:numStyleLink w:val="VariantaB-sla"/>
  </w:abstractNum>
  <w:abstractNum w:abstractNumId="21" w15:restartNumberingAfterBreak="0">
    <w:nsid w:val="1D3068A6"/>
    <w:multiLevelType w:val="multilevel"/>
    <w:tmpl w:val="3320A8B2"/>
    <w:numStyleLink w:val="VariantaB-odrky"/>
  </w:abstractNum>
  <w:abstractNum w:abstractNumId="22" w15:restartNumberingAfterBreak="0">
    <w:nsid w:val="1D464EC2"/>
    <w:multiLevelType w:val="multilevel"/>
    <w:tmpl w:val="E8BAE50A"/>
    <w:numStyleLink w:val="VariantaA-odrky"/>
  </w:abstractNum>
  <w:abstractNum w:abstractNumId="23" w15:restartNumberingAfterBreak="0">
    <w:nsid w:val="1EAB39CE"/>
    <w:multiLevelType w:val="multilevel"/>
    <w:tmpl w:val="E8BAE50A"/>
    <w:numStyleLink w:val="VariantaA-odrky"/>
  </w:abstractNum>
  <w:abstractNum w:abstractNumId="24" w15:restartNumberingAfterBreak="0">
    <w:nsid w:val="289A5EA2"/>
    <w:multiLevelType w:val="multilevel"/>
    <w:tmpl w:val="E8BAE50A"/>
    <w:numStyleLink w:val="VariantaA-odrky"/>
  </w:abstractNum>
  <w:abstractNum w:abstractNumId="25" w15:restartNumberingAfterBreak="0">
    <w:nsid w:val="28AB573E"/>
    <w:multiLevelType w:val="multilevel"/>
    <w:tmpl w:val="3320A8B2"/>
    <w:numStyleLink w:val="VariantaB-odrky"/>
  </w:abstractNum>
  <w:abstractNum w:abstractNumId="26" w15:restartNumberingAfterBreak="0">
    <w:nsid w:val="2A5F2D39"/>
    <w:multiLevelType w:val="multilevel"/>
    <w:tmpl w:val="E8BAE50A"/>
    <w:numStyleLink w:val="VariantaA-odrky"/>
  </w:abstractNum>
  <w:abstractNum w:abstractNumId="27" w15:restartNumberingAfterBreak="0">
    <w:nsid w:val="2DBB2CE6"/>
    <w:multiLevelType w:val="multilevel"/>
    <w:tmpl w:val="E8BAE50A"/>
    <w:numStyleLink w:val="VariantaA-odrky"/>
  </w:abstractNum>
  <w:abstractNum w:abstractNumId="28" w15:restartNumberingAfterBreak="0">
    <w:nsid w:val="34752CA6"/>
    <w:multiLevelType w:val="singleLevel"/>
    <w:tmpl w:val="ECF639A8"/>
    <w:lvl w:ilvl="0">
      <w:start w:val="1"/>
      <w:numFmt w:val="decimal"/>
      <w:lvlText w:val="%1."/>
      <w:legacy w:legacy="1" w:legacySpace="0" w:legacyIndent="245"/>
      <w:lvlJc w:val="left"/>
      <w:rPr>
        <w:rFonts w:ascii="Times New Roman" w:hAnsi="Times New Roman" w:cs="Times New Roman" w:hint="default"/>
      </w:rPr>
    </w:lvl>
  </w:abstractNum>
  <w:abstractNum w:abstractNumId="29" w15:restartNumberingAfterBreak="0">
    <w:nsid w:val="34F15007"/>
    <w:multiLevelType w:val="hybridMultilevel"/>
    <w:tmpl w:val="3482B466"/>
    <w:lvl w:ilvl="0" w:tplc="89761DD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0" w15:restartNumberingAfterBreak="0">
    <w:nsid w:val="355131EF"/>
    <w:multiLevelType w:val="multilevel"/>
    <w:tmpl w:val="E8A48D7C"/>
    <w:numStyleLink w:val="VariantaA-sla"/>
  </w:abstractNum>
  <w:abstractNum w:abstractNumId="31" w15:restartNumberingAfterBreak="0">
    <w:nsid w:val="3C653B51"/>
    <w:multiLevelType w:val="hybridMultilevel"/>
    <w:tmpl w:val="9DAA2706"/>
    <w:lvl w:ilvl="0" w:tplc="71484446">
      <w:start w:val="1"/>
      <w:numFmt w:val="decimal"/>
      <w:lvlText w:val="%1."/>
      <w:lvlJc w:val="left"/>
      <w:pPr>
        <w:ind w:left="1004" w:hanging="360"/>
      </w:pPr>
      <w:rPr>
        <w:rFonts w:hint="default"/>
        <w:color w:val="00000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487C7F97"/>
    <w:multiLevelType w:val="hybridMultilevel"/>
    <w:tmpl w:val="35CAEAEC"/>
    <w:lvl w:ilvl="0" w:tplc="89761DD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3" w15:restartNumberingAfterBreak="0">
    <w:nsid w:val="4A306389"/>
    <w:multiLevelType w:val="multilevel"/>
    <w:tmpl w:val="E8BAE50A"/>
    <w:numStyleLink w:val="VariantaA-odrky"/>
  </w:abstractNum>
  <w:abstractNum w:abstractNumId="3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290926"/>
    <w:multiLevelType w:val="multilevel"/>
    <w:tmpl w:val="E8BAE50A"/>
    <w:numStyleLink w:val="VariantaA-odrky"/>
  </w:abstractNum>
  <w:abstractNum w:abstractNumId="36" w15:restartNumberingAfterBreak="0">
    <w:nsid w:val="533902EA"/>
    <w:multiLevelType w:val="multilevel"/>
    <w:tmpl w:val="E8BAE50A"/>
    <w:numStyleLink w:val="VariantaA-odrky"/>
  </w:abstractNum>
  <w:abstractNum w:abstractNumId="37" w15:restartNumberingAfterBreak="0">
    <w:nsid w:val="566C2FD5"/>
    <w:multiLevelType w:val="singleLevel"/>
    <w:tmpl w:val="5F50F08E"/>
    <w:lvl w:ilvl="0">
      <w:start w:val="1"/>
      <w:numFmt w:val="decimal"/>
      <w:lvlText w:val="%1."/>
      <w:lvlJc w:val="left"/>
      <w:pPr>
        <w:tabs>
          <w:tab w:val="num" w:pos="705"/>
        </w:tabs>
        <w:ind w:left="705" w:hanging="705"/>
      </w:pPr>
      <w:rPr>
        <w:rFonts w:hint="default"/>
      </w:rPr>
    </w:lvl>
  </w:abstractNum>
  <w:abstractNum w:abstractNumId="38" w15:restartNumberingAfterBreak="0">
    <w:nsid w:val="571C11E2"/>
    <w:multiLevelType w:val="multilevel"/>
    <w:tmpl w:val="E8A48D7C"/>
    <w:numStyleLink w:val="VariantaA-sla"/>
  </w:abstractNum>
  <w:abstractNum w:abstractNumId="3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0" w15:restartNumberingAfterBreak="0">
    <w:nsid w:val="5AF35F43"/>
    <w:multiLevelType w:val="multilevel"/>
    <w:tmpl w:val="0D8ABE32"/>
    <w:numStyleLink w:val="VariantaB-sla"/>
  </w:abstractNum>
  <w:abstractNum w:abstractNumId="41" w15:restartNumberingAfterBreak="0">
    <w:nsid w:val="694B20A2"/>
    <w:multiLevelType w:val="hybridMultilevel"/>
    <w:tmpl w:val="EFBC7E50"/>
    <w:lvl w:ilvl="0" w:tplc="D8C8EAC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15:restartNumberingAfterBreak="0">
    <w:nsid w:val="7840793C"/>
    <w:multiLevelType w:val="hybridMultilevel"/>
    <w:tmpl w:val="B0C05BF8"/>
    <w:lvl w:ilvl="0" w:tplc="74DEF586">
      <w:start w:val="1"/>
      <w:numFmt w:val="decimal"/>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3" w15:restartNumberingAfterBreak="0">
    <w:nsid w:val="78E37A9D"/>
    <w:multiLevelType w:val="hybridMultilevel"/>
    <w:tmpl w:val="672692F8"/>
    <w:lvl w:ilvl="0" w:tplc="9296EA4C">
      <w:start w:val="2"/>
      <w:numFmt w:val="lowerLetter"/>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A348B2"/>
    <w:multiLevelType w:val="hybridMultilevel"/>
    <w:tmpl w:val="63B23106"/>
    <w:lvl w:ilvl="0" w:tplc="F59E6912">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9"/>
  </w:num>
  <w:num w:numId="3">
    <w:abstractNumId w:val="21"/>
  </w:num>
  <w:num w:numId="4">
    <w:abstractNumId w:val="16"/>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4"/>
  </w:num>
  <w:num w:numId="7">
    <w:abstractNumId w:val="7"/>
  </w:num>
  <w:num w:numId="8">
    <w:abstractNumId w:val="38"/>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6"/>
  </w:num>
  <w:num w:numId="14">
    <w:abstractNumId w:val="4"/>
  </w:num>
  <w:num w:numId="15">
    <w:abstractNumId w:val="3"/>
  </w:num>
  <w:num w:numId="16">
    <w:abstractNumId w:val="34"/>
  </w:num>
  <w:num w:numId="17">
    <w:abstractNumId w:val="22"/>
  </w:num>
  <w:num w:numId="18">
    <w:abstractNumId w:val="6"/>
  </w:num>
  <w:num w:numId="19">
    <w:abstractNumId w:val="12"/>
  </w:num>
  <w:num w:numId="20">
    <w:abstractNumId w:val="8"/>
  </w:num>
  <w:num w:numId="21">
    <w:abstractNumId w:val="30"/>
  </w:num>
  <w:num w:numId="22">
    <w:abstractNumId w:val="10"/>
  </w:num>
  <w:num w:numId="23">
    <w:abstractNumId w:val="23"/>
  </w:num>
  <w:num w:numId="24">
    <w:abstractNumId w:val="11"/>
  </w:num>
  <w:num w:numId="25">
    <w:abstractNumId w:val="17"/>
  </w:num>
  <w:num w:numId="26">
    <w:abstractNumId w:val="33"/>
  </w:num>
  <w:num w:numId="27">
    <w:abstractNumId w:val="27"/>
  </w:num>
  <w:num w:numId="28">
    <w:abstractNumId w:val="26"/>
  </w:num>
  <w:num w:numId="29">
    <w:abstractNumId w:val="20"/>
  </w:num>
  <w:num w:numId="30">
    <w:abstractNumId w:val="35"/>
  </w:num>
  <w:num w:numId="31">
    <w:abstractNumId w:val="40"/>
  </w:num>
  <w:num w:numId="32">
    <w:abstractNumId w:val="24"/>
  </w:num>
  <w:num w:numId="33">
    <w:abstractNumId w:val="19"/>
  </w:num>
  <w:num w:numId="34">
    <w:abstractNumId w:val="9"/>
  </w:num>
  <w:num w:numId="35">
    <w:abstractNumId w:val="25"/>
  </w:num>
  <w:num w:numId="36">
    <w:abstractNumId w:val="14"/>
  </w:num>
  <w:num w:numId="37">
    <w:abstractNumId w:val="37"/>
  </w:num>
  <w:num w:numId="38">
    <w:abstractNumId w:val="32"/>
  </w:num>
  <w:num w:numId="39">
    <w:abstractNumId w:val="29"/>
  </w:num>
  <w:num w:numId="40">
    <w:abstractNumId w:val="43"/>
  </w:num>
  <w:num w:numId="41">
    <w:abstractNumId w:val="15"/>
  </w:num>
  <w:num w:numId="42">
    <w:abstractNumId w:val="13"/>
  </w:num>
  <w:num w:numId="43">
    <w:abstractNumId w:val="31"/>
  </w:num>
  <w:num w:numId="44">
    <w:abstractNumId w:val="42"/>
  </w:num>
  <w:num w:numId="45">
    <w:abstractNumId w:val="44"/>
  </w:num>
  <w:num w:numId="46">
    <w:abstractNumId w:val="28"/>
  </w:num>
  <w:num w:numId="47">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8B"/>
    <w:rsid w:val="00015306"/>
    <w:rsid w:val="0002674B"/>
    <w:rsid w:val="0004162E"/>
    <w:rsid w:val="00043CD2"/>
    <w:rsid w:val="0004786B"/>
    <w:rsid w:val="0005484F"/>
    <w:rsid w:val="00063405"/>
    <w:rsid w:val="000809B9"/>
    <w:rsid w:val="00090B40"/>
    <w:rsid w:val="00095A0A"/>
    <w:rsid w:val="000B1B3D"/>
    <w:rsid w:val="000B2201"/>
    <w:rsid w:val="000C4CAF"/>
    <w:rsid w:val="000F6D8B"/>
    <w:rsid w:val="00121485"/>
    <w:rsid w:val="00125FBB"/>
    <w:rsid w:val="00132B65"/>
    <w:rsid w:val="001617CE"/>
    <w:rsid w:val="00172DD0"/>
    <w:rsid w:val="00177BED"/>
    <w:rsid w:val="0018051B"/>
    <w:rsid w:val="00196D28"/>
    <w:rsid w:val="001B1E4A"/>
    <w:rsid w:val="001D27C0"/>
    <w:rsid w:val="001E74C3"/>
    <w:rsid w:val="001F6937"/>
    <w:rsid w:val="00220DE3"/>
    <w:rsid w:val="0025290D"/>
    <w:rsid w:val="00260372"/>
    <w:rsid w:val="00262DAF"/>
    <w:rsid w:val="00285AED"/>
    <w:rsid w:val="002A1C16"/>
    <w:rsid w:val="002D4E66"/>
    <w:rsid w:val="002E2442"/>
    <w:rsid w:val="002F0E8C"/>
    <w:rsid w:val="00310FA0"/>
    <w:rsid w:val="00320481"/>
    <w:rsid w:val="003250CB"/>
    <w:rsid w:val="00363201"/>
    <w:rsid w:val="0039063C"/>
    <w:rsid w:val="003A46A8"/>
    <w:rsid w:val="003A51AA"/>
    <w:rsid w:val="003B3792"/>
    <w:rsid w:val="003B565A"/>
    <w:rsid w:val="003C4CDC"/>
    <w:rsid w:val="003D00A1"/>
    <w:rsid w:val="0041427F"/>
    <w:rsid w:val="00434F4C"/>
    <w:rsid w:val="004509E5"/>
    <w:rsid w:val="00486FB9"/>
    <w:rsid w:val="004C212A"/>
    <w:rsid w:val="004E1F93"/>
    <w:rsid w:val="00500232"/>
    <w:rsid w:val="00504668"/>
    <w:rsid w:val="005145E8"/>
    <w:rsid w:val="005455E1"/>
    <w:rsid w:val="005502BD"/>
    <w:rsid w:val="00556787"/>
    <w:rsid w:val="005C2560"/>
    <w:rsid w:val="005E00FA"/>
    <w:rsid w:val="005F7585"/>
    <w:rsid w:val="00605759"/>
    <w:rsid w:val="00625226"/>
    <w:rsid w:val="00630E98"/>
    <w:rsid w:val="00650C6C"/>
    <w:rsid w:val="00652FE6"/>
    <w:rsid w:val="00667898"/>
    <w:rsid w:val="006B7DCA"/>
    <w:rsid w:val="006D04EF"/>
    <w:rsid w:val="006E2FB0"/>
    <w:rsid w:val="007102D2"/>
    <w:rsid w:val="00713948"/>
    <w:rsid w:val="00753A27"/>
    <w:rsid w:val="00772013"/>
    <w:rsid w:val="00782FF4"/>
    <w:rsid w:val="0078762A"/>
    <w:rsid w:val="0079342A"/>
    <w:rsid w:val="007B4949"/>
    <w:rsid w:val="007F0BC6"/>
    <w:rsid w:val="00813866"/>
    <w:rsid w:val="00831374"/>
    <w:rsid w:val="00850D43"/>
    <w:rsid w:val="00857580"/>
    <w:rsid w:val="00865238"/>
    <w:rsid w:val="008667BF"/>
    <w:rsid w:val="00895645"/>
    <w:rsid w:val="008C3782"/>
    <w:rsid w:val="008D4A32"/>
    <w:rsid w:val="008D593A"/>
    <w:rsid w:val="008E7760"/>
    <w:rsid w:val="00922001"/>
    <w:rsid w:val="00922C17"/>
    <w:rsid w:val="00942DDD"/>
    <w:rsid w:val="009516A8"/>
    <w:rsid w:val="0097705C"/>
    <w:rsid w:val="009A1EA1"/>
    <w:rsid w:val="009F393D"/>
    <w:rsid w:val="009F7F46"/>
    <w:rsid w:val="00A000BF"/>
    <w:rsid w:val="00A0587E"/>
    <w:rsid w:val="00A1738B"/>
    <w:rsid w:val="00A275BC"/>
    <w:rsid w:val="00A464B4"/>
    <w:rsid w:val="00A63D6B"/>
    <w:rsid w:val="00A84B52"/>
    <w:rsid w:val="00A8569A"/>
    <w:rsid w:val="00A8660F"/>
    <w:rsid w:val="00A95C48"/>
    <w:rsid w:val="00AA7056"/>
    <w:rsid w:val="00AB31C6"/>
    <w:rsid w:val="00AB523B"/>
    <w:rsid w:val="00AD7E40"/>
    <w:rsid w:val="00B1477A"/>
    <w:rsid w:val="00B20993"/>
    <w:rsid w:val="00B32905"/>
    <w:rsid w:val="00B42E96"/>
    <w:rsid w:val="00B50EE6"/>
    <w:rsid w:val="00B52185"/>
    <w:rsid w:val="00B76DE2"/>
    <w:rsid w:val="00B9753A"/>
    <w:rsid w:val="00BB479C"/>
    <w:rsid w:val="00BC4720"/>
    <w:rsid w:val="00BD75A2"/>
    <w:rsid w:val="00C2017A"/>
    <w:rsid w:val="00C2026B"/>
    <w:rsid w:val="00C20470"/>
    <w:rsid w:val="00C34B2F"/>
    <w:rsid w:val="00C4641B"/>
    <w:rsid w:val="00C6690E"/>
    <w:rsid w:val="00C703C5"/>
    <w:rsid w:val="00C74798"/>
    <w:rsid w:val="00C805F2"/>
    <w:rsid w:val="00C94B82"/>
    <w:rsid w:val="00CB7659"/>
    <w:rsid w:val="00CC5E40"/>
    <w:rsid w:val="00CD0515"/>
    <w:rsid w:val="00CF5007"/>
    <w:rsid w:val="00D04DD2"/>
    <w:rsid w:val="00D1569F"/>
    <w:rsid w:val="00D1665D"/>
    <w:rsid w:val="00D20B1E"/>
    <w:rsid w:val="00D22462"/>
    <w:rsid w:val="00D230AC"/>
    <w:rsid w:val="00D32489"/>
    <w:rsid w:val="00D3349E"/>
    <w:rsid w:val="00D35F82"/>
    <w:rsid w:val="00D73CB8"/>
    <w:rsid w:val="00DA7591"/>
    <w:rsid w:val="00DB14A5"/>
    <w:rsid w:val="00E32798"/>
    <w:rsid w:val="00E44331"/>
    <w:rsid w:val="00E51C91"/>
    <w:rsid w:val="00E667C1"/>
    <w:rsid w:val="00EC3F88"/>
    <w:rsid w:val="00ED36D8"/>
    <w:rsid w:val="00EE6BD7"/>
    <w:rsid w:val="00F0689D"/>
    <w:rsid w:val="00F171F7"/>
    <w:rsid w:val="00F50CA8"/>
    <w:rsid w:val="00F710F2"/>
    <w:rsid w:val="00F82244"/>
    <w:rsid w:val="00F953B8"/>
    <w:rsid w:val="00FB01B5"/>
    <w:rsid w:val="00FB10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6828"/>
  <w15:chartTrackingRefBased/>
  <w15:docId w15:val="{CCAFF479-940D-45AC-84FF-172B2ED4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738B"/>
    <w:pPr>
      <w:overflowPunct w:val="0"/>
      <w:autoSpaceDE w:val="0"/>
      <w:autoSpaceDN w:val="0"/>
      <w:adjustRightInd w:val="0"/>
      <w:spacing w:after="160" w:line="340" w:lineRule="exact"/>
      <w:textAlignment w:val="baseline"/>
    </w:pPr>
    <w:rPr>
      <w:rFonts w:eastAsia="Times New Roman" w:cs="Times New Roman"/>
      <w:szCs w:val="20"/>
      <w:lang w:eastAsia="cs-CZ"/>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rsid w:val="009F393D"/>
  </w:style>
  <w:style w:type="character" w:customStyle="1" w:styleId="ZkladntextChar">
    <w:name w:val="Základní text Char"/>
    <w:basedOn w:val="Standardnpsmoodstavce"/>
    <w:link w:val="Zkladntext"/>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pat">
    <w:name w:val="footer"/>
    <w:basedOn w:val="Normln"/>
    <w:link w:val="ZpatChar"/>
    <w:uiPriority w:val="99"/>
    <w:unhideWhenUsed/>
    <w:rsid w:val="00A1738B"/>
    <w:pPr>
      <w:tabs>
        <w:tab w:val="center" w:pos="4536"/>
        <w:tab w:val="right" w:pos="9072"/>
      </w:tabs>
      <w:spacing w:after="0" w:line="240" w:lineRule="auto"/>
    </w:pPr>
  </w:style>
  <w:style w:type="character" w:customStyle="1" w:styleId="ZpatChar">
    <w:name w:val="Zápatí Char"/>
    <w:basedOn w:val="Standardnpsmoodstavce"/>
    <w:link w:val="Zpat"/>
    <w:uiPriority w:val="99"/>
    <w:rsid w:val="00A1738B"/>
    <w:rPr>
      <w:rFonts w:eastAsia="Times New Roman" w:cs="Times New Roman"/>
      <w:szCs w:val="20"/>
      <w:lang w:eastAsia="cs-CZ"/>
    </w:rPr>
  </w:style>
  <w:style w:type="character" w:customStyle="1" w:styleId="nowrap">
    <w:name w:val="nowrap"/>
    <w:basedOn w:val="Standardnpsmoodstavce"/>
    <w:rsid w:val="00F953B8"/>
  </w:style>
  <w:style w:type="paragraph" w:customStyle="1" w:styleId="Style4">
    <w:name w:val="Style4"/>
    <w:basedOn w:val="Normln"/>
    <w:uiPriority w:val="99"/>
    <w:rsid w:val="00F82244"/>
    <w:pPr>
      <w:widowControl w:val="0"/>
      <w:overflowPunct/>
      <w:spacing w:after="0" w:line="281" w:lineRule="exact"/>
      <w:jc w:val="both"/>
      <w:textAlignment w:val="auto"/>
    </w:pPr>
    <w:rPr>
      <w:rFonts w:ascii="Georgia" w:hAnsi="Georgia"/>
      <w:sz w:val="24"/>
      <w:szCs w:val="24"/>
    </w:rPr>
  </w:style>
  <w:style w:type="character" w:customStyle="1" w:styleId="FontStyle15">
    <w:name w:val="Font Style15"/>
    <w:uiPriority w:val="99"/>
    <w:rsid w:val="00F82244"/>
    <w:rPr>
      <w:rFonts w:ascii="Times New Roman" w:hAnsi="Times New Roman" w:cs="Times New Roman"/>
      <w:sz w:val="22"/>
      <w:szCs w:val="22"/>
    </w:rPr>
  </w:style>
  <w:style w:type="character" w:styleId="Odkaznakoment">
    <w:name w:val="annotation reference"/>
    <w:basedOn w:val="Standardnpsmoodstavce"/>
    <w:uiPriority w:val="99"/>
    <w:semiHidden/>
    <w:unhideWhenUsed/>
    <w:rsid w:val="00D1665D"/>
    <w:rPr>
      <w:sz w:val="16"/>
      <w:szCs w:val="16"/>
    </w:rPr>
  </w:style>
  <w:style w:type="paragraph" w:styleId="Textkomente">
    <w:name w:val="annotation text"/>
    <w:basedOn w:val="Normln"/>
    <w:link w:val="TextkomenteChar"/>
    <w:uiPriority w:val="99"/>
    <w:semiHidden/>
    <w:unhideWhenUsed/>
    <w:rsid w:val="00D1665D"/>
    <w:pPr>
      <w:spacing w:line="240" w:lineRule="auto"/>
    </w:pPr>
    <w:rPr>
      <w:sz w:val="20"/>
    </w:rPr>
  </w:style>
  <w:style w:type="character" w:customStyle="1" w:styleId="TextkomenteChar">
    <w:name w:val="Text komentáře Char"/>
    <w:basedOn w:val="Standardnpsmoodstavce"/>
    <w:link w:val="Textkomente"/>
    <w:uiPriority w:val="99"/>
    <w:semiHidden/>
    <w:rsid w:val="00D1665D"/>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665D"/>
    <w:rPr>
      <w:b/>
      <w:bCs/>
    </w:rPr>
  </w:style>
  <w:style w:type="character" w:customStyle="1" w:styleId="PedmtkomenteChar">
    <w:name w:val="Předmět komentáře Char"/>
    <w:basedOn w:val="TextkomenteChar"/>
    <w:link w:val="Pedmtkomente"/>
    <w:uiPriority w:val="99"/>
    <w:semiHidden/>
    <w:rsid w:val="00D1665D"/>
    <w:rPr>
      <w:rFonts w:eastAsia="Times New Roman" w:cs="Times New Roman"/>
      <w:b/>
      <w:bCs/>
      <w:sz w:val="20"/>
      <w:szCs w:val="20"/>
      <w:lang w:eastAsia="cs-CZ"/>
    </w:rPr>
  </w:style>
  <w:style w:type="paragraph" w:styleId="Textbubliny">
    <w:name w:val="Balloon Text"/>
    <w:basedOn w:val="Normln"/>
    <w:link w:val="TextbublinyChar"/>
    <w:uiPriority w:val="99"/>
    <w:semiHidden/>
    <w:unhideWhenUsed/>
    <w:rsid w:val="00D166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65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B055-AB41-4AAC-A29D-374C8244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7134DD1C.dotm</Template>
  <TotalTime>0</TotalTime>
  <Pages>4</Pages>
  <Words>1149</Words>
  <Characters>6783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Knöpfelmacherová Gabriela</dc:creator>
  <cp:keywords/>
  <dc:description/>
  <cp:lastModifiedBy>Knöpfelmacherová Gabriela</cp:lastModifiedBy>
  <cp:revision>2</cp:revision>
  <cp:lastPrinted>2017-04-11T13:28:00Z</cp:lastPrinted>
  <dcterms:created xsi:type="dcterms:W3CDTF">2017-12-14T14:18:00Z</dcterms:created>
  <dcterms:modified xsi:type="dcterms:W3CDTF">2017-12-14T14:18:00Z</dcterms:modified>
</cp:coreProperties>
</file>