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3E5D3EBC"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406B05">
        <w:t>30248</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71CDBB1" w:rsidR="00402AFA" w:rsidRDefault="00402AFA">
      <w:pPr>
        <w:tabs>
          <w:tab w:val="left" w:pos="1985"/>
        </w:tabs>
        <w:spacing w:line="230" w:lineRule="exact"/>
        <w:jc w:val="both"/>
        <w:rPr>
          <w:b/>
          <w:bCs/>
          <w:sz w:val="24"/>
        </w:rPr>
      </w:pPr>
      <w:r>
        <w:rPr>
          <w:sz w:val="24"/>
        </w:rPr>
        <w:t>organizace:</w:t>
      </w:r>
      <w:r w:rsidR="000136F5">
        <w:rPr>
          <w:sz w:val="24"/>
        </w:rPr>
        <w:t xml:space="preserve">   </w:t>
      </w:r>
      <w:r w:rsidR="00312CAE">
        <w:rPr>
          <w:sz w:val="24"/>
        </w:rPr>
        <w:t xml:space="preserve"> </w:t>
      </w:r>
      <w:r w:rsidR="00DF24C5">
        <w:rPr>
          <w:sz w:val="24"/>
        </w:rPr>
        <w:t xml:space="preserve">          </w:t>
      </w:r>
      <w:r w:rsidR="000136F5" w:rsidRPr="000136F5">
        <w:rPr>
          <w:b/>
          <w:sz w:val="24"/>
        </w:rPr>
        <w:t>PATRON Bohemia a.s</w:t>
      </w:r>
      <w:r w:rsidR="000136F5">
        <w:rPr>
          <w:sz w:val="24"/>
        </w:rPr>
        <w:t>.</w:t>
      </w:r>
      <w:r>
        <w:rPr>
          <w:b/>
          <w:sz w:val="24"/>
        </w:rPr>
        <w:tab/>
      </w:r>
    </w:p>
    <w:p w14:paraId="0BEA128C" w14:textId="3242CB53" w:rsidR="00402AFA" w:rsidRDefault="00402AFA">
      <w:pPr>
        <w:tabs>
          <w:tab w:val="left" w:pos="1985"/>
        </w:tabs>
        <w:spacing w:line="230" w:lineRule="exact"/>
        <w:jc w:val="both"/>
        <w:rPr>
          <w:b/>
          <w:bCs/>
          <w:sz w:val="24"/>
        </w:rPr>
      </w:pPr>
      <w:r>
        <w:rPr>
          <w:sz w:val="24"/>
        </w:rPr>
        <w:t>se sídlem:</w:t>
      </w:r>
      <w:r w:rsidR="000136F5">
        <w:rPr>
          <w:sz w:val="24"/>
        </w:rPr>
        <w:t xml:space="preserve">    </w:t>
      </w:r>
      <w:r w:rsidR="00312CAE">
        <w:rPr>
          <w:sz w:val="24"/>
        </w:rPr>
        <w:t xml:space="preserve"> </w:t>
      </w:r>
      <w:r w:rsidR="000136F5">
        <w:rPr>
          <w:sz w:val="24"/>
        </w:rPr>
        <w:t xml:space="preserve"> </w:t>
      </w:r>
      <w:r w:rsidR="00DF24C5">
        <w:rPr>
          <w:sz w:val="24"/>
        </w:rPr>
        <w:t xml:space="preserve">          </w:t>
      </w:r>
      <w:r w:rsidR="000136F5" w:rsidRPr="000136F5">
        <w:rPr>
          <w:b/>
          <w:sz w:val="24"/>
        </w:rPr>
        <w:t>Mělník, Českolipská 3419, 27601</w:t>
      </w:r>
      <w:r>
        <w:rPr>
          <w:b/>
          <w:bCs/>
          <w:sz w:val="24"/>
        </w:rPr>
        <w:tab/>
      </w:r>
    </w:p>
    <w:p w14:paraId="2DD63736" w14:textId="26D75124" w:rsidR="003D0091" w:rsidRDefault="00402AFA" w:rsidP="00DF24C5">
      <w:pPr>
        <w:tabs>
          <w:tab w:val="left" w:pos="1985"/>
        </w:tabs>
        <w:spacing w:line="230" w:lineRule="exact"/>
        <w:jc w:val="both"/>
        <w:rPr>
          <w:sz w:val="24"/>
        </w:rPr>
      </w:pPr>
      <w:r>
        <w:rPr>
          <w:sz w:val="24"/>
        </w:rPr>
        <w:t>IČ:</w:t>
      </w:r>
      <w:r w:rsidR="000136F5">
        <w:rPr>
          <w:sz w:val="24"/>
        </w:rPr>
        <w:t xml:space="preserve">                </w:t>
      </w:r>
      <w:r w:rsidR="00DF24C5">
        <w:rPr>
          <w:sz w:val="24"/>
        </w:rPr>
        <w:t xml:space="preserve">          </w:t>
      </w:r>
      <w:r w:rsidR="00312CAE">
        <w:rPr>
          <w:sz w:val="24"/>
        </w:rPr>
        <w:t xml:space="preserve"> </w:t>
      </w:r>
      <w:r w:rsidR="000136F5">
        <w:rPr>
          <w:sz w:val="24"/>
        </w:rPr>
        <w:t>616</w:t>
      </w:r>
      <w:r w:rsidR="00DF24C5">
        <w:rPr>
          <w:sz w:val="24"/>
        </w:rPr>
        <w:t xml:space="preserve"> </w:t>
      </w:r>
      <w:r w:rsidR="000136F5">
        <w:rPr>
          <w:sz w:val="24"/>
        </w:rPr>
        <w:t>76</w:t>
      </w:r>
      <w:r w:rsidR="00DF24C5">
        <w:rPr>
          <w:sz w:val="24"/>
        </w:rPr>
        <w:t xml:space="preserve"> </w:t>
      </w:r>
      <w:r w:rsidR="000136F5">
        <w:rPr>
          <w:sz w:val="24"/>
        </w:rPr>
        <w:t>314</w:t>
      </w:r>
    </w:p>
    <w:p w14:paraId="0E10EEDB" w14:textId="227AA98A" w:rsidR="00402AFA" w:rsidRDefault="003D0091">
      <w:pPr>
        <w:tabs>
          <w:tab w:val="left" w:pos="1985"/>
        </w:tabs>
        <w:spacing w:line="230" w:lineRule="exact"/>
        <w:jc w:val="both"/>
        <w:rPr>
          <w:b/>
          <w:bCs/>
          <w:sz w:val="24"/>
        </w:rPr>
      </w:pPr>
      <w:r>
        <w:rPr>
          <w:sz w:val="24"/>
        </w:rPr>
        <w:t>DIČ:</w:t>
      </w:r>
      <w:r w:rsidR="000136F5">
        <w:rPr>
          <w:sz w:val="24"/>
        </w:rPr>
        <w:t xml:space="preserve">            </w:t>
      </w:r>
      <w:r w:rsidR="00312CAE">
        <w:rPr>
          <w:sz w:val="24"/>
        </w:rPr>
        <w:t xml:space="preserve"> </w:t>
      </w:r>
      <w:r w:rsidR="00DF24C5">
        <w:rPr>
          <w:sz w:val="24"/>
        </w:rPr>
        <w:t xml:space="preserve">          </w:t>
      </w:r>
      <w:r w:rsidR="000136F5">
        <w:rPr>
          <w:sz w:val="24"/>
        </w:rPr>
        <w:t xml:space="preserve"> </w:t>
      </w:r>
      <w:r w:rsidR="000136F5" w:rsidRPr="00DF24C5">
        <w:rPr>
          <w:b/>
          <w:sz w:val="24"/>
        </w:rPr>
        <w:t>CZ</w:t>
      </w:r>
      <w:r w:rsidR="00DF24C5">
        <w:rPr>
          <w:b/>
          <w:sz w:val="24"/>
        </w:rPr>
        <w:t xml:space="preserve"> </w:t>
      </w:r>
      <w:r w:rsidR="000136F5" w:rsidRPr="00DF24C5">
        <w:rPr>
          <w:b/>
          <w:sz w:val="24"/>
        </w:rPr>
        <w:t>616</w:t>
      </w:r>
      <w:r w:rsidR="00DF24C5">
        <w:rPr>
          <w:b/>
          <w:sz w:val="24"/>
        </w:rPr>
        <w:t xml:space="preserve"> </w:t>
      </w:r>
      <w:r w:rsidR="000136F5" w:rsidRPr="00DF24C5">
        <w:rPr>
          <w:b/>
          <w:sz w:val="24"/>
        </w:rPr>
        <w:t>76</w:t>
      </w:r>
      <w:r w:rsidR="00DF24C5">
        <w:rPr>
          <w:b/>
          <w:sz w:val="24"/>
        </w:rPr>
        <w:t xml:space="preserve"> </w:t>
      </w:r>
      <w:r w:rsidR="000136F5" w:rsidRPr="00DF24C5">
        <w:rPr>
          <w:b/>
          <w:sz w:val="24"/>
        </w:rPr>
        <w:t>314</w:t>
      </w:r>
      <w:r w:rsidR="00402AFA" w:rsidRPr="00DF24C5">
        <w:rPr>
          <w:b/>
          <w:bCs/>
          <w:sz w:val="24"/>
        </w:rPr>
        <w:tab/>
      </w:r>
    </w:p>
    <w:p w14:paraId="3AA8120A" w14:textId="37400D72" w:rsidR="00402AFA" w:rsidRDefault="00402AFA">
      <w:pPr>
        <w:tabs>
          <w:tab w:val="left" w:pos="1985"/>
        </w:tabs>
        <w:spacing w:line="230" w:lineRule="exact"/>
        <w:jc w:val="both"/>
        <w:rPr>
          <w:sz w:val="24"/>
        </w:rPr>
      </w:pPr>
      <w:r>
        <w:rPr>
          <w:sz w:val="24"/>
        </w:rPr>
        <w:t>zápis v</w:t>
      </w:r>
      <w:r w:rsidR="00707F50">
        <w:rPr>
          <w:sz w:val="24"/>
        </w:rPr>
        <w:t> </w:t>
      </w:r>
      <w:r>
        <w:rPr>
          <w:sz w:val="24"/>
        </w:rPr>
        <w:t>OR:</w:t>
      </w:r>
      <w:r w:rsidR="000136F5">
        <w:rPr>
          <w:sz w:val="24"/>
        </w:rPr>
        <w:t xml:space="preserve"> </w:t>
      </w:r>
      <w:r w:rsidR="00312CAE">
        <w:rPr>
          <w:sz w:val="24"/>
        </w:rPr>
        <w:t xml:space="preserve"> </w:t>
      </w:r>
      <w:r w:rsidR="00DF24C5">
        <w:rPr>
          <w:sz w:val="24"/>
        </w:rPr>
        <w:t xml:space="preserve">           </w:t>
      </w:r>
      <w:r w:rsidR="000136F5">
        <w:rPr>
          <w:sz w:val="24"/>
        </w:rPr>
        <w:t xml:space="preserve">MěS </w:t>
      </w:r>
      <w:r>
        <w:rPr>
          <w:sz w:val="24"/>
        </w:rPr>
        <w:t>v</w:t>
      </w:r>
      <w:r w:rsidR="000136F5">
        <w:rPr>
          <w:sz w:val="24"/>
        </w:rPr>
        <w:t> Praze,</w:t>
      </w:r>
      <w:r>
        <w:rPr>
          <w:sz w:val="24"/>
        </w:rPr>
        <w:t>oddíl</w:t>
      </w:r>
      <w:r w:rsidR="000136F5">
        <w:rPr>
          <w:sz w:val="24"/>
        </w:rPr>
        <w:t xml:space="preserve"> B</w:t>
      </w:r>
      <w:r>
        <w:rPr>
          <w:sz w:val="24"/>
        </w:rPr>
        <w:t>,</w:t>
      </w:r>
      <w:r w:rsidR="00D74815">
        <w:rPr>
          <w:sz w:val="24"/>
        </w:rPr>
        <w:t xml:space="preserve"> </w:t>
      </w:r>
      <w:r>
        <w:rPr>
          <w:sz w:val="24"/>
        </w:rPr>
        <w:t>vložka</w:t>
      </w:r>
      <w:r w:rsidR="000136F5">
        <w:rPr>
          <w:sz w:val="24"/>
        </w:rPr>
        <w:t>14030</w:t>
      </w:r>
      <w:r>
        <w:rPr>
          <w:sz w:val="24"/>
        </w:rPr>
        <w:t xml:space="preserve"> </w:t>
      </w:r>
    </w:p>
    <w:p w14:paraId="5CC8D23D" w14:textId="77777777" w:rsidR="00402AFA" w:rsidRDefault="00402AFA">
      <w:pPr>
        <w:tabs>
          <w:tab w:val="left" w:pos="1985"/>
        </w:tabs>
        <w:spacing w:line="230" w:lineRule="exact"/>
        <w:jc w:val="both"/>
        <w:rPr>
          <w:sz w:val="24"/>
        </w:rPr>
      </w:pPr>
    </w:p>
    <w:p w14:paraId="1F364860" w14:textId="2D50A374" w:rsidR="00402AFA" w:rsidRDefault="00402AFA">
      <w:pPr>
        <w:tabs>
          <w:tab w:val="left" w:pos="1985"/>
        </w:tabs>
        <w:spacing w:line="230" w:lineRule="exact"/>
        <w:jc w:val="both"/>
        <w:rPr>
          <w:b/>
          <w:bCs/>
          <w:sz w:val="24"/>
        </w:rPr>
      </w:pPr>
      <w:r>
        <w:rPr>
          <w:sz w:val="24"/>
        </w:rPr>
        <w:t>zastoupená:</w:t>
      </w:r>
      <w:r w:rsidR="00312CAE">
        <w:rPr>
          <w:sz w:val="24"/>
        </w:rPr>
        <w:t xml:space="preserve">  </w:t>
      </w:r>
      <w:r w:rsidR="000136F5">
        <w:rPr>
          <w:sz w:val="24"/>
        </w:rPr>
        <w:t xml:space="preserve"> </w:t>
      </w:r>
      <w:r w:rsidR="00DF24C5">
        <w:rPr>
          <w:sz w:val="24"/>
        </w:rPr>
        <w:t xml:space="preserve">          </w:t>
      </w:r>
      <w:r w:rsidR="000136F5" w:rsidRPr="000136F5">
        <w:rPr>
          <w:b/>
          <w:sz w:val="24"/>
        </w:rPr>
        <w:t>Ing. Janou Kotíkovou</w:t>
      </w:r>
      <w:r>
        <w:rPr>
          <w:b/>
          <w:sz w:val="24"/>
        </w:rPr>
        <w:tab/>
      </w:r>
    </w:p>
    <w:p w14:paraId="00835908" w14:textId="0111C848" w:rsidR="00CC4A2A" w:rsidRDefault="00402AFA">
      <w:pPr>
        <w:tabs>
          <w:tab w:val="left" w:pos="1985"/>
        </w:tabs>
        <w:spacing w:line="230" w:lineRule="exact"/>
        <w:jc w:val="both"/>
        <w:rPr>
          <w:sz w:val="24"/>
        </w:rPr>
      </w:pPr>
      <w:r>
        <w:rPr>
          <w:sz w:val="24"/>
        </w:rPr>
        <w:t>funkce:</w:t>
      </w:r>
      <w:r w:rsidR="000136F5">
        <w:rPr>
          <w:sz w:val="24"/>
        </w:rPr>
        <w:t xml:space="preserve">        </w:t>
      </w:r>
      <w:r w:rsidR="00312CAE">
        <w:rPr>
          <w:sz w:val="24"/>
        </w:rPr>
        <w:t xml:space="preserve">  </w:t>
      </w:r>
      <w:r w:rsidR="00DF24C5">
        <w:rPr>
          <w:sz w:val="24"/>
        </w:rPr>
        <w:t xml:space="preserve">          členkou</w:t>
      </w:r>
      <w:r w:rsidR="000136F5">
        <w:rPr>
          <w:sz w:val="24"/>
        </w:rPr>
        <w:t xml:space="preserve"> představenstva</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250FDF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0136F5">
        <w:rPr>
          <w:b/>
          <w:sz w:val="24"/>
        </w:rPr>
        <w:t xml:space="preserve"> FV</w:t>
      </w:r>
      <w:r w:rsidR="00406B05" w:rsidRPr="000136F5">
        <w:rPr>
          <w:b/>
          <w:sz w:val="24"/>
        </w:rPr>
        <w:t>30248</w:t>
      </w:r>
      <w:r w:rsidRPr="000136F5">
        <w:rPr>
          <w:b/>
          <w:sz w:val="24"/>
        </w:rPr>
        <w:t xml:space="preserve"> „</w:t>
      </w:r>
      <w:r w:rsidR="00406B05" w:rsidRPr="000136F5">
        <w:rPr>
          <w:b/>
          <w:sz w:val="24"/>
        </w:rPr>
        <w:t>Vývoj transportního zdravotního buggy-vozíku pro starší  postižené děti</w:t>
      </w:r>
      <w:r w:rsidR="00406B05" w:rsidRPr="000136F5">
        <w:rPr>
          <w:sz w:val="24"/>
        </w:rPr>
        <w:t xml:space="preserve"> </w:t>
      </w:r>
      <w:r w:rsidRPr="000136F5">
        <w:rPr>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41EE9495" w:rsidR="00402AFA" w:rsidRPr="00992FBC" w:rsidRDefault="00402AFA">
      <w:pPr>
        <w:pStyle w:val="Zkladntext"/>
        <w:tabs>
          <w:tab w:val="left" w:pos="1843"/>
        </w:tabs>
        <w:ind w:right="-227"/>
        <w:rPr>
          <w:b/>
          <w:bCs/>
        </w:rPr>
      </w:pPr>
      <w:r w:rsidRPr="00992FBC">
        <w:t>Obchodní jméno:</w:t>
      </w:r>
      <w:r w:rsidRPr="00992FBC">
        <w:rPr>
          <w:b/>
          <w:bCs/>
        </w:rPr>
        <w:tab/>
      </w:r>
      <w:r w:rsidR="00CA4451">
        <w:rPr>
          <w:b/>
          <w:bCs/>
        </w:rPr>
        <w:t>COMTES FHT a.s.</w:t>
      </w:r>
    </w:p>
    <w:p w14:paraId="4FD5095A" w14:textId="2715B8F2" w:rsidR="00402AFA" w:rsidRPr="00992FBC" w:rsidRDefault="00402AFA">
      <w:pPr>
        <w:pStyle w:val="Zkladntext"/>
        <w:tabs>
          <w:tab w:val="left" w:pos="1843"/>
        </w:tabs>
        <w:ind w:right="-227"/>
      </w:pPr>
      <w:r w:rsidRPr="00992FBC">
        <w:t>Sídlo:</w:t>
      </w:r>
      <w:r w:rsidR="00CA4451">
        <w:t xml:space="preserve"> </w:t>
      </w:r>
      <w:r w:rsidR="000A7DF3">
        <w:t xml:space="preserve">                    </w:t>
      </w:r>
      <w:r w:rsidR="00CA4451">
        <w:t>Průmyslová 995, 334 41 Dobřany</w:t>
      </w:r>
      <w:r w:rsidRPr="00992FBC">
        <w:rPr>
          <w:b/>
          <w:bCs/>
        </w:rPr>
        <w:tab/>
      </w:r>
    </w:p>
    <w:p w14:paraId="3AD4AB7F" w14:textId="424B96AA" w:rsidR="00402AFA" w:rsidRPr="00992FBC" w:rsidRDefault="00402AFA">
      <w:pPr>
        <w:pStyle w:val="Zkladntext"/>
        <w:tabs>
          <w:tab w:val="left" w:pos="1843"/>
        </w:tabs>
        <w:ind w:right="-227"/>
        <w:rPr>
          <w:b/>
          <w:bCs/>
        </w:rPr>
      </w:pPr>
      <w:r w:rsidRPr="00992FBC">
        <w:t>Identifikační číslo:</w:t>
      </w:r>
      <w:r w:rsidRPr="00992FBC">
        <w:rPr>
          <w:b/>
          <w:bCs/>
        </w:rPr>
        <w:tab/>
      </w:r>
      <w:r w:rsidR="00CA4451">
        <w:rPr>
          <w:b/>
          <w:bCs/>
        </w:rPr>
        <w:t>26316919</w:t>
      </w:r>
    </w:p>
    <w:p w14:paraId="13697D24" w14:textId="6550FC3E" w:rsidR="006909E1" w:rsidRDefault="001E221B" w:rsidP="00C22E61">
      <w:pPr>
        <w:jc w:val="both"/>
        <w:rPr>
          <w:bCs/>
          <w:sz w:val="24"/>
          <w:szCs w:val="24"/>
        </w:rPr>
      </w:pPr>
      <w:r>
        <w:rPr>
          <w:bCs/>
          <w:sz w:val="24"/>
          <w:szCs w:val="24"/>
        </w:rPr>
        <w:t xml:space="preserve">                                                                                                                                                                                                                                                                                                                                                                                                                                                                                                                                                                                                                                                                                                                                                                                                                                                                                                                                                                                                                                                                                                                                                                                                                                                                                                                                                                                                                                                                                                                                                                                                                                                                                                                                                                                                                                                                                                                                                                                                                                                   </w:t>
      </w:r>
      <w:r w:rsidR="00DF24C5">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E6F6B5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A4451" w:rsidRPr="00CA4451">
        <w:rPr>
          <w:b/>
          <w:sz w:val="24"/>
        </w:rPr>
        <w:t>3</w:t>
      </w:r>
      <w:r w:rsidR="009B4F78" w:rsidRPr="00CA4451">
        <w:rPr>
          <w:sz w:val="24"/>
        </w:rPr>
        <w:t>/</w:t>
      </w:r>
      <w:r w:rsidR="00353155" w:rsidRPr="00CA4451">
        <w:rPr>
          <w:b/>
          <w:bCs/>
          <w:sz w:val="24"/>
        </w:rPr>
        <w:t>201</w:t>
      </w:r>
      <w:r w:rsidR="00B85D1D" w:rsidRPr="00CA4451">
        <w:rPr>
          <w:b/>
          <w:bCs/>
          <w:sz w:val="24"/>
        </w:rPr>
        <w:t>8</w:t>
      </w:r>
      <w:r w:rsidR="00353155" w:rsidRPr="00CA4451">
        <w:rPr>
          <w:b/>
          <w:bCs/>
          <w:sz w:val="24"/>
        </w:rPr>
        <w:t xml:space="preserve"> </w:t>
      </w:r>
      <w:r w:rsidR="00CA4451" w:rsidRPr="00CA4451">
        <w:rPr>
          <w:b/>
          <w:bCs/>
          <w:sz w:val="24"/>
        </w:rPr>
        <w:t>– 3/2020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6EE9B485" w14:textId="77777777" w:rsidR="00DF24C5" w:rsidRDefault="00DF24C5" w:rsidP="00266A7F">
      <w:pPr>
        <w:jc w:val="center"/>
        <w:rPr>
          <w:b/>
          <w:bCs/>
          <w:sz w:val="24"/>
        </w:rPr>
      </w:pPr>
    </w:p>
    <w:p w14:paraId="16BF3A52" w14:textId="77777777" w:rsidR="00DF24C5" w:rsidRDefault="00DF24C5"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169EFD5"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B55A7" w:rsidRPr="001B55A7">
        <w:rPr>
          <w:b/>
          <w:bCs/>
        </w:rPr>
        <w:t>7694922/0800</w:t>
      </w:r>
    </w:p>
    <w:p w14:paraId="15534566" w14:textId="0C72270D" w:rsidR="001B55A7" w:rsidRDefault="001B55A7" w:rsidP="001B55A7">
      <w:pPr>
        <w:pStyle w:val="Zkladntext"/>
        <w:tabs>
          <w:tab w:val="left" w:pos="5387"/>
        </w:tabs>
      </w:pPr>
      <w:r>
        <w:t xml:space="preserve">                                                                     </w:t>
      </w:r>
      <w:r w:rsidR="00DF24C5">
        <w:t xml:space="preserve">              </w:t>
      </w:r>
      <w:r w:rsidR="003D775D">
        <w:t>vedeného u</w:t>
      </w:r>
      <w:r>
        <w:t>: Česká spořitelna a.</w:t>
      </w:r>
      <w:r w:rsidR="00DF24C5">
        <w:t xml:space="preserve"> </w:t>
      </w:r>
      <w:r>
        <w:t xml:space="preserve">s.        </w:t>
      </w:r>
    </w:p>
    <w:p w14:paraId="07A4F321" w14:textId="34005964" w:rsidR="003D775D" w:rsidRDefault="001B55A7" w:rsidP="00266A7F">
      <w:pPr>
        <w:pStyle w:val="Zkladntext"/>
        <w:tabs>
          <w:tab w:val="left" w:pos="5387"/>
        </w:tabs>
      </w:pPr>
      <w:r>
        <w:t xml:space="preserve">                                                                       </w:t>
      </w:r>
      <w:r w:rsidR="00DF24C5">
        <w:t xml:space="preserve">                                 </w:t>
      </w:r>
      <w:r>
        <w:t xml:space="preserve">RKC Praha Západ – </w:t>
      </w:r>
      <w:r w:rsidR="00DF24C5">
        <w:br/>
        <w:t xml:space="preserve">                                                                                                        </w:t>
      </w:r>
      <w:r>
        <w:t>Štefánikova 17/247</w:t>
      </w:r>
      <w:r w:rsidR="00DF24C5">
        <w:t>, 150 31 Praha 5</w:t>
      </w:r>
      <w:r w:rsidR="003D775D">
        <w:tab/>
      </w:r>
    </w:p>
    <w:p w14:paraId="78D6A3F5" w14:textId="3B9458A7" w:rsidR="00D215BA" w:rsidRDefault="004872B8" w:rsidP="00DF24C5">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2E21FD74" w14:textId="77777777" w:rsidR="00402AFA" w:rsidRDefault="00402AFA" w:rsidP="00DF24C5">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0D7C6EEB" w14:textId="77777777" w:rsidR="00DF24C5" w:rsidRDefault="00402AFA" w:rsidP="00DF24C5">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79B7D65B" w:rsidR="00402AFA" w:rsidRPr="00DF24C5" w:rsidRDefault="00561899" w:rsidP="00DF24C5">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B4C4053"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CA4451" w:rsidRPr="00CA4451">
        <w:rPr>
          <w:spacing w:val="4"/>
          <w:sz w:val="24"/>
          <w:szCs w:val="24"/>
        </w:rPr>
        <w:t>„flat rate“</w:t>
      </w:r>
      <w:r w:rsidR="00CA4451">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589963B5" w14:textId="77777777" w:rsidR="00DF24C5" w:rsidRDefault="00BB4166" w:rsidP="00DF24C5">
      <w:pPr>
        <w:pStyle w:val="Zkladntext"/>
        <w:widowControl/>
        <w:tabs>
          <w:tab w:val="left" w:pos="284"/>
        </w:tabs>
        <w:ind w:left="3"/>
        <w:rPr>
          <w:color w:val="FF0000"/>
        </w:rPr>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DB11EA9" w14:textId="0F930B32" w:rsidR="00402AFA" w:rsidRPr="00DF24C5" w:rsidRDefault="00DA7857" w:rsidP="00DF24C5">
      <w:pPr>
        <w:pStyle w:val="Zkladntext"/>
        <w:widowControl/>
        <w:tabs>
          <w:tab w:val="left" w:pos="284"/>
        </w:tabs>
        <w:ind w:left="3"/>
      </w:pPr>
      <w:bookmarkStart w:id="0" w:name="_GoBack"/>
      <w:bookmarkEnd w:id="0"/>
      <w:r>
        <w:lastRenderedPageBreak/>
        <w:t>6</w:t>
      </w:r>
      <w:r w:rsidR="00402AFA" w:rsidRPr="00190554">
        <w:t xml:space="preserve">. </w:t>
      </w:r>
      <w:r w:rsidR="00BC0329">
        <w:t>Příjemce je povinen v</w:t>
      </w:r>
      <w:r w:rsidR="00402AFA" w:rsidRPr="00190554">
        <w:t>ést vlastní samostatný bankovní účet určený výlučně pro financování předmět</w:t>
      </w:r>
      <w:r w:rsidR="002E0FB7" w:rsidRPr="00190554">
        <w:t>ného projektu z</w:t>
      </w:r>
      <w:r w:rsidR="00707F50">
        <w:t> </w:t>
      </w:r>
      <w:r w:rsidR="002E0FB7" w:rsidRPr="00190554">
        <w:t>účelové podpory</w:t>
      </w:r>
      <w:r w:rsidR="00402AFA" w:rsidRPr="00190554">
        <w:t>.</w:t>
      </w:r>
      <w:r w:rsidR="003A134C" w:rsidRPr="00190554">
        <w:t xml:space="preserve"> </w:t>
      </w:r>
      <w:r w:rsidR="00402AFA" w:rsidRPr="00190554">
        <w:t xml:space="preserve">Jakékoliv změny týkající se </w:t>
      </w:r>
      <w:r w:rsidR="00100379" w:rsidRPr="00190554">
        <w:t xml:space="preserve">samostatného </w:t>
      </w:r>
      <w:r w:rsidR="00402AFA" w:rsidRPr="00190554">
        <w:t>bankovního účtu</w:t>
      </w:r>
      <w:r w:rsidR="003A134C" w:rsidRPr="00190554">
        <w:t xml:space="preserve"> uvedeného v</w:t>
      </w:r>
      <w:r w:rsidR="00707F50">
        <w:t> </w:t>
      </w:r>
      <w:r w:rsidR="000928BB" w:rsidRPr="0019527E">
        <w:t>Článku</w:t>
      </w:r>
      <w:r w:rsidR="00835949" w:rsidRPr="0019527E">
        <w:t> </w:t>
      </w:r>
      <w:r w:rsidR="003A134C" w:rsidRPr="0019527E">
        <w:t xml:space="preserve">IV. odst. </w:t>
      </w:r>
      <w:r w:rsidR="004872B8">
        <w:t>3</w:t>
      </w:r>
      <w:r w:rsidR="003A134C" w:rsidRPr="0019527E">
        <w:t>.</w:t>
      </w:r>
      <w:r w:rsidR="003A134C" w:rsidRPr="00190554">
        <w:rPr>
          <w:color w:val="FF0000"/>
        </w:rPr>
        <w:t xml:space="preserve"> </w:t>
      </w:r>
      <w:r w:rsidR="00FB2295">
        <w:t>S</w:t>
      </w:r>
      <w:r w:rsidR="003A134C" w:rsidRPr="00190554">
        <w:t>mlouvy</w:t>
      </w:r>
      <w:r w:rsidR="00402AFA" w:rsidRPr="00190554">
        <w:t xml:space="preserve"> je příjemce povinen neprodleně písemně oznámit poskytovateli. Změna </w:t>
      </w:r>
      <w:r w:rsidR="003A134C" w:rsidRPr="00190554">
        <w:t xml:space="preserve">tohoto </w:t>
      </w:r>
      <w:r w:rsidR="00402AFA" w:rsidRPr="00190554">
        <w:t>bankovního účtu může být provedena pouze na základě předem uzavřeného</w:t>
      </w:r>
      <w:r w:rsidR="00B126D1">
        <w:t xml:space="preserve"> písemného</w:t>
      </w:r>
      <w:r w:rsidR="00402AFA" w:rsidRPr="00190554">
        <w:t xml:space="preserve"> dodatku k</w:t>
      </w:r>
      <w:r w:rsidR="00707F50">
        <w:t> </w:t>
      </w:r>
      <w:r w:rsidR="00FB2295">
        <w:t>S</w:t>
      </w:r>
      <w:r w:rsidR="00402AFA" w:rsidRPr="00190554">
        <w:t>mlouvě. Po obdržení účelové podpory je příjemce</w:t>
      </w:r>
      <w:r w:rsidR="003A134C" w:rsidRPr="00190554">
        <w:t xml:space="preserve"> </w:t>
      </w:r>
      <w:r w:rsidR="00402AFA" w:rsidRPr="00190554">
        <w:t>povinen zaslat neprodleně poskytovateli kopii výpisu z</w:t>
      </w:r>
      <w:r w:rsidR="00707F50">
        <w:t> </w:t>
      </w:r>
      <w:r w:rsidR="00402AFA" w:rsidRPr="00190554">
        <w:t>příslušného bankovního účtu.</w:t>
      </w:r>
      <w:r w:rsidR="00215306" w:rsidRPr="00190554">
        <w:rPr>
          <w:color w:val="00B050"/>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6F95404D"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7B024C">
        <w:t xml:space="preserve"> </w:t>
      </w:r>
      <w:r w:rsidR="007B024C">
        <w:rPr>
          <w:spacing w:val="-8"/>
          <w:sz w:val="24"/>
          <w:szCs w:val="24"/>
        </w:rPr>
        <w:t>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488DC483" w14:textId="77777777" w:rsidR="00DF24C5"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01B8B760" w:rsidR="00CC36BB" w:rsidRPr="00DF24C5"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1479355" w14:textId="77777777" w:rsidR="00DF24C5"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5543ECC5" w14:textId="01EBD676"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4F8F1148" w14:textId="77777777" w:rsidR="00DF24C5" w:rsidRDefault="00DF24C5" w:rsidP="00266A7F">
      <w:pPr>
        <w:jc w:val="center"/>
        <w:rPr>
          <w:b/>
          <w:sz w:val="24"/>
        </w:rPr>
      </w:pPr>
    </w:p>
    <w:p w14:paraId="3E96DBA3" w14:textId="77777777" w:rsidR="00DF24C5" w:rsidRDefault="00DF24C5"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3C74DCF3" w14:textId="77777777" w:rsidR="00DF24C5" w:rsidRDefault="00DF24C5" w:rsidP="00707F50">
      <w:pPr>
        <w:jc w:val="both"/>
        <w:rPr>
          <w:sz w:val="24"/>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10A72C88" w14:textId="77777777" w:rsidR="00DF24C5" w:rsidRDefault="00DF24C5"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lastRenderedPageBreak/>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78641812" w14:textId="77777777" w:rsidR="00DF24C5" w:rsidRDefault="00DF24C5">
      <w:pPr>
        <w:jc w:val="both"/>
        <w:rPr>
          <w:sz w:val="24"/>
        </w:rPr>
      </w:pPr>
    </w:p>
    <w:p w14:paraId="32FC735C" w14:textId="77777777" w:rsidR="00DF24C5" w:rsidRDefault="00DF24C5">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8C9BF7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CA4451">
        <w:rPr>
          <w:b/>
          <w:bCs/>
          <w:sz w:val="24"/>
        </w:rPr>
        <w:t xml:space="preserve">                               </w:t>
      </w:r>
      <w:r w:rsidR="00DF24C5">
        <w:rPr>
          <w:b/>
          <w:bCs/>
          <w:sz w:val="24"/>
        </w:rPr>
        <w:t xml:space="preserve">                               </w:t>
      </w:r>
      <w:r w:rsidR="00CA4451">
        <w:rPr>
          <w:b/>
          <w:bCs/>
          <w:sz w:val="24"/>
        </w:rPr>
        <w:t xml:space="preserve"> Ing. Jana Kotíková</w:t>
      </w:r>
    </w:p>
    <w:p w14:paraId="6CEC3B33" w14:textId="31E2C997" w:rsidR="00402AFA" w:rsidRPr="006A60D0" w:rsidRDefault="00CC4A2A" w:rsidP="00CA445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DF24C5">
        <w:rPr>
          <w:b/>
        </w:rPr>
        <w:t xml:space="preserve">                   </w:t>
      </w:r>
      <w:r w:rsidR="00CA4451">
        <w:rPr>
          <w:bCs/>
        </w:rPr>
        <w:t>člen</w:t>
      </w:r>
      <w:r w:rsidR="00DF24C5">
        <w:rPr>
          <w:bCs/>
        </w:rPr>
        <w:t>ka</w:t>
      </w:r>
      <w:r w:rsidR="00CA4451">
        <w:rPr>
          <w:bCs/>
        </w:rPr>
        <w:t xml:space="preserve"> představenstva</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F22CE" w14:textId="77777777" w:rsidR="005B77D3" w:rsidRDefault="005B77D3">
      <w:r>
        <w:separator/>
      </w:r>
    </w:p>
  </w:endnote>
  <w:endnote w:type="continuationSeparator" w:id="0">
    <w:p w14:paraId="6975CE35" w14:textId="77777777" w:rsidR="005B77D3" w:rsidRDefault="005B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DF24C5">
      <w:rPr>
        <w:noProof/>
      </w:rPr>
      <w:t>7</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78E07" w14:textId="77777777" w:rsidR="005B77D3" w:rsidRDefault="005B77D3">
      <w:r>
        <w:separator/>
      </w:r>
    </w:p>
  </w:footnote>
  <w:footnote w:type="continuationSeparator" w:id="0">
    <w:p w14:paraId="21DE9BC3" w14:textId="77777777" w:rsidR="005B77D3" w:rsidRDefault="005B7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2FC4AC90" w:rsidR="0019527E" w:rsidRPr="008D4108" w:rsidRDefault="0019527E" w:rsidP="008D4108">
    <w:pPr>
      <w:pStyle w:val="Zhlav"/>
      <w:jc w:val="right"/>
      <w:rPr>
        <w:sz w:val="16"/>
        <w:szCs w:val="16"/>
      </w:rPr>
    </w:pPr>
    <w:r>
      <w:rPr>
        <w:sz w:val="16"/>
        <w:szCs w:val="16"/>
      </w:rPr>
      <w:t>FV</w:t>
    </w:r>
    <w:r w:rsidR="00DF24C5">
      <w:rPr>
        <w:sz w:val="16"/>
        <w:szCs w:val="16"/>
      </w:rPr>
      <w:t>30248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136F5"/>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A7DF3"/>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B55A7"/>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12CAE"/>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0A6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06B05"/>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B77D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23A08"/>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B024C"/>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A4451"/>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24C5"/>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1C4B-98F3-45C2-B2CD-9E57EB16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5DF19B53</Template>
  <TotalTime>29</TotalTime>
  <Pages>11</Pages>
  <Words>4788</Words>
  <Characters>31080</Characters>
  <Application>Microsoft Office Word</Application>
  <DocSecurity>0</DocSecurity>
  <Lines>259</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9</cp:revision>
  <cp:lastPrinted>2018-02-12T13:26:00Z</cp:lastPrinted>
  <dcterms:created xsi:type="dcterms:W3CDTF">2018-02-27T07:28:00Z</dcterms:created>
  <dcterms:modified xsi:type="dcterms:W3CDTF">2018-03-12T16:38:00Z</dcterms:modified>
</cp:coreProperties>
</file>