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I. Smluvní strany</w:t>
      </w:r>
    </w:p>
    <w:p w:rsidR="00252420" w:rsidRPr="00C67421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A4583" w:rsidRDefault="002A4583" w:rsidP="002A4583">
      <w:pPr>
        <w:numPr>
          <w:ilvl w:val="1"/>
          <w:numId w:val="16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</w:rPr>
        <w:t>S T A S v.o.s.</w:t>
      </w:r>
    </w:p>
    <w:p w:rsidR="002A4583" w:rsidRDefault="002A4583" w:rsidP="002A45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A4583" w:rsidRDefault="002A4583" w:rsidP="002A4583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Zastoupený: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2A4583" w:rsidRDefault="002A4583" w:rsidP="002A4583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>ve věcech smluvních: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Ing. Boris Pavlásek</w:t>
      </w:r>
    </w:p>
    <w:p w:rsidR="002A4583" w:rsidRDefault="002A4583" w:rsidP="002A458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15502520</w:t>
      </w:r>
    </w:p>
    <w:p w:rsidR="002A4583" w:rsidRDefault="002A4583" w:rsidP="002A4583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358-15502520</w:t>
      </w:r>
    </w:p>
    <w:p w:rsidR="002A4583" w:rsidRDefault="002A4583" w:rsidP="002A4583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A4583" w:rsidRDefault="002A4583" w:rsidP="002A4583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A4583" w:rsidRDefault="002A4583" w:rsidP="002A4583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A4583" w:rsidRDefault="002A4583" w:rsidP="002A4583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Společnost je registrována:</w:t>
      </w:r>
      <w:r>
        <w:rPr>
          <w:rFonts w:asciiTheme="minorHAnsi" w:hAnsiTheme="minorHAnsi"/>
          <w:sz w:val="22"/>
          <w:szCs w:val="22"/>
        </w:rPr>
        <w:tab/>
        <w:t xml:space="preserve">Krajský soud v Ostravě pod </w:t>
      </w:r>
      <w:proofErr w:type="spellStart"/>
      <w:r>
        <w:rPr>
          <w:rFonts w:asciiTheme="minorHAnsi" w:hAnsiTheme="minorHAnsi"/>
          <w:sz w:val="22"/>
          <w:szCs w:val="22"/>
        </w:rPr>
        <w:t>sp</w:t>
      </w:r>
      <w:proofErr w:type="spellEnd"/>
      <w:r>
        <w:rPr>
          <w:rFonts w:asciiTheme="minorHAnsi" w:hAnsiTheme="minorHAnsi"/>
          <w:sz w:val="22"/>
          <w:szCs w:val="22"/>
        </w:rPr>
        <w:t>. zn. AXVIII 147</w:t>
      </w:r>
      <w:r>
        <w:rPr>
          <w:rFonts w:asciiTheme="minorHAnsi" w:hAnsiTheme="minorHAnsi"/>
          <w:sz w:val="22"/>
          <w:szCs w:val="22"/>
        </w:rPr>
        <w:tab/>
      </w:r>
    </w:p>
    <w:p w:rsidR="002A4583" w:rsidRDefault="002A4583" w:rsidP="002A4583">
      <w:pPr>
        <w:jc w:val="both"/>
        <w:rPr>
          <w:rFonts w:asciiTheme="minorHAnsi" w:hAnsiTheme="minorHAnsi"/>
          <w:sz w:val="22"/>
          <w:szCs w:val="22"/>
        </w:rPr>
      </w:pPr>
    </w:p>
    <w:p w:rsidR="002A4583" w:rsidRDefault="002A4583" w:rsidP="002A4583">
      <w:pPr>
        <w:jc w:val="both"/>
        <w:rPr>
          <w:rFonts w:asciiTheme="minorHAnsi" w:hAnsiTheme="minorHAnsi"/>
          <w:sz w:val="22"/>
          <w:szCs w:val="22"/>
        </w:rPr>
      </w:pPr>
    </w:p>
    <w:p w:rsidR="002A4583" w:rsidRDefault="002A4583" w:rsidP="002A4583">
      <w:pPr>
        <w:pStyle w:val="Odstavecseseznamem"/>
        <w:numPr>
          <w:ilvl w:val="1"/>
          <w:numId w:val="16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 Rýmařov</w:t>
      </w:r>
    </w:p>
    <w:p w:rsidR="002A4583" w:rsidRDefault="002A4583" w:rsidP="002A4583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A4583" w:rsidRDefault="002A4583" w:rsidP="002A458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Zastoupený:</w:t>
      </w:r>
    </w:p>
    <w:p w:rsidR="002A4583" w:rsidRDefault="002A4583" w:rsidP="002A458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 věcech smluvních: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Ing. Lenka Vavřičková, ředitelka</w:t>
      </w:r>
    </w:p>
    <w:p w:rsidR="002A4583" w:rsidRDefault="002A4583" w:rsidP="002A458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 věcech technických: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A4583" w:rsidRDefault="002A4583" w:rsidP="002A458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2A4583" w:rsidRDefault="002A4583" w:rsidP="002A458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A4583" w:rsidRDefault="002A4583" w:rsidP="002A4583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A4583" w:rsidRDefault="002A4583" w:rsidP="002A4583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Tel.: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554 703</w:t>
      </w:r>
      <w:r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431</w:t>
      </w:r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Zhotovitel se zavazuje, že v souladu s dalšími ujednáními této smlouvy provede na svůj náklad a nebezpečí pro objednatele </w:t>
      </w:r>
      <w:r w:rsidR="00664DF5">
        <w:rPr>
          <w:rFonts w:asciiTheme="minorHAnsi" w:hAnsiTheme="minorHAnsi" w:cs="Arial"/>
          <w:b/>
          <w:bCs/>
          <w:sz w:val="22"/>
          <w:szCs w:val="22"/>
        </w:rPr>
        <w:t>Vybudování schodiště objektu Pivovarská 1, Rýmařov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</w:t>
      </w:r>
      <w:proofErr w:type="gramStart"/>
      <w:r w:rsidR="00DB412D" w:rsidRPr="008C62A8">
        <w:rPr>
          <w:rFonts w:asciiTheme="minorHAnsi" w:hAnsiTheme="minorHAnsi"/>
          <w:sz w:val="22"/>
          <w:szCs w:val="22"/>
        </w:rPr>
        <w:t>č.1 a v následujícím</w:t>
      </w:r>
      <w:proofErr w:type="gramEnd"/>
      <w:r w:rsidR="00DB412D" w:rsidRPr="008C62A8">
        <w:rPr>
          <w:rFonts w:asciiTheme="minorHAnsi" w:hAnsiTheme="minorHAnsi"/>
          <w:sz w:val="22"/>
          <w:szCs w:val="22"/>
        </w:rPr>
        <w:t xml:space="preserve">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num" w:pos="1418"/>
          <w:tab w:val="left" w:pos="1980"/>
          <w:tab w:val="left" w:pos="3960"/>
        </w:tabs>
        <w:spacing w:after="0"/>
        <w:ind w:left="1134" w:right="-14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udržování stavbou dotčených zpevněných ploch, veřejných komunikací a výjezdů ze staveniště v čistotě a jejich uvedení do původního stavu</w:t>
      </w:r>
      <w:r w:rsidR="00C47353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C47353">
        <w:rPr>
          <w:rFonts w:asciiTheme="minorHAnsi" w:hAnsiTheme="minorHAnsi"/>
          <w:sz w:val="22"/>
          <w:szCs w:val="22"/>
        </w:rPr>
        <w:t>pokud tato povinnost vyplývá z charakteru díla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EC50A9">
      <w:pPr>
        <w:tabs>
          <w:tab w:val="left" w:pos="5670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EC50A9">
        <w:rPr>
          <w:rFonts w:asciiTheme="minorHAnsi" w:hAnsiTheme="minorHAnsi"/>
          <w:sz w:val="22"/>
          <w:szCs w:val="22"/>
        </w:rPr>
        <w:tab/>
      </w:r>
      <w:proofErr w:type="gramStart"/>
      <w:r w:rsidR="00EC50A9">
        <w:rPr>
          <w:rFonts w:asciiTheme="minorHAnsi" w:hAnsiTheme="minorHAnsi"/>
          <w:b/>
          <w:sz w:val="22"/>
          <w:szCs w:val="22"/>
        </w:rPr>
        <w:t>20.07.2016</w:t>
      </w:r>
      <w:proofErr w:type="gramEnd"/>
    </w:p>
    <w:p w:rsidR="00224DD6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 xml:space="preserve">ředpokládaný termín dokončení stavby nejpozději </w:t>
      </w:r>
      <w:proofErr w:type="gramStart"/>
      <w:r w:rsidR="00704D87" w:rsidRPr="008C62A8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8C62A8">
        <w:rPr>
          <w:rFonts w:asciiTheme="minorHAnsi" w:hAnsiTheme="minorHAnsi"/>
          <w:sz w:val="22"/>
          <w:szCs w:val="22"/>
        </w:rPr>
        <w:t>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0B6984" w:rsidRPr="00515F63">
        <w:rPr>
          <w:rFonts w:asciiTheme="minorHAnsi" w:hAnsiTheme="minorHAnsi"/>
          <w:b/>
          <w:sz w:val="22"/>
          <w:szCs w:val="22"/>
        </w:rPr>
        <w:t>6</w:t>
      </w:r>
      <w:r w:rsidR="00704D87" w:rsidRPr="00515F63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 xml:space="preserve">s odkazem na položkový rozpočet v Příloze </w:t>
      </w:r>
      <w:proofErr w:type="gramStart"/>
      <w:r w:rsidR="00FF5192" w:rsidRPr="00C47353">
        <w:rPr>
          <w:rFonts w:asciiTheme="minorHAnsi" w:hAnsiTheme="minorHAnsi"/>
          <w:sz w:val="22"/>
          <w:szCs w:val="22"/>
        </w:rPr>
        <w:t>č.1, takto</w:t>
      </w:r>
      <w:proofErr w:type="gramEnd"/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</w:t>
      </w: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 </w:t>
      </w:r>
      <w:r w:rsidR="00EC50A9">
        <w:rPr>
          <w:rFonts w:asciiTheme="minorHAnsi" w:hAnsiTheme="minorHAnsi"/>
          <w:b/>
          <w:sz w:val="22"/>
          <w:szCs w:val="22"/>
        </w:rPr>
        <w:t>109.193,00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98463A">
        <w:rPr>
          <w:rFonts w:asciiTheme="minorHAnsi" w:hAnsiTheme="minorHAnsi"/>
          <w:sz w:val="22"/>
          <w:szCs w:val="22"/>
        </w:rPr>
        <w:t>15</w:t>
      </w:r>
      <w:r w:rsidR="00AC6086" w:rsidRPr="008C62A8">
        <w:rPr>
          <w:rFonts w:asciiTheme="minorHAnsi" w:hAnsiTheme="minorHAnsi"/>
          <w:sz w:val="22"/>
          <w:szCs w:val="22"/>
        </w:rPr>
        <w:t>%</w:t>
      </w:r>
      <w:r w:rsidR="00AC6086" w:rsidRPr="008C62A8">
        <w:rPr>
          <w:rFonts w:asciiTheme="minorHAnsi" w:hAnsiTheme="minorHAnsi"/>
          <w:sz w:val="22"/>
          <w:szCs w:val="22"/>
        </w:rPr>
        <w:tab/>
      </w:r>
      <w:r w:rsidR="00AC6086" w:rsidRPr="008C62A8">
        <w:rPr>
          <w:rFonts w:asciiTheme="minorHAnsi" w:hAnsiTheme="minorHAnsi"/>
          <w:sz w:val="22"/>
          <w:szCs w:val="22"/>
        </w:rPr>
        <w:tab/>
      </w:r>
      <w:r w:rsidR="00EC50A9">
        <w:rPr>
          <w:rFonts w:asciiTheme="minorHAnsi" w:hAnsiTheme="minorHAnsi"/>
          <w:sz w:val="22"/>
          <w:szCs w:val="22"/>
        </w:rPr>
        <w:t>16.379,00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</w:t>
      </w:r>
      <w:r w:rsidR="00EC50A9">
        <w:rPr>
          <w:rFonts w:asciiTheme="minorHAnsi" w:hAnsiTheme="minorHAnsi"/>
          <w:b/>
          <w:sz w:val="22"/>
          <w:szCs w:val="22"/>
        </w:rPr>
        <w:t>125.572,00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méněpráce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</w:t>
      </w:r>
      <w:r w:rsidR="00233CE8" w:rsidRPr="008C62A8">
        <w:rPr>
          <w:rFonts w:asciiTheme="minorHAnsi" w:hAnsiTheme="minorHAnsi"/>
          <w:sz w:val="22"/>
          <w:szCs w:val="22"/>
        </w:rPr>
        <w:lastRenderedPageBreak/>
        <w:t xml:space="preserve">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 xml:space="preserve">ku za dílo v rozsahu </w:t>
      </w:r>
      <w:proofErr w:type="gramStart"/>
      <w:r w:rsidR="008E5391" w:rsidRPr="008C62A8">
        <w:rPr>
          <w:rFonts w:asciiTheme="minorHAnsi" w:hAnsiTheme="minorHAnsi"/>
          <w:sz w:val="22"/>
          <w:szCs w:val="22"/>
        </w:rPr>
        <w:t>čl.VI</w:t>
      </w:r>
      <w:proofErr w:type="gramEnd"/>
      <w:r w:rsidR="008E5391" w:rsidRPr="008C62A8">
        <w:rPr>
          <w:rFonts w:asciiTheme="minorHAnsi" w:hAnsiTheme="minorHAnsi"/>
          <w:sz w:val="22"/>
          <w:szCs w:val="22"/>
        </w:rPr>
        <w:t xml:space="preserve">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</w:t>
      </w:r>
      <w:bookmarkStart w:id="0" w:name="_GoBack"/>
      <w:bookmarkEnd w:id="0"/>
      <w:r w:rsidR="00963B19" w:rsidRPr="008C62A8">
        <w:rPr>
          <w:rFonts w:asciiTheme="minorHAnsi" w:hAnsiTheme="minorHAnsi"/>
          <w:sz w:val="22"/>
          <w:szCs w:val="22"/>
        </w:rPr>
        <w:t>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 xml:space="preserve">prodlení zhotovitele s odstraněním reklamované vady dle čl. VI, </w:t>
      </w:r>
      <w:proofErr w:type="gramStart"/>
      <w:r w:rsidRPr="008C62A8">
        <w:rPr>
          <w:rFonts w:asciiTheme="minorHAnsi" w:hAnsiTheme="minorHAnsi"/>
          <w:sz w:val="22"/>
          <w:szCs w:val="22"/>
        </w:rPr>
        <w:t>odst.5 této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EC50A9">
        <w:rPr>
          <w:rFonts w:asciiTheme="minorHAnsi" w:hAnsiTheme="minorHAnsi"/>
          <w:sz w:val="22"/>
          <w:szCs w:val="22"/>
        </w:rPr>
        <w:t>Rýmařově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C50A9">
        <w:rPr>
          <w:rFonts w:asciiTheme="minorHAnsi" w:hAnsiTheme="minorHAnsi"/>
          <w:sz w:val="22"/>
          <w:szCs w:val="22"/>
        </w:rPr>
        <w:t>15.07.2016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</w:t>
      </w:r>
      <w:r w:rsidR="00E32D6D" w:rsidRPr="008C62A8">
        <w:rPr>
          <w:rFonts w:asciiTheme="minorHAnsi" w:hAnsiTheme="minorHAnsi"/>
          <w:sz w:val="22"/>
          <w:szCs w:val="22"/>
        </w:rPr>
        <w:t> 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15.07.2016</w:t>
      </w:r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9E0751" w:rsidRDefault="009E0751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EC50A9">
        <w:rPr>
          <w:rFonts w:asciiTheme="minorHAnsi" w:hAnsiTheme="minorHAnsi"/>
          <w:b/>
          <w:sz w:val="22"/>
          <w:szCs w:val="22"/>
        </w:rPr>
        <w:t>Ing. Boris Pavlásek</w:t>
      </w:r>
      <w:r w:rsidR="00EC50A9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9E0751" w:rsidRDefault="009E0751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9E0751">
      <w:footerReference w:type="default" r:id="rId8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61" w:rsidRDefault="00A75361" w:rsidP="00CD5ACD">
      <w:r>
        <w:separator/>
      </w:r>
    </w:p>
  </w:endnote>
  <w:endnote w:type="continuationSeparator" w:id="0">
    <w:p w:rsidR="00A75361" w:rsidRDefault="00A75361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2A45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61" w:rsidRDefault="00A75361" w:rsidP="00CD5ACD">
      <w:r>
        <w:separator/>
      </w:r>
    </w:p>
  </w:footnote>
  <w:footnote w:type="continuationSeparator" w:id="0">
    <w:p w:rsidR="00A75361" w:rsidRDefault="00A75361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6E8C"/>
    <w:rsid w:val="000A7E13"/>
    <w:rsid w:val="000B2E84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200995"/>
    <w:rsid w:val="00224DD6"/>
    <w:rsid w:val="00233CE8"/>
    <w:rsid w:val="00252420"/>
    <w:rsid w:val="00297B74"/>
    <w:rsid w:val="002A4583"/>
    <w:rsid w:val="002A470F"/>
    <w:rsid w:val="002C307E"/>
    <w:rsid w:val="003214DA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06B5B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7215"/>
    <w:rsid w:val="00640A2A"/>
    <w:rsid w:val="006427A1"/>
    <w:rsid w:val="00655E3B"/>
    <w:rsid w:val="00664DF5"/>
    <w:rsid w:val="006654CB"/>
    <w:rsid w:val="00666ACD"/>
    <w:rsid w:val="006854F4"/>
    <w:rsid w:val="00692A02"/>
    <w:rsid w:val="006A7F93"/>
    <w:rsid w:val="006B1CF0"/>
    <w:rsid w:val="006B1FA0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47CC"/>
    <w:rsid w:val="0092676E"/>
    <w:rsid w:val="00935847"/>
    <w:rsid w:val="009519CB"/>
    <w:rsid w:val="00963B19"/>
    <w:rsid w:val="00982AB3"/>
    <w:rsid w:val="0098463A"/>
    <w:rsid w:val="009904D3"/>
    <w:rsid w:val="00993A18"/>
    <w:rsid w:val="00995108"/>
    <w:rsid w:val="009C410D"/>
    <w:rsid w:val="009D4099"/>
    <w:rsid w:val="009E0751"/>
    <w:rsid w:val="009E54CC"/>
    <w:rsid w:val="009E564C"/>
    <w:rsid w:val="009E5B07"/>
    <w:rsid w:val="00A03F17"/>
    <w:rsid w:val="00A10DCC"/>
    <w:rsid w:val="00A1324F"/>
    <w:rsid w:val="00A413C6"/>
    <w:rsid w:val="00A57755"/>
    <w:rsid w:val="00A62BD6"/>
    <w:rsid w:val="00A633A8"/>
    <w:rsid w:val="00A74749"/>
    <w:rsid w:val="00A75361"/>
    <w:rsid w:val="00A90058"/>
    <w:rsid w:val="00A90F75"/>
    <w:rsid w:val="00A922C3"/>
    <w:rsid w:val="00AA78F9"/>
    <w:rsid w:val="00AC6086"/>
    <w:rsid w:val="00AD612F"/>
    <w:rsid w:val="00AF07A9"/>
    <w:rsid w:val="00B02BF2"/>
    <w:rsid w:val="00B56EB3"/>
    <w:rsid w:val="00B65AD8"/>
    <w:rsid w:val="00B70717"/>
    <w:rsid w:val="00B83B65"/>
    <w:rsid w:val="00B97E95"/>
    <w:rsid w:val="00BA3391"/>
    <w:rsid w:val="00BB3F99"/>
    <w:rsid w:val="00BD42D8"/>
    <w:rsid w:val="00BE2285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67421"/>
    <w:rsid w:val="00CA23E4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50A9"/>
    <w:rsid w:val="00EC6751"/>
    <w:rsid w:val="00EE42F6"/>
    <w:rsid w:val="00EE617B"/>
    <w:rsid w:val="00F10B63"/>
    <w:rsid w:val="00F11AAE"/>
    <w:rsid w:val="00F1658C"/>
    <w:rsid w:val="00F2207F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  <w:style w:type="character" w:customStyle="1" w:styleId="Nadpis4Char">
    <w:name w:val="Nadpis 4 Char"/>
    <w:basedOn w:val="Standardnpsmoodstavce"/>
    <w:link w:val="Nadpis4"/>
    <w:rsid w:val="002A458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  <w:style w:type="character" w:customStyle="1" w:styleId="Nadpis4Char">
    <w:name w:val="Nadpis 4 Char"/>
    <w:basedOn w:val="Standardnpsmoodstavce"/>
    <w:link w:val="Nadpis4"/>
    <w:rsid w:val="002A45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1699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2015-01-06T11:13:00Z</cp:lastPrinted>
  <dcterms:created xsi:type="dcterms:W3CDTF">2016-11-01T12:10:00Z</dcterms:created>
  <dcterms:modified xsi:type="dcterms:W3CDTF">2016-11-01T12:11:00Z</dcterms:modified>
</cp:coreProperties>
</file>