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C4" w:rsidRPr="00383B83" w:rsidRDefault="00EB2C63" w:rsidP="00F81417">
      <w:pPr>
        <w:pStyle w:val="HHTitle2"/>
        <w:rPr>
          <w:rFonts w:ascii="Arial Narrow" w:hAnsi="Arial Narrow"/>
          <w:sz w:val="32"/>
        </w:rPr>
      </w:pPr>
      <w:r w:rsidRPr="00383B83">
        <w:rPr>
          <w:rFonts w:ascii="Arial Narrow" w:hAnsi="Arial Narrow"/>
          <w:sz w:val="32"/>
        </w:rPr>
        <w:t>SMLOUVA O POSKYTNUTÍ GRANTU</w:t>
      </w:r>
    </w:p>
    <w:p w:rsidR="00975CC4" w:rsidRPr="00383B83" w:rsidRDefault="003C02BC" w:rsidP="00975CC4">
      <w:pPr>
        <w:jc w:val="center"/>
        <w:rPr>
          <w:rFonts w:ascii="Arial Narrow" w:hAnsi="Arial Narrow" w:cs="Arial"/>
        </w:rPr>
      </w:pPr>
      <w:r w:rsidRPr="00383B83">
        <w:rPr>
          <w:rFonts w:ascii="Arial Narrow" w:hAnsi="Arial Narrow" w:cs="Arial"/>
        </w:rPr>
        <w:t xml:space="preserve"> </w:t>
      </w:r>
      <w:r w:rsidR="00975CC4" w:rsidRPr="00383B83">
        <w:rPr>
          <w:rFonts w:ascii="Arial Narrow" w:hAnsi="Arial Narrow" w:cs="Arial"/>
        </w:rPr>
        <w:t>(„</w:t>
      </w:r>
      <w:r w:rsidR="00975CC4" w:rsidRPr="00383B83">
        <w:rPr>
          <w:rFonts w:ascii="Arial Narrow" w:hAnsi="Arial Narrow" w:cs="Arial"/>
          <w:b/>
        </w:rPr>
        <w:t>Smlouva</w:t>
      </w:r>
      <w:r w:rsidR="00975CC4" w:rsidRPr="00383B83">
        <w:rPr>
          <w:rFonts w:ascii="Arial Narrow" w:hAnsi="Arial Narrow" w:cs="Arial"/>
        </w:rPr>
        <w:t>“)</w:t>
      </w:r>
    </w:p>
    <w:p w:rsidR="006913F0" w:rsidRPr="002670CF" w:rsidRDefault="006913F0" w:rsidP="006913F0">
      <w:pPr>
        <w:pStyle w:val="Smluvnistranypreambule"/>
        <w:rPr>
          <w:rFonts w:ascii="Arial Narrow" w:hAnsi="Arial Narrow" w:cs="Arial"/>
        </w:rPr>
      </w:pPr>
      <w:r w:rsidRPr="002670CF">
        <w:rPr>
          <w:rFonts w:ascii="Arial Narrow" w:hAnsi="Arial Narrow" w:cs="Arial"/>
        </w:rPr>
        <w:t>Smluvní strany</w:t>
      </w:r>
    </w:p>
    <w:p w:rsidR="000C15A9" w:rsidRPr="002670CF" w:rsidRDefault="002670CF" w:rsidP="002670CF">
      <w:pPr>
        <w:widowControl w:val="0"/>
        <w:numPr>
          <w:ilvl w:val="0"/>
          <w:numId w:val="26"/>
        </w:numPr>
        <w:rPr>
          <w:rFonts w:ascii="Arial Narrow" w:hAnsi="Arial Narrow" w:cs="Arial"/>
        </w:rPr>
      </w:pPr>
      <w:r w:rsidRPr="002670CF">
        <w:rPr>
          <w:rFonts w:ascii="Arial Narrow" w:hAnsi="Arial Narrow" w:cs="Arial"/>
          <w:b/>
        </w:rPr>
        <w:t>GlaxoSmithKline Consumer Healthcare Czech Republic s.r.o.</w:t>
      </w:r>
      <w:r w:rsidR="009C76F5" w:rsidRPr="002670CF">
        <w:rPr>
          <w:rFonts w:ascii="Arial Narrow" w:hAnsi="Arial Narrow" w:cs="Arial"/>
          <w:b/>
        </w:rPr>
        <w:t xml:space="preserve"> </w:t>
      </w:r>
    </w:p>
    <w:p w:rsidR="009C76F5" w:rsidRPr="002670CF" w:rsidRDefault="009C76F5" w:rsidP="009C76F5">
      <w:pPr>
        <w:pStyle w:val="Text11"/>
        <w:spacing w:before="0" w:after="0"/>
        <w:rPr>
          <w:rFonts w:cs="Arial"/>
        </w:rPr>
      </w:pPr>
      <w:r w:rsidRPr="002670CF">
        <w:rPr>
          <w:rFonts w:cs="Arial"/>
        </w:rPr>
        <w:t xml:space="preserve">sídlo: </w:t>
      </w:r>
      <w:r w:rsidR="002670CF" w:rsidRPr="002670CF">
        <w:rPr>
          <w:rFonts w:cs="Arial"/>
        </w:rPr>
        <w:t>Hvězdova 1734/2c, Nusle, 140 00 Praha 4</w:t>
      </w:r>
      <w:r w:rsidRPr="002670CF">
        <w:rPr>
          <w:rFonts w:cs="Arial"/>
        </w:rPr>
        <w:t>, Česká republika</w:t>
      </w:r>
    </w:p>
    <w:p w:rsidR="009C76F5" w:rsidRPr="002670CF" w:rsidRDefault="009C76F5" w:rsidP="009C76F5">
      <w:pPr>
        <w:pStyle w:val="Text11"/>
        <w:spacing w:before="0" w:after="0"/>
        <w:rPr>
          <w:rFonts w:cs="Arial"/>
        </w:rPr>
      </w:pPr>
      <w:r w:rsidRPr="002670CF">
        <w:rPr>
          <w:rFonts w:cs="Arial"/>
        </w:rPr>
        <w:t>IČO: 03655067</w:t>
      </w:r>
    </w:p>
    <w:p w:rsidR="009C76F5" w:rsidRPr="002670CF" w:rsidRDefault="009C76F5" w:rsidP="009C76F5">
      <w:pPr>
        <w:pStyle w:val="Text11"/>
        <w:spacing w:before="0" w:after="0"/>
        <w:rPr>
          <w:rFonts w:cs="Arial"/>
        </w:rPr>
      </w:pPr>
      <w:r w:rsidRPr="002670CF">
        <w:rPr>
          <w:rFonts w:cs="Arial"/>
        </w:rPr>
        <w:t xml:space="preserve">DIČ: </w:t>
      </w:r>
      <w:r w:rsidR="00D65193" w:rsidRPr="002670CF">
        <w:rPr>
          <w:rFonts w:cs="Arial"/>
        </w:rPr>
        <w:t>CZ03655067</w:t>
      </w:r>
    </w:p>
    <w:p w:rsidR="009C76F5" w:rsidRPr="002670CF" w:rsidRDefault="009C76F5" w:rsidP="009C76F5">
      <w:pPr>
        <w:pStyle w:val="Text11"/>
        <w:spacing w:before="0" w:after="0"/>
        <w:rPr>
          <w:rFonts w:cs="Arial"/>
        </w:rPr>
      </w:pPr>
      <w:r w:rsidRPr="002670CF">
        <w:rPr>
          <w:rFonts w:cs="Arial"/>
        </w:rPr>
        <w:t xml:space="preserve">zapsaná v obchodním rejstříku vedeném Městským soudem v Praze, oddíl </w:t>
      </w:r>
      <w:r w:rsidR="002670CF" w:rsidRPr="002670CF">
        <w:rPr>
          <w:rFonts w:cs="Arial"/>
        </w:rPr>
        <w:t>C</w:t>
      </w:r>
      <w:r w:rsidRPr="002670CF">
        <w:rPr>
          <w:rFonts w:cs="Arial"/>
        </w:rPr>
        <w:t xml:space="preserve">, vložka </w:t>
      </w:r>
      <w:r w:rsidR="002670CF" w:rsidRPr="002670CF">
        <w:rPr>
          <w:rFonts w:cs="Arial"/>
        </w:rPr>
        <w:t>235686</w:t>
      </w:r>
    </w:p>
    <w:p w:rsidR="00D65193" w:rsidRPr="00383B83" w:rsidRDefault="00D65193" w:rsidP="00D65193">
      <w:pPr>
        <w:pStyle w:val="Text11"/>
        <w:rPr>
          <w:rFonts w:cs="Arial"/>
        </w:rPr>
      </w:pPr>
      <w:r w:rsidRPr="002670CF">
        <w:rPr>
          <w:rFonts w:cs="Arial"/>
        </w:rPr>
        <w:t>(„</w:t>
      </w:r>
      <w:r w:rsidRPr="002670CF">
        <w:rPr>
          <w:rFonts w:cs="Arial"/>
          <w:b/>
        </w:rPr>
        <w:t>Poskytovatel</w:t>
      </w:r>
      <w:r w:rsidRPr="002670CF">
        <w:rPr>
          <w:rFonts w:cs="Arial"/>
        </w:rPr>
        <w:t>“)</w:t>
      </w:r>
    </w:p>
    <w:p w:rsidR="006913F0" w:rsidRPr="00383B83" w:rsidRDefault="006913F0" w:rsidP="002C2157">
      <w:pPr>
        <w:pStyle w:val="Smluvstranya"/>
        <w:rPr>
          <w:rFonts w:cs="Arial"/>
        </w:rPr>
      </w:pPr>
      <w:r w:rsidRPr="00383B83">
        <w:rPr>
          <w:rFonts w:cs="Arial"/>
        </w:rPr>
        <w:t>a</w:t>
      </w:r>
    </w:p>
    <w:p w:rsidR="000C15A9" w:rsidRPr="00383B83" w:rsidRDefault="00567524" w:rsidP="00567524">
      <w:pPr>
        <w:widowControl w:val="0"/>
        <w:numPr>
          <w:ilvl w:val="0"/>
          <w:numId w:val="26"/>
        </w:numPr>
        <w:rPr>
          <w:rFonts w:ascii="Arial Narrow" w:hAnsi="Arial Narrow" w:cs="Arial"/>
          <w:b/>
        </w:rPr>
      </w:pPr>
      <w:r w:rsidRPr="00383B83">
        <w:rPr>
          <w:rFonts w:ascii="Arial Narrow" w:hAnsi="Arial Narrow" w:cs="Arial"/>
          <w:b/>
        </w:rPr>
        <w:t>Veterinární a farmaceutická univerzita Brno</w:t>
      </w:r>
    </w:p>
    <w:p w:rsidR="00567524" w:rsidRPr="00383B83" w:rsidRDefault="00567524" w:rsidP="00567524">
      <w:pPr>
        <w:pStyle w:val="Text11"/>
        <w:spacing w:before="0" w:after="0"/>
        <w:rPr>
          <w:rFonts w:cs="Arial"/>
        </w:rPr>
      </w:pPr>
      <w:r w:rsidRPr="00383B83">
        <w:rPr>
          <w:rFonts w:cs="Arial"/>
        </w:rPr>
        <w:t>sídlo: Palackého třída 1946/1, 612 00, Brno - Královo Pole</w:t>
      </w:r>
      <w:r w:rsidR="006A0A1B">
        <w:rPr>
          <w:rFonts w:cs="Arial"/>
        </w:rPr>
        <w:t xml:space="preserve">, </w:t>
      </w:r>
      <w:r w:rsidR="006A0A1B" w:rsidRPr="002670CF">
        <w:rPr>
          <w:rFonts w:cs="Arial"/>
        </w:rPr>
        <w:t>Česká republika</w:t>
      </w:r>
    </w:p>
    <w:p w:rsidR="00567524" w:rsidRPr="00383B83" w:rsidRDefault="00567524" w:rsidP="00567524">
      <w:pPr>
        <w:pStyle w:val="Text11"/>
        <w:spacing w:before="0" w:after="0"/>
        <w:rPr>
          <w:rFonts w:cs="Arial"/>
        </w:rPr>
      </w:pPr>
      <w:r w:rsidRPr="00383B83">
        <w:rPr>
          <w:rFonts w:cs="Arial"/>
        </w:rPr>
        <w:t>IČO: 62157124</w:t>
      </w:r>
    </w:p>
    <w:p w:rsidR="00567524" w:rsidRPr="00383B83" w:rsidRDefault="00567524" w:rsidP="00567524">
      <w:pPr>
        <w:pStyle w:val="Text11"/>
        <w:spacing w:before="0" w:after="0"/>
        <w:rPr>
          <w:rFonts w:cs="Arial"/>
        </w:rPr>
      </w:pPr>
      <w:r w:rsidRPr="00383B83">
        <w:rPr>
          <w:rFonts w:cs="Arial"/>
        </w:rPr>
        <w:t>DIČ: CZ62157124</w:t>
      </w:r>
    </w:p>
    <w:p w:rsidR="00861715" w:rsidRPr="00383B83" w:rsidRDefault="00861715" w:rsidP="00567524">
      <w:pPr>
        <w:pStyle w:val="Text11"/>
        <w:spacing w:before="0" w:after="0"/>
        <w:rPr>
          <w:rFonts w:cs="Arial"/>
        </w:rPr>
      </w:pPr>
      <w:r w:rsidRPr="00383B83">
        <w:rPr>
          <w:rFonts w:cs="Arial"/>
        </w:rPr>
        <w:t>Farmaceutická fakulta</w:t>
      </w:r>
    </w:p>
    <w:p w:rsidR="00567524" w:rsidRPr="00383B83" w:rsidRDefault="00567524" w:rsidP="00567524">
      <w:pPr>
        <w:pStyle w:val="Text11"/>
        <w:rPr>
          <w:rFonts w:cs="Arial"/>
        </w:rPr>
      </w:pPr>
      <w:r w:rsidRPr="00383B83">
        <w:rPr>
          <w:rFonts w:cs="Arial"/>
        </w:rPr>
        <w:t>(„</w:t>
      </w:r>
      <w:r w:rsidRPr="00383B83">
        <w:rPr>
          <w:rFonts w:cs="Arial"/>
          <w:b/>
        </w:rPr>
        <w:t>Příjemce</w:t>
      </w:r>
      <w:r w:rsidRPr="00383B83">
        <w:rPr>
          <w:rFonts w:cs="Arial"/>
        </w:rPr>
        <w:t>“)</w:t>
      </w:r>
    </w:p>
    <w:p w:rsidR="00567524" w:rsidRPr="00383B83" w:rsidRDefault="00567524" w:rsidP="00567524">
      <w:pPr>
        <w:pStyle w:val="Text11"/>
        <w:rPr>
          <w:rFonts w:cs="Arial"/>
        </w:rPr>
      </w:pPr>
      <w:r w:rsidRPr="00383B83">
        <w:rPr>
          <w:rFonts w:cs="Arial"/>
        </w:rPr>
        <w:t>(Poskytovatel a Příjemce dále společně „</w:t>
      </w:r>
      <w:r w:rsidRPr="00383B83">
        <w:rPr>
          <w:rFonts w:cs="Arial"/>
          <w:b/>
        </w:rPr>
        <w:t>Strany</w:t>
      </w:r>
      <w:r w:rsidRPr="00383B83">
        <w:rPr>
          <w:rFonts w:cs="Arial"/>
        </w:rPr>
        <w:t>“ a každý z nich samostatně „</w:t>
      </w:r>
      <w:r w:rsidRPr="00383B83">
        <w:rPr>
          <w:rFonts w:cs="Arial"/>
          <w:b/>
        </w:rPr>
        <w:t>Strana</w:t>
      </w:r>
      <w:r w:rsidRPr="00383B83">
        <w:rPr>
          <w:rFonts w:cs="Arial"/>
        </w:rPr>
        <w:t>“)</w:t>
      </w:r>
    </w:p>
    <w:p w:rsidR="00383B83" w:rsidRPr="00383B83" w:rsidRDefault="00383B83" w:rsidP="00383B83">
      <w:pPr>
        <w:pStyle w:val="Smluvnistranypreambule"/>
        <w:rPr>
          <w:rFonts w:ascii="Arial Narrow" w:hAnsi="Arial Narrow" w:cs="Arial"/>
        </w:rPr>
      </w:pPr>
      <w:r>
        <w:rPr>
          <w:rFonts w:ascii="Arial Narrow" w:hAnsi="Arial Narrow" w:cs="Arial"/>
        </w:rPr>
        <w:t>se dohodly na následujícím:</w:t>
      </w:r>
    </w:p>
    <w:p w:rsidR="006A4F0E" w:rsidRPr="00383B83" w:rsidRDefault="006A4F0E" w:rsidP="00383B83">
      <w:pPr>
        <w:pStyle w:val="Nadpis1"/>
        <w:rPr>
          <w:iCs/>
          <w:kern w:val="0"/>
          <w:szCs w:val="28"/>
        </w:rPr>
      </w:pPr>
      <w:r w:rsidRPr="00383B83">
        <w:t xml:space="preserve">DEFINICE A VÝKLAD POJMŮ </w:t>
      </w:r>
    </w:p>
    <w:p w:rsidR="00FF031F" w:rsidRPr="00383B83" w:rsidRDefault="008F7DFD" w:rsidP="00383B83">
      <w:pPr>
        <w:pStyle w:val="Clanek11"/>
      </w:pPr>
      <w:r w:rsidRPr="00383B83">
        <w:t>Nevyplývá-li z kontextu něco jiného, mají následující slova a spojení užitá v této Smlouvě, včetně jejích příloh, a psaná s velkým počátečním písmenem dále uvedený význam:</w:t>
      </w: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6163"/>
      </w:tblGrid>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Grant</w:t>
            </w:r>
            <w:r w:rsidRPr="00383B83">
              <w:t>“</w:t>
            </w:r>
          </w:p>
        </w:tc>
        <w:tc>
          <w:tcPr>
            <w:tcW w:w="6344" w:type="dxa"/>
          </w:tcPr>
          <w:p w:rsidR="008F7DFD" w:rsidRPr="00383B83" w:rsidRDefault="001A11F9" w:rsidP="00383B83">
            <w:pPr>
              <w:pStyle w:val="Clanek11"/>
              <w:numPr>
                <w:ilvl w:val="0"/>
                <w:numId w:val="0"/>
              </w:numPr>
              <w:spacing w:after="0"/>
            </w:pPr>
            <w:r w:rsidRPr="00383B83">
              <w:t>má význam uvedený v</w:t>
            </w:r>
            <w:r>
              <w:t xml:space="preserve"> článku </w:t>
            </w:r>
            <w:r>
              <w:fldChar w:fldCharType="begin"/>
            </w:r>
            <w:r>
              <w:instrText xml:space="preserve"> REF _Ref504751772 \r \h </w:instrText>
            </w:r>
            <w:r>
              <w:fldChar w:fldCharType="separate"/>
            </w:r>
            <w:r w:rsidR="00955995">
              <w:t>2.1</w:t>
            </w:r>
            <w:r>
              <w:fldChar w:fldCharType="end"/>
            </w:r>
            <w:r>
              <w:t>.</w:t>
            </w:r>
          </w:p>
        </w:tc>
      </w:tr>
      <w:tr w:rsidR="004E5D8E" w:rsidRPr="00383B83" w:rsidTr="00D078A4">
        <w:tc>
          <w:tcPr>
            <w:tcW w:w="2376" w:type="dxa"/>
          </w:tcPr>
          <w:p w:rsidR="004E5D8E" w:rsidRPr="00383B83" w:rsidRDefault="004E5D8E" w:rsidP="00383B83">
            <w:pPr>
              <w:pStyle w:val="Clanek11"/>
              <w:numPr>
                <w:ilvl w:val="0"/>
                <w:numId w:val="0"/>
              </w:numPr>
              <w:spacing w:after="0"/>
            </w:pPr>
            <w:r w:rsidRPr="00383B83">
              <w:t>„</w:t>
            </w:r>
            <w:r w:rsidRPr="00383B83">
              <w:rPr>
                <w:b/>
              </w:rPr>
              <w:t>Grant</w:t>
            </w:r>
            <w:r>
              <w:rPr>
                <w:b/>
              </w:rPr>
              <w:t>ová činnost</w:t>
            </w:r>
            <w:r w:rsidRPr="00383B83">
              <w:t>“</w:t>
            </w:r>
          </w:p>
        </w:tc>
        <w:tc>
          <w:tcPr>
            <w:tcW w:w="6344" w:type="dxa"/>
          </w:tcPr>
          <w:p w:rsidR="004E5D8E" w:rsidRPr="00383B83" w:rsidRDefault="001A11F9" w:rsidP="001A11F9">
            <w:pPr>
              <w:pStyle w:val="Clanek11"/>
              <w:numPr>
                <w:ilvl w:val="0"/>
                <w:numId w:val="0"/>
              </w:numPr>
              <w:spacing w:after="0"/>
            </w:pPr>
            <w:r w:rsidRPr="00383B83">
              <w:t>má význam uvedený v</w:t>
            </w:r>
            <w:r>
              <w:t xml:space="preserve"> článku </w:t>
            </w:r>
            <w:r>
              <w:fldChar w:fldCharType="begin"/>
            </w:r>
            <w:r>
              <w:instrText xml:space="preserve"> REF _Ref504751783 \r \h </w:instrText>
            </w:r>
            <w:r>
              <w:fldChar w:fldCharType="separate"/>
            </w:r>
            <w:r w:rsidR="00955995">
              <w:t>3.1</w:t>
            </w:r>
            <w:r>
              <w:fldChar w:fldCharType="end"/>
            </w:r>
            <w:r>
              <w:t>.</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Občanský zákoník</w:t>
            </w:r>
            <w:r w:rsidRPr="00383B83">
              <w:t>“</w:t>
            </w:r>
          </w:p>
        </w:tc>
        <w:tc>
          <w:tcPr>
            <w:tcW w:w="6344" w:type="dxa"/>
          </w:tcPr>
          <w:p w:rsidR="008F7DFD" w:rsidRPr="00383B83" w:rsidRDefault="008F7DFD" w:rsidP="00383B83">
            <w:pPr>
              <w:pStyle w:val="Clanek11"/>
              <w:numPr>
                <w:ilvl w:val="0"/>
                <w:numId w:val="0"/>
              </w:numPr>
              <w:spacing w:after="0"/>
            </w:pPr>
            <w:r w:rsidRPr="00383B83">
              <w:t>znamená zákon č. 89/2012 Sb., občanský zákoník, ve znění pozdějších předpisů.</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Poskytovatel</w:t>
            </w:r>
            <w:r w:rsidRPr="00383B83">
              <w:t>“</w:t>
            </w:r>
          </w:p>
        </w:tc>
        <w:tc>
          <w:tcPr>
            <w:tcW w:w="6344" w:type="dxa"/>
          </w:tcPr>
          <w:p w:rsidR="008F7DFD" w:rsidRPr="00383B83" w:rsidRDefault="008F7DFD" w:rsidP="00383B83">
            <w:pPr>
              <w:pStyle w:val="Clanek11"/>
              <w:numPr>
                <w:ilvl w:val="0"/>
                <w:numId w:val="0"/>
              </w:numPr>
              <w:spacing w:after="0"/>
            </w:pPr>
            <w:r w:rsidRPr="00383B83">
              <w:t>má význam uvedený v záhlaví Smlouvy.</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Příjemce</w:t>
            </w:r>
            <w:r w:rsidRPr="00383B83">
              <w:t>“</w:t>
            </w:r>
          </w:p>
        </w:tc>
        <w:tc>
          <w:tcPr>
            <w:tcW w:w="6344" w:type="dxa"/>
          </w:tcPr>
          <w:p w:rsidR="008F7DFD" w:rsidRPr="00383B83" w:rsidRDefault="008F7DFD" w:rsidP="00383B83">
            <w:pPr>
              <w:pStyle w:val="Clanek11"/>
              <w:numPr>
                <w:ilvl w:val="0"/>
                <w:numId w:val="0"/>
              </w:numPr>
              <w:spacing w:after="0"/>
            </w:pPr>
            <w:r w:rsidRPr="00383B83">
              <w:t>má význam uvedený v záhlaví Smlouvy.</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Skupina GSK</w:t>
            </w:r>
            <w:r w:rsidRPr="00383B83">
              <w:t>“</w:t>
            </w:r>
          </w:p>
        </w:tc>
        <w:tc>
          <w:tcPr>
            <w:tcW w:w="6344" w:type="dxa"/>
          </w:tcPr>
          <w:p w:rsidR="008F7DFD" w:rsidRPr="00383B83" w:rsidRDefault="008F7DFD" w:rsidP="00383B83">
            <w:pPr>
              <w:pStyle w:val="Clanek11"/>
              <w:numPr>
                <w:ilvl w:val="0"/>
                <w:numId w:val="0"/>
              </w:numPr>
              <w:spacing w:after="0"/>
            </w:pPr>
            <w:r w:rsidRPr="00383B83">
              <w:t>zahrnuje (i) jakoukoli společnost přímo či nepřímo ovládanou Poskytovatelem, (ii) jakoukoli společnost přímo či nepřímo ovládající Poskytovatele a (iii) jakoukoli společnost přímo či nepřímo ovládanou společností přímo či nepřímo ovládající Poskytovatele.</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Smlouva</w:t>
            </w:r>
            <w:r w:rsidRPr="00383B83">
              <w:t>“</w:t>
            </w:r>
          </w:p>
        </w:tc>
        <w:tc>
          <w:tcPr>
            <w:tcW w:w="6344" w:type="dxa"/>
          </w:tcPr>
          <w:p w:rsidR="008F7DFD" w:rsidRPr="00383B83" w:rsidRDefault="008F7DFD" w:rsidP="00383B83">
            <w:pPr>
              <w:pStyle w:val="Clanek11"/>
              <w:numPr>
                <w:ilvl w:val="0"/>
                <w:numId w:val="0"/>
              </w:numPr>
              <w:spacing w:after="0"/>
            </w:pPr>
            <w:r w:rsidRPr="00383B83">
              <w:t>má význam uvedený v záhlaví Smlouvy.</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Strana</w:t>
            </w:r>
            <w:r w:rsidRPr="00383B83">
              <w:t>“</w:t>
            </w:r>
          </w:p>
        </w:tc>
        <w:tc>
          <w:tcPr>
            <w:tcW w:w="6344" w:type="dxa"/>
          </w:tcPr>
          <w:p w:rsidR="008F7DFD" w:rsidRPr="00383B83" w:rsidRDefault="008F7DFD" w:rsidP="00383B83">
            <w:pPr>
              <w:pStyle w:val="Clanek11"/>
              <w:numPr>
                <w:ilvl w:val="0"/>
                <w:numId w:val="0"/>
              </w:numPr>
              <w:spacing w:after="0"/>
            </w:pPr>
            <w:r w:rsidRPr="00383B83">
              <w:t>má význam uvedený v záhlaví Smlouvy.</w:t>
            </w:r>
          </w:p>
        </w:tc>
      </w:tr>
      <w:tr w:rsidR="008F7DFD" w:rsidRPr="00383B83" w:rsidTr="00D078A4">
        <w:tc>
          <w:tcPr>
            <w:tcW w:w="2376" w:type="dxa"/>
          </w:tcPr>
          <w:p w:rsidR="008F7DFD" w:rsidRPr="00383B83" w:rsidRDefault="008F7DFD" w:rsidP="00383B83">
            <w:pPr>
              <w:pStyle w:val="Clanek11"/>
              <w:numPr>
                <w:ilvl w:val="0"/>
                <w:numId w:val="0"/>
              </w:numPr>
              <w:spacing w:after="0"/>
            </w:pPr>
            <w:r w:rsidRPr="00383B83">
              <w:t>„</w:t>
            </w:r>
            <w:r w:rsidRPr="00383B83">
              <w:rPr>
                <w:b/>
              </w:rPr>
              <w:t>Výrobky GSK</w:t>
            </w:r>
            <w:r w:rsidRPr="00383B83">
              <w:t>“</w:t>
            </w:r>
          </w:p>
        </w:tc>
        <w:tc>
          <w:tcPr>
            <w:tcW w:w="6344" w:type="dxa"/>
          </w:tcPr>
          <w:p w:rsidR="008F7DFD" w:rsidRPr="00383B83" w:rsidRDefault="008F7DFD" w:rsidP="00383B83">
            <w:pPr>
              <w:pStyle w:val="Clanek11"/>
              <w:numPr>
                <w:ilvl w:val="0"/>
                <w:numId w:val="0"/>
              </w:numPr>
              <w:spacing w:after="0"/>
            </w:pPr>
            <w:r w:rsidRPr="00383B83">
              <w:t xml:space="preserve">znamenají (i) léčivé přípravky, jejichž držitelem rozhodnutí o registraci a/nebo distributorem je Poskytovatel nebo jiná společnost ze Skupiny GSK a (ii) zdravotnické prostředky, kosmetické přípravky, doplňky stravy a jakékoli jiné výrobky vyráběné, uváděné na trh či distribuované </w:t>
            </w:r>
            <w:r w:rsidRPr="00383B83">
              <w:lastRenderedPageBreak/>
              <w:t>Poskytovatelem nebo jinou společnosti ze Skupiny GSK.</w:t>
            </w:r>
          </w:p>
        </w:tc>
      </w:tr>
      <w:tr w:rsidR="0018546D" w:rsidRPr="00383B83" w:rsidTr="00D078A4">
        <w:tc>
          <w:tcPr>
            <w:tcW w:w="2376" w:type="dxa"/>
          </w:tcPr>
          <w:p w:rsidR="0018546D" w:rsidRPr="00383B83" w:rsidRDefault="0018546D" w:rsidP="00383B83">
            <w:pPr>
              <w:pStyle w:val="Clanek11"/>
              <w:numPr>
                <w:ilvl w:val="0"/>
                <w:numId w:val="0"/>
              </w:numPr>
              <w:spacing w:after="0"/>
            </w:pPr>
            <w:r w:rsidRPr="00383B83">
              <w:lastRenderedPageBreak/>
              <w:t>„</w:t>
            </w:r>
            <w:r w:rsidRPr="00383B83">
              <w:rPr>
                <w:b/>
              </w:rPr>
              <w:t>Zákon o registru smluv</w:t>
            </w:r>
            <w:r w:rsidRPr="00383B83">
              <w:t>“</w:t>
            </w:r>
          </w:p>
        </w:tc>
        <w:tc>
          <w:tcPr>
            <w:tcW w:w="6344" w:type="dxa"/>
          </w:tcPr>
          <w:p w:rsidR="0018546D" w:rsidRPr="00383B83" w:rsidRDefault="0018546D" w:rsidP="00383B83">
            <w:pPr>
              <w:pStyle w:val="Clanek11"/>
              <w:numPr>
                <w:ilvl w:val="0"/>
                <w:numId w:val="0"/>
              </w:numPr>
              <w:spacing w:after="0"/>
            </w:pPr>
            <w:r w:rsidRPr="00383B83">
              <w:t>znamená zákon č. 340/2015 Sb., o zvláštních podmínkách účinnosti některých smluv, uveřejňování těchto smluv a o registru smluv (zákon o registru smluv), ve znění pozdějších předpisů.</w:t>
            </w:r>
          </w:p>
        </w:tc>
      </w:tr>
      <w:tr w:rsidR="008B5BA8" w:rsidRPr="00383B83" w:rsidTr="00D078A4">
        <w:tc>
          <w:tcPr>
            <w:tcW w:w="2376" w:type="dxa"/>
          </w:tcPr>
          <w:p w:rsidR="008B5BA8" w:rsidRPr="00383B83" w:rsidRDefault="008B5BA8" w:rsidP="008B5BA8">
            <w:pPr>
              <w:pStyle w:val="Clanek11"/>
              <w:numPr>
                <w:ilvl w:val="0"/>
                <w:numId w:val="0"/>
              </w:numPr>
              <w:spacing w:after="0"/>
            </w:pPr>
            <w:r w:rsidRPr="00383B83">
              <w:t>„</w:t>
            </w:r>
            <w:r>
              <w:rPr>
                <w:b/>
              </w:rPr>
              <w:t>Zdravotnický odborník</w:t>
            </w:r>
            <w:r w:rsidRPr="00383B83">
              <w:t>“</w:t>
            </w:r>
          </w:p>
        </w:tc>
        <w:tc>
          <w:tcPr>
            <w:tcW w:w="6344" w:type="dxa"/>
          </w:tcPr>
          <w:p w:rsidR="008B5BA8" w:rsidRPr="00383B83" w:rsidRDefault="008B5BA8" w:rsidP="006A0A1B">
            <w:pPr>
              <w:pStyle w:val="Clanek11"/>
              <w:numPr>
                <w:ilvl w:val="0"/>
                <w:numId w:val="0"/>
              </w:numPr>
              <w:spacing w:after="0"/>
            </w:pPr>
            <w:r>
              <w:t xml:space="preserve">zahrnuje </w:t>
            </w:r>
            <w:r w:rsidR="00233EC3">
              <w:t>osobu, která se v rámci své</w:t>
            </w:r>
            <w:r w:rsidRPr="008B5BA8">
              <w:t xml:space="preserve"> </w:t>
            </w:r>
            <w:r w:rsidR="00233EC3">
              <w:t>profesní činnosti</w:t>
            </w:r>
            <w:r w:rsidRPr="008B5BA8">
              <w:t xml:space="preserve"> podílí na předepisování, d</w:t>
            </w:r>
            <w:r w:rsidR="00233EC3">
              <w:t>oporučování, nákupu, výdeji,</w:t>
            </w:r>
            <w:r w:rsidRPr="008B5BA8">
              <w:t xml:space="preserve"> podávání</w:t>
            </w:r>
            <w:r w:rsidR="00233EC3">
              <w:t xml:space="preserve"> či používání</w:t>
            </w:r>
            <w:r w:rsidRPr="008B5BA8">
              <w:t xml:space="preserve"> léčivých přípravků</w:t>
            </w:r>
            <w:r w:rsidR="00233EC3">
              <w:t xml:space="preserve"> či zdravotnických prostředků, zejména </w:t>
            </w:r>
            <w:r w:rsidR="00233EC3" w:rsidRPr="008B5BA8">
              <w:t>lékař</w:t>
            </w:r>
            <w:r w:rsidR="00233EC3">
              <w:t xml:space="preserve">e, zubního </w:t>
            </w:r>
            <w:r w:rsidR="00233EC3" w:rsidRPr="008B5BA8">
              <w:t xml:space="preserve">lékaře, </w:t>
            </w:r>
            <w:r w:rsidR="00233EC3">
              <w:t xml:space="preserve">farmaceuta či </w:t>
            </w:r>
            <w:r w:rsidR="006A0A1B" w:rsidRPr="008B5BA8">
              <w:t>všeobe</w:t>
            </w:r>
            <w:r w:rsidR="006A0A1B">
              <w:t>cnou sestru.</w:t>
            </w:r>
          </w:p>
        </w:tc>
      </w:tr>
    </w:tbl>
    <w:p w:rsidR="008F7DFD" w:rsidRPr="00383B83" w:rsidRDefault="0018546D" w:rsidP="00383B83">
      <w:pPr>
        <w:pStyle w:val="Clanek11"/>
      </w:pPr>
      <w:r w:rsidRPr="00383B83">
        <w:t>Pro výklad této Smlouvy platí následující pravidla:</w:t>
      </w:r>
    </w:p>
    <w:p w:rsidR="0018546D" w:rsidRPr="00383B83" w:rsidRDefault="0018546D" w:rsidP="0018546D">
      <w:pPr>
        <w:pStyle w:val="Claneka"/>
      </w:pPr>
      <w:r w:rsidRPr="00383B83">
        <w:t>Odkazy na „</w:t>
      </w:r>
      <w:r w:rsidRPr="00383B83">
        <w:rPr>
          <w:b/>
        </w:rPr>
        <w:t>články</w:t>
      </w:r>
      <w:r w:rsidRPr="00383B83">
        <w:t>“ a „</w:t>
      </w:r>
      <w:r w:rsidRPr="00383B83">
        <w:rPr>
          <w:b/>
        </w:rPr>
        <w:t>přílohy</w:t>
      </w:r>
      <w:r w:rsidRPr="00383B83">
        <w:t>“ se vykládají jako odkazy na články a přílohy této Smlouvy.</w:t>
      </w:r>
    </w:p>
    <w:p w:rsidR="0018546D" w:rsidRPr="00383B83" w:rsidRDefault="0018546D" w:rsidP="0018546D">
      <w:pPr>
        <w:pStyle w:val="Claneka"/>
      </w:pPr>
      <w:r w:rsidRPr="00383B83">
        <w:t>Slova „</w:t>
      </w:r>
      <w:r w:rsidRPr="00383B83">
        <w:rPr>
          <w:b/>
        </w:rPr>
        <w:t>písemně</w:t>
      </w:r>
      <w:r w:rsidRPr="00383B83">
        <w:t>“ nebo „</w:t>
      </w:r>
      <w:r w:rsidRPr="00383B83">
        <w:rPr>
          <w:b/>
        </w:rPr>
        <w:t>písemný</w:t>
      </w:r>
      <w:r w:rsidRPr="00383B83">
        <w:t>“ nezahrnují e-mail či fax.</w:t>
      </w:r>
    </w:p>
    <w:p w:rsidR="0018546D" w:rsidRPr="00383B83" w:rsidRDefault="0018546D" w:rsidP="0018546D">
      <w:pPr>
        <w:pStyle w:val="Claneka"/>
      </w:pPr>
      <w:r w:rsidRPr="00383B83">
        <w:t>Pojmy definované v této Smlouvě v množném čísle mají shodný význam i v jednotném čísle a naopak.</w:t>
      </w:r>
    </w:p>
    <w:p w:rsidR="0018546D" w:rsidRPr="00383B83" w:rsidRDefault="0018546D" w:rsidP="0018546D">
      <w:pPr>
        <w:pStyle w:val="Claneka"/>
      </w:pPr>
      <w:r w:rsidRPr="00383B83">
        <w:t>Ustanovení Občanského zákoníku, včetně ustanovení nemajících donucující povahu, jakož i ustanovení jiných právních předpisů, mají pro účely výkladu této Smlouvy přednost před obchodními zvyklostmi.</w:t>
      </w:r>
    </w:p>
    <w:p w:rsidR="0018546D" w:rsidRPr="00383B83" w:rsidRDefault="0018546D" w:rsidP="0018546D">
      <w:pPr>
        <w:pStyle w:val="Claneka"/>
      </w:pPr>
      <w:r w:rsidRPr="00383B83">
        <w:t>Ustanovení § 556 odst. 2 Občanského zákoníku upravující kritéria výkladu této Smlouvy se nepoužije. Žádný z článků ani žádný z výrazů použitých v příslušném článku nebude připisován kterékoli ze Stran jako straně, která jej při vyjednávání použila jako první; ustanovení § 557 Občanského zákoníku se tak nepoužije.</w:t>
      </w:r>
    </w:p>
    <w:p w:rsidR="006A4F0E" w:rsidRPr="00383B83" w:rsidRDefault="00707A07" w:rsidP="00383B83">
      <w:pPr>
        <w:pStyle w:val="Nadpis1"/>
      </w:pPr>
      <w:r w:rsidRPr="00383B83">
        <w:t>předmět smlouvy</w:t>
      </w:r>
    </w:p>
    <w:p w:rsidR="00383B83" w:rsidRDefault="00707A07" w:rsidP="00383B83">
      <w:pPr>
        <w:pStyle w:val="Clanek11"/>
      </w:pPr>
      <w:bookmarkStart w:id="0" w:name="_Ref504751772"/>
      <w:r w:rsidRPr="00383B83">
        <w:t>Předmětem této Smlouvy je</w:t>
      </w:r>
      <w:bookmarkEnd w:id="0"/>
      <w:r w:rsidRPr="00383B83">
        <w:t xml:space="preserve"> </w:t>
      </w:r>
    </w:p>
    <w:p w:rsidR="00383B83" w:rsidRDefault="00707A07" w:rsidP="00383B83">
      <w:pPr>
        <w:pStyle w:val="Claneka"/>
      </w:pPr>
      <w:r w:rsidRPr="00383B83">
        <w:t xml:space="preserve">povinnost Poskytovatele poskytnout Příjemci </w:t>
      </w:r>
      <w:r w:rsidR="007328CF">
        <w:t>peněžitý</w:t>
      </w:r>
      <w:r w:rsidRPr="00383B83">
        <w:t xml:space="preserve"> grant ve výši </w:t>
      </w:r>
      <w:r w:rsidR="00383B83" w:rsidRPr="00383B83">
        <w:rPr>
          <w:b/>
        </w:rPr>
        <w:t>70.000</w:t>
      </w:r>
      <w:r w:rsidRPr="00383B83">
        <w:rPr>
          <w:b/>
        </w:rPr>
        <w:t xml:space="preserve"> Kč</w:t>
      </w:r>
      <w:r w:rsidRPr="00383B83">
        <w:t xml:space="preserve"> („</w:t>
      </w:r>
      <w:r w:rsidRPr="00383B83">
        <w:rPr>
          <w:b/>
        </w:rPr>
        <w:t>Grant</w:t>
      </w:r>
      <w:r w:rsidRPr="00383B83">
        <w:t>“)</w:t>
      </w:r>
      <w:r w:rsidR="00383B83">
        <w:t xml:space="preserve">; </w:t>
      </w:r>
      <w:r w:rsidRPr="00383B83">
        <w:t>a</w:t>
      </w:r>
    </w:p>
    <w:p w:rsidR="006A4F0E" w:rsidRPr="00383B83" w:rsidRDefault="00707A07" w:rsidP="00383B83">
      <w:pPr>
        <w:pStyle w:val="Claneka"/>
      </w:pPr>
      <w:r w:rsidRPr="00383B83">
        <w:t xml:space="preserve">povinnost Příjemce Grant přijmout a </w:t>
      </w:r>
      <w:r w:rsidR="00BB042A">
        <w:t>použít</w:t>
      </w:r>
      <w:r w:rsidRPr="00383B83">
        <w:t xml:space="preserve"> jej výhradně v souladu s touto Smlouvou.</w:t>
      </w:r>
    </w:p>
    <w:p w:rsidR="006A4F0E" w:rsidRDefault="007328CF" w:rsidP="007328CF">
      <w:pPr>
        <w:pStyle w:val="Clanek11"/>
      </w:pPr>
      <w:r>
        <w:t xml:space="preserve">Poskytovatel </w:t>
      </w:r>
      <w:r w:rsidRPr="007328CF">
        <w:t xml:space="preserve">Grant </w:t>
      </w:r>
      <w:r>
        <w:t>poskytuje</w:t>
      </w:r>
      <w:r w:rsidRPr="007328CF">
        <w:t xml:space="preserve"> na základě žádosti Příjemce, která tvoří </w:t>
      </w:r>
      <w:r w:rsidRPr="007328CF">
        <w:rPr>
          <w:u w:val="single"/>
        </w:rPr>
        <w:t xml:space="preserve">přílohu č. </w:t>
      </w:r>
      <w:r w:rsidR="00D078A4">
        <w:rPr>
          <w:u w:val="single"/>
        </w:rPr>
        <w:t>2</w:t>
      </w:r>
      <w:r>
        <w:t>.</w:t>
      </w:r>
    </w:p>
    <w:p w:rsidR="00CA0408" w:rsidRDefault="00CA0408" w:rsidP="00CA0408">
      <w:pPr>
        <w:pStyle w:val="Clanek11"/>
      </w:pPr>
      <w:r>
        <w:t xml:space="preserve">Příjemce prohlašuje, že přijetím Grantu neporuší své povinnosti </w:t>
      </w:r>
      <w:r w:rsidR="00F129AE">
        <w:t xml:space="preserve">vůči třetím stranám, ani své povinnosti </w:t>
      </w:r>
      <w:r>
        <w:t>vyplývající z právních předpisů, etických pravidel, pravidel o střetu zájmů</w:t>
      </w:r>
      <w:r w:rsidR="00F129AE">
        <w:t xml:space="preserve"> či </w:t>
      </w:r>
      <w:r>
        <w:t>dalších</w:t>
      </w:r>
      <w:r w:rsidR="00563C5A">
        <w:t xml:space="preserve"> pro Příjemce závazných</w:t>
      </w:r>
      <w:r>
        <w:t xml:space="preserve"> pravidel.</w:t>
      </w:r>
    </w:p>
    <w:p w:rsidR="006A4F0E" w:rsidRDefault="007328CF" w:rsidP="00383B83">
      <w:pPr>
        <w:pStyle w:val="Nadpis1"/>
      </w:pPr>
      <w:bookmarkStart w:id="1" w:name="_Ref504676149"/>
      <w:r>
        <w:t>účel grantu</w:t>
      </w:r>
      <w:bookmarkEnd w:id="1"/>
    </w:p>
    <w:p w:rsidR="007328CF" w:rsidRDefault="007328CF" w:rsidP="00E8475A">
      <w:pPr>
        <w:pStyle w:val="Clanek11"/>
      </w:pPr>
      <w:bookmarkStart w:id="2" w:name="_Ref504751783"/>
      <w:r>
        <w:t xml:space="preserve">Poskytovatel Grant poskytuje a Příjemce se zavazuje Grant </w:t>
      </w:r>
      <w:r w:rsidR="00BB042A">
        <w:t>použít</w:t>
      </w:r>
      <w:r>
        <w:t xml:space="preserve"> výhradně za účelem</w:t>
      </w:r>
      <w:r w:rsidR="004E5D8E">
        <w:t xml:space="preserve"> podpory </w:t>
      </w:r>
      <w:r w:rsidR="004E5D8E" w:rsidRPr="004E5D8E">
        <w:t>vzdělá</w:t>
      </w:r>
      <w:r w:rsidR="00E235BD">
        <w:t>vací a vědecké činnosti</w:t>
      </w:r>
      <w:r w:rsidR="004E5D8E" w:rsidRPr="004E5D8E">
        <w:t xml:space="preserve"> v oblasti zdrav</w:t>
      </w:r>
      <w:r w:rsidR="004E5D8E">
        <w:t xml:space="preserve">otnictví, a to konkrétně </w:t>
      </w:r>
      <w:r w:rsidR="00E8475A">
        <w:t>financování nákladů spojených s</w:t>
      </w:r>
      <w:r w:rsidR="004E5D8E" w:rsidRPr="004E5D8E">
        <w:t xml:space="preserve"> uspořádání</w:t>
      </w:r>
      <w:r w:rsidR="00E8475A">
        <w:t xml:space="preserve">m </w:t>
      </w:r>
      <w:r w:rsidR="00E8475A" w:rsidRPr="00E8475A">
        <w:rPr>
          <w:b/>
        </w:rPr>
        <w:t>panelové diskuse na téma „multioborová léčba bolesti“ a navazujícího sympozia „Dny farmaceutické péče 2018“</w:t>
      </w:r>
      <w:r w:rsidR="00E8475A">
        <w:t>, jak je blíže upřesněno v </w:t>
      </w:r>
      <w:r w:rsidR="00E8475A">
        <w:rPr>
          <w:u w:val="single"/>
        </w:rPr>
        <w:t xml:space="preserve">příloze č. </w:t>
      </w:r>
      <w:r w:rsidR="00D078A4">
        <w:rPr>
          <w:u w:val="single"/>
        </w:rPr>
        <w:t>2</w:t>
      </w:r>
      <w:r w:rsidR="00E8475A">
        <w:t xml:space="preserve"> </w:t>
      </w:r>
      <w:r w:rsidR="004E5D8E" w:rsidRPr="004E5D8E">
        <w:t>(„</w:t>
      </w:r>
      <w:r w:rsidR="00E8475A">
        <w:rPr>
          <w:b/>
        </w:rPr>
        <w:t>Grantová</w:t>
      </w:r>
      <w:r w:rsidR="00E8475A" w:rsidRPr="00E8475A">
        <w:rPr>
          <w:b/>
        </w:rPr>
        <w:t xml:space="preserve"> činnost</w:t>
      </w:r>
      <w:r w:rsidR="00E8475A">
        <w:t>“</w:t>
      </w:r>
      <w:r w:rsidR="004E5D8E" w:rsidRPr="004E5D8E">
        <w:t>).</w:t>
      </w:r>
      <w:bookmarkEnd w:id="2"/>
    </w:p>
    <w:p w:rsidR="00D77ECC" w:rsidRDefault="00D77ECC" w:rsidP="00E8475A">
      <w:pPr>
        <w:pStyle w:val="Clanek11"/>
      </w:pPr>
      <w:r>
        <w:t>Strany prohlašují, že</w:t>
      </w:r>
    </w:p>
    <w:p w:rsidR="00D77ECC" w:rsidRDefault="00D77ECC" w:rsidP="00D77ECC">
      <w:pPr>
        <w:pStyle w:val="Claneka"/>
      </w:pPr>
      <w:r w:rsidRPr="00D77ECC">
        <w:t xml:space="preserve">Grant není poskytnut za účelem reklamy na Výrobky </w:t>
      </w:r>
      <w:r>
        <w:t xml:space="preserve">GSK, ani </w:t>
      </w:r>
      <w:r w:rsidRPr="00D77ECC">
        <w:t xml:space="preserve">jako podmínka, podnět k nebo odměna za minulé, současné či budoucí doporučování, předepisování, výdej, nákup, prodej či podání konkrétního Výrobku </w:t>
      </w:r>
      <w:r>
        <w:t>GSK</w:t>
      </w:r>
      <w:r w:rsidRPr="00D77ECC">
        <w:t xml:space="preserve"> Příjemcem nebo </w:t>
      </w:r>
      <w:r w:rsidR="00233EC3">
        <w:t>Z</w:t>
      </w:r>
      <w:r w:rsidRPr="00D77ECC">
        <w:t>dr</w:t>
      </w:r>
      <w:r>
        <w:t>avotnickými odborníky</w:t>
      </w:r>
      <w:r w:rsidR="00BB042A">
        <w:t>;</w:t>
      </w:r>
      <w:r w:rsidR="00061B1B">
        <w:t xml:space="preserve"> </w:t>
      </w:r>
      <w:r w:rsidR="00563C5A">
        <w:t>a</w:t>
      </w:r>
    </w:p>
    <w:p w:rsidR="00BB042A" w:rsidRDefault="00061B1B" w:rsidP="00563C5A">
      <w:pPr>
        <w:pStyle w:val="Claneka"/>
      </w:pPr>
      <w:r>
        <w:t>Grantová činnost je organizována zcela nezávisle a bez jakéhokoli ovlivňování ze strany Poskytovatele, zejména pokud jde</w:t>
      </w:r>
      <w:r w:rsidR="00F33555">
        <w:t xml:space="preserve"> o</w:t>
      </w:r>
      <w:r w:rsidR="00CC3CA3">
        <w:t xml:space="preserve"> její</w:t>
      </w:r>
      <w:r w:rsidR="00F33555">
        <w:t xml:space="preserve"> obsahovou náplň či</w:t>
      </w:r>
      <w:r>
        <w:t xml:space="preserve"> o výběr Zdravotnických odborníků, kteří se případně mají Grantové činnosti aktivně či </w:t>
      </w:r>
      <w:r w:rsidR="00563C5A">
        <w:t>pasivně zúčastnit.</w:t>
      </w:r>
    </w:p>
    <w:p w:rsidR="006A4F0E" w:rsidRPr="00383B83" w:rsidRDefault="00D77ECC" w:rsidP="00383B83">
      <w:pPr>
        <w:pStyle w:val="Nadpis1"/>
      </w:pPr>
      <w:r>
        <w:t>platba grantu</w:t>
      </w:r>
    </w:p>
    <w:p w:rsidR="006A4F0E" w:rsidRDefault="00D77ECC" w:rsidP="00CB5118">
      <w:pPr>
        <w:pStyle w:val="Clanek11"/>
      </w:pPr>
      <w:r>
        <w:t>Poskytovatel</w:t>
      </w:r>
      <w:r w:rsidRPr="00D77ECC">
        <w:t xml:space="preserve"> </w:t>
      </w:r>
      <w:r w:rsidR="00CB5118">
        <w:t>poukáže</w:t>
      </w:r>
      <w:r w:rsidR="008A4992">
        <w:t xml:space="preserve"> Grant</w:t>
      </w:r>
      <w:r w:rsidR="00CB5118">
        <w:t xml:space="preserve"> </w:t>
      </w:r>
      <w:r w:rsidRPr="00D77ECC">
        <w:t xml:space="preserve">na bankovní účet Poskytovatele uvedený v </w:t>
      </w:r>
      <w:r w:rsidRPr="00CB5118">
        <w:rPr>
          <w:u w:val="single"/>
        </w:rPr>
        <w:t xml:space="preserve">příloze č. </w:t>
      </w:r>
      <w:r w:rsidR="00D078A4">
        <w:rPr>
          <w:u w:val="single"/>
        </w:rPr>
        <w:t>1</w:t>
      </w:r>
      <w:r w:rsidR="00CB5118">
        <w:t xml:space="preserve">, a to do </w:t>
      </w:r>
      <w:r w:rsidR="00CB5118" w:rsidRPr="00CB5118">
        <w:rPr>
          <w:b/>
        </w:rPr>
        <w:t>14 dní</w:t>
      </w:r>
      <w:r w:rsidR="00CB5118">
        <w:t xml:space="preserve"> ode dne účinnosti této Smlouvy.</w:t>
      </w:r>
    </w:p>
    <w:p w:rsidR="006A4F0E" w:rsidRPr="00383B83" w:rsidRDefault="00ED3DB0" w:rsidP="00383B83">
      <w:pPr>
        <w:pStyle w:val="Nadpis1"/>
      </w:pPr>
      <w:r>
        <w:lastRenderedPageBreak/>
        <w:t>podmínky pro použití grantu</w:t>
      </w:r>
      <w:r w:rsidR="009846D8">
        <w:t>; povinnosti příjemce</w:t>
      </w:r>
    </w:p>
    <w:p w:rsidR="00BB042A" w:rsidRDefault="00CB5118" w:rsidP="00CB5118">
      <w:pPr>
        <w:pStyle w:val="Clanek11"/>
      </w:pPr>
      <w:r>
        <w:t>Příjemce</w:t>
      </w:r>
      <w:r w:rsidR="00BB042A">
        <w:t xml:space="preserve"> je povinen:</w:t>
      </w:r>
    </w:p>
    <w:p w:rsidR="00CB5118" w:rsidRDefault="00BB042A" w:rsidP="00BB042A">
      <w:pPr>
        <w:pStyle w:val="Claneka"/>
      </w:pPr>
      <w:r>
        <w:t>použít</w:t>
      </w:r>
      <w:r w:rsidR="00CB5118">
        <w:t xml:space="preserve"> Grant výhradně </w:t>
      </w:r>
      <w:r>
        <w:t>za účelem ujednaným v </w:t>
      </w:r>
      <w:r w:rsidR="00CB5118">
        <w:t>článku</w:t>
      </w:r>
      <w:r>
        <w:t xml:space="preserve"> </w:t>
      </w:r>
      <w:r>
        <w:fldChar w:fldCharType="begin"/>
      </w:r>
      <w:r>
        <w:instrText xml:space="preserve"> REF _Ref504676149 \r \h </w:instrText>
      </w:r>
      <w:r>
        <w:fldChar w:fldCharType="separate"/>
      </w:r>
      <w:r w:rsidR="00955995">
        <w:t>3</w:t>
      </w:r>
      <w:r>
        <w:fldChar w:fldCharType="end"/>
      </w:r>
      <w:r w:rsidR="00132F83">
        <w:t xml:space="preserve"> a v souladu s podmínkami stanovenými touto Smlouvou</w:t>
      </w:r>
      <w:r>
        <w:t xml:space="preserve">; </w:t>
      </w:r>
    </w:p>
    <w:p w:rsidR="003F786E" w:rsidRDefault="00CB5118" w:rsidP="003F786E">
      <w:pPr>
        <w:pStyle w:val="Claneka"/>
      </w:pPr>
      <w:r>
        <w:t>postupovat</w:t>
      </w:r>
      <w:r w:rsidR="00BB042A">
        <w:t xml:space="preserve"> při používání Grantu</w:t>
      </w:r>
      <w:r>
        <w:t xml:space="preserve"> v souladu s právními předpisy</w:t>
      </w:r>
      <w:r w:rsidR="003F786E">
        <w:t>, etickými pravidly, pravidly o střetu zájmů a</w:t>
      </w:r>
      <w:r w:rsidR="00563C5A">
        <w:t xml:space="preserve"> dalšími pro Příjemce závaznými </w:t>
      </w:r>
      <w:r w:rsidR="003F786E">
        <w:t>pravidly</w:t>
      </w:r>
      <w:r w:rsidR="00517BD7">
        <w:t xml:space="preserve"> a </w:t>
      </w:r>
      <w:r w:rsidR="003F786E">
        <w:t>s odbornou péčí</w:t>
      </w:r>
      <w:r w:rsidR="00CA0408">
        <w:t>;</w:t>
      </w:r>
      <w:r w:rsidR="00074E6C">
        <w:t xml:space="preserve"> </w:t>
      </w:r>
    </w:p>
    <w:p w:rsidR="00563C5A" w:rsidRDefault="00563C5A" w:rsidP="003F786E">
      <w:pPr>
        <w:pStyle w:val="Claneka"/>
      </w:pPr>
      <w:r>
        <w:t>zajistit, že Grant nebude použit pro soukromé účely či osobní potřebu Příjemce, jeho zaměstnanců</w:t>
      </w:r>
      <w:r w:rsidR="00C91FA0">
        <w:t xml:space="preserve"> či jiných jeho pracovníků</w:t>
      </w:r>
      <w:r>
        <w:t>, Zdravotnických odborníků či jiných osob, ani za účelem financování doprovodných kulturních, zábavných či sportovních akcí spojených s Grantovou činností;</w:t>
      </w:r>
    </w:p>
    <w:p w:rsidR="00132F83" w:rsidRDefault="00132F83" w:rsidP="00132F83">
      <w:pPr>
        <w:pStyle w:val="Claneka"/>
      </w:pPr>
      <w:r>
        <w:t>vrátit Poskytovateli jakoukoli část Grantu, která nebude utracena nebo bude použita v rozporu s touto Smlouvou;</w:t>
      </w:r>
    </w:p>
    <w:p w:rsidR="003F786E" w:rsidRDefault="003F786E" w:rsidP="003F786E">
      <w:pPr>
        <w:pStyle w:val="Claneka"/>
      </w:pPr>
      <w:r>
        <w:t>řádně splnit ve vztahu ke Grantu své povinnosti vyplývající z právních předpisů, zejména zákona č.</w:t>
      </w:r>
      <w:r w:rsidR="00CA0408">
        <w:t> </w:t>
      </w:r>
      <w:r>
        <w:t>586/1992 Sb., o daních z příjmů, ve znění pozdějších předpisů</w:t>
      </w:r>
      <w:r w:rsidR="00074E6C">
        <w:t>; a</w:t>
      </w:r>
    </w:p>
    <w:p w:rsidR="00DE5F7A" w:rsidRPr="00DE5F7A" w:rsidRDefault="00074E6C" w:rsidP="00DE5F7A">
      <w:pPr>
        <w:pStyle w:val="Claneka"/>
      </w:pPr>
      <w:bookmarkStart w:id="3" w:name="_Ref504760022"/>
      <w:r>
        <w:t>uchovávat záznamy</w:t>
      </w:r>
      <w:r w:rsidR="009846D8">
        <w:t xml:space="preserve"> a účetní a jiné doklady</w:t>
      </w:r>
      <w:r>
        <w:t xml:space="preserve"> o</w:t>
      </w:r>
      <w:r w:rsidR="00DE5F7A">
        <w:t xml:space="preserve"> </w:t>
      </w:r>
      <w:r>
        <w:t>plnění povinností</w:t>
      </w:r>
      <w:r w:rsidR="00563C5A">
        <w:t xml:space="preserve"> Příjemce</w:t>
      </w:r>
      <w:r>
        <w:t xml:space="preserve"> dle této Smlouvy,</w:t>
      </w:r>
      <w:r w:rsidR="009846D8">
        <w:t xml:space="preserve"> zejména o způsobu použití Grantu,</w:t>
      </w:r>
      <w:r>
        <w:t xml:space="preserve"> po dobu minimálně 5 let, nestanov</w:t>
      </w:r>
      <w:r w:rsidR="00DE5F7A">
        <w:t xml:space="preserve">í-li právní předpisy dobu delší. </w:t>
      </w:r>
      <w:r w:rsidR="00DE5F7A" w:rsidRPr="00DE5F7A">
        <w:t xml:space="preserve">Poskytovatel je oprávněn kdykoli v průběhu 5 let od uzavření této Smlouvy kontrolovat, zda Příjemce řádně splnil povinnosti, které mu ukládá tato Smlouva, zejména si vyhrazuje právo kdykoli zkontrolovat, zda byl Grant použit za účelem ujednaným v článku 3 a v souladu s podmínkami stanovenými touto Smlouvou, a Příjemce je povinen na požádání poskytnout Poskytovateli </w:t>
      </w:r>
      <w:r w:rsidR="00DE5F7A">
        <w:t xml:space="preserve">veškeré relevantní záznamy a doklady </w:t>
      </w:r>
      <w:r w:rsidR="00DE5F7A" w:rsidRPr="00DE5F7A">
        <w:t>prokazující splnění těchto povinností.</w:t>
      </w:r>
      <w:bookmarkEnd w:id="3"/>
      <w:r w:rsidR="00DE5F7A" w:rsidRPr="00DE5F7A">
        <w:t xml:space="preserve"> </w:t>
      </w:r>
    </w:p>
    <w:p w:rsidR="00852636" w:rsidRDefault="008B5BA8" w:rsidP="00CA0408">
      <w:pPr>
        <w:pStyle w:val="Clanek11"/>
      </w:pPr>
      <w:r>
        <w:t>Použije-li Příjemce Grant či jeho část k úhradě nákladů spojených s aktivní či pasivní</w:t>
      </w:r>
      <w:r w:rsidR="00CA0408">
        <w:t xml:space="preserve"> účast</w:t>
      </w:r>
      <w:r w:rsidR="00D75C48">
        <w:t>í</w:t>
      </w:r>
      <w:r w:rsidR="00CA0408">
        <w:t xml:space="preserve"> </w:t>
      </w:r>
      <w:r w:rsidR="00233EC3">
        <w:t>Z</w:t>
      </w:r>
      <w:r w:rsidR="00CA0408">
        <w:t xml:space="preserve">dravotnických odborníků na </w:t>
      </w:r>
      <w:r>
        <w:t>Grantové činnosti</w:t>
      </w:r>
      <w:r w:rsidR="00CA0408">
        <w:t>,</w:t>
      </w:r>
      <w:r w:rsidR="00233EC3">
        <w:t xml:space="preserve"> je povinen zajistit, že</w:t>
      </w:r>
      <w:r w:rsidR="00A658BF">
        <w:t xml:space="preserve"> </w:t>
      </w:r>
    </w:p>
    <w:p w:rsidR="00CD6039" w:rsidRDefault="00CD6039" w:rsidP="00CD6039">
      <w:pPr>
        <w:pStyle w:val="Claneka"/>
      </w:pPr>
      <w:r>
        <w:t>jakékoli takové náklady budou vynaloženy účelně a v přiměřené výši;</w:t>
      </w:r>
    </w:p>
    <w:p w:rsidR="00C44BC7" w:rsidRDefault="00C44BC7" w:rsidP="00233EC3">
      <w:pPr>
        <w:pStyle w:val="Claneka"/>
      </w:pPr>
      <w:r>
        <w:t>jakákoli případná odměna vyplacená Zdravotnickým odborníkům za jejich práci či služby</w:t>
      </w:r>
      <w:r w:rsidR="006556B4">
        <w:t xml:space="preserve"> poskytnuté</w:t>
      </w:r>
      <w:r>
        <w:t xml:space="preserve"> v souvislosti s Grantovou činností nepřekročí spravedlivou tržní hodnotu takové práce či služeb;</w:t>
      </w:r>
    </w:p>
    <w:p w:rsidR="00C44BC7" w:rsidRDefault="00C44BC7" w:rsidP="00233EC3">
      <w:pPr>
        <w:pStyle w:val="Claneka"/>
      </w:pPr>
      <w:r>
        <w:t xml:space="preserve">jakékoli </w:t>
      </w:r>
      <w:r w:rsidR="00971E3A">
        <w:t xml:space="preserve">případné </w:t>
      </w:r>
      <w:r>
        <w:t>další náklady uhrazené ve prospěch Zdravotnických odborníků</w:t>
      </w:r>
      <w:r w:rsidR="006F6350">
        <w:t xml:space="preserve"> se</w:t>
      </w:r>
      <w:r>
        <w:t xml:space="preserve"> budou </w:t>
      </w:r>
      <w:r w:rsidR="006F6350">
        <w:t xml:space="preserve">týkat výhradně </w:t>
      </w:r>
      <w:r>
        <w:t>cestování, ubytování, pohoštění či registrační</w:t>
      </w:r>
      <w:r w:rsidR="006F6350">
        <w:t>ch poplatků;</w:t>
      </w:r>
      <w:r>
        <w:t xml:space="preserve"> a</w:t>
      </w:r>
    </w:p>
    <w:p w:rsidR="00607027" w:rsidRDefault="00971E3A" w:rsidP="00233EC3">
      <w:pPr>
        <w:pStyle w:val="Claneka"/>
      </w:pPr>
      <w:r>
        <w:t xml:space="preserve">případné </w:t>
      </w:r>
      <w:r w:rsidR="00737889">
        <w:t xml:space="preserve">cestování, </w:t>
      </w:r>
      <w:r w:rsidR="003A5560">
        <w:t>ubytování či</w:t>
      </w:r>
      <w:r w:rsidR="00737889">
        <w:t xml:space="preserve"> pohoštění</w:t>
      </w:r>
      <w:r w:rsidR="00D75C48">
        <w:t xml:space="preserve"> poskytnuté</w:t>
      </w:r>
      <w:r w:rsidR="00737889">
        <w:t xml:space="preserve"> </w:t>
      </w:r>
      <w:r w:rsidR="003A5560">
        <w:t>Zdravotnickým odborníkům</w:t>
      </w:r>
      <w:r w:rsidR="00607027">
        <w:t xml:space="preserve"> </w:t>
      </w:r>
    </w:p>
    <w:p w:rsidR="00607027" w:rsidRDefault="00607027" w:rsidP="00607027">
      <w:pPr>
        <w:pStyle w:val="Claneki"/>
      </w:pPr>
      <w:r>
        <w:t>bude omezeno na</w:t>
      </w:r>
      <w:r w:rsidR="00D75C48">
        <w:t xml:space="preserve"> hlavní účel Gra</w:t>
      </w:r>
      <w:r>
        <w:t>ntové činnosti a tento hlavní účel nezastíní;</w:t>
      </w:r>
      <w:r w:rsidR="00C44BC7">
        <w:t xml:space="preserve"> a</w:t>
      </w:r>
    </w:p>
    <w:p w:rsidR="00737889" w:rsidRDefault="00D75C48" w:rsidP="00C44BC7">
      <w:pPr>
        <w:pStyle w:val="Claneki"/>
      </w:pPr>
      <w:r>
        <w:t>bude</w:t>
      </w:r>
      <w:r w:rsidR="003A5560">
        <w:t xml:space="preserve"> </w:t>
      </w:r>
      <w:r>
        <w:t>poskytnuto jen v nezbytně nutném rozsahu</w:t>
      </w:r>
      <w:r w:rsidR="00607027">
        <w:t xml:space="preserve"> a</w:t>
      </w:r>
      <w:r>
        <w:t xml:space="preserve"> v rámci vymezeného</w:t>
      </w:r>
      <w:r w:rsidR="00607027">
        <w:t xml:space="preserve"> místa a času</w:t>
      </w:r>
      <w:r w:rsidR="00FF5B9B">
        <w:t xml:space="preserve"> konání</w:t>
      </w:r>
      <w:r w:rsidR="00607027">
        <w:t xml:space="preserve"> Grantové činnosti</w:t>
      </w:r>
      <w:r w:rsidR="00FF5B9B">
        <w:t>, přičemž místo a čas jejího konání budou zvoleny tak, aby byly z hlediska jejího hlavního účelu vhodné a přiměřené</w:t>
      </w:r>
      <w:r w:rsidR="00971E3A">
        <w:t>, zejména tak, aby umožňovaly efektivní předávání znalostí či odbornou diskuzi</w:t>
      </w:r>
      <w:r w:rsidR="006F6350">
        <w:t>.</w:t>
      </w:r>
    </w:p>
    <w:p w:rsidR="006A4F0E" w:rsidRDefault="00132F83" w:rsidP="00FD615C">
      <w:pPr>
        <w:pStyle w:val="Nadpis1"/>
      </w:pPr>
      <w:r>
        <w:t>transparentnost</w:t>
      </w:r>
    </w:p>
    <w:p w:rsidR="00BA4AC7" w:rsidRDefault="00132F83" w:rsidP="00132F83">
      <w:pPr>
        <w:pStyle w:val="Clanek11"/>
      </w:pPr>
      <w:r>
        <w:t>Příjemce bere na vědomí</w:t>
      </w:r>
      <w:r w:rsidR="00BA4AC7">
        <w:t xml:space="preserve"> a souhlasí s tím</w:t>
      </w:r>
      <w:r>
        <w:t>, že</w:t>
      </w:r>
      <w:r w:rsidR="00BA4AC7">
        <w:t xml:space="preserve"> Poskytovatel je oprávněn dle svého uvážení uveřejnit informace o poskytnutém Grantu, včetně názvu, sídla a IČ Příjemce a výše a účelu Grantu, a to mimo jiné:</w:t>
      </w:r>
    </w:p>
    <w:p w:rsidR="00BA4AC7" w:rsidRDefault="00BA4AC7" w:rsidP="00BA4AC7">
      <w:pPr>
        <w:pStyle w:val="Claneka"/>
      </w:pPr>
      <w:r>
        <w:t>na svých internetových stránkách nebo na internetových stránkách jiné společnosti ze Skupiny GSK; nebo</w:t>
      </w:r>
    </w:p>
    <w:p w:rsidR="00BA4AC7" w:rsidRDefault="00BA4AC7" w:rsidP="00BA4AC7">
      <w:pPr>
        <w:pStyle w:val="Claneka"/>
      </w:pPr>
      <w:r>
        <w:t xml:space="preserve">na internetových stránkách </w:t>
      </w:r>
      <w:hyperlink r:id="rId8" w:history="1">
        <w:r w:rsidRPr="000213FC">
          <w:rPr>
            <w:rStyle w:val="Hypertextovodkaz"/>
            <w:rFonts w:ascii="Arial Narrow" w:hAnsi="Arial Narrow"/>
          </w:rPr>
          <w:t>www.transparentnispoluprace.cz</w:t>
        </w:r>
      </w:hyperlink>
      <w:r>
        <w:t xml:space="preserve"> zřízených Asociací</w:t>
      </w:r>
      <w:r w:rsidRPr="00BA4AC7">
        <w:t xml:space="preserve"> inovativního farmaceutického průmyslu</w:t>
      </w:r>
      <w:r>
        <w:t xml:space="preserve"> na základě </w:t>
      </w:r>
      <w:r w:rsidRPr="00BA4AC7">
        <w:t>Kodex</w:t>
      </w:r>
      <w:r>
        <w:t>u</w:t>
      </w:r>
      <w:r w:rsidRPr="00BA4AC7">
        <w:t xml:space="preserve"> AIFP upravující</w:t>
      </w:r>
      <w:r>
        <w:t>ho</w:t>
      </w:r>
      <w:r w:rsidRPr="00BA4AC7">
        <w:t xml:space="preserve"> zveřejňování plateb a jiných plnění farmaceutických společností zdravotnickým odborníkům a zdravotnickým zařízením</w:t>
      </w:r>
      <w:r>
        <w:t>.</w:t>
      </w:r>
    </w:p>
    <w:p w:rsidR="00B01BDB" w:rsidRDefault="00B01BDB" w:rsidP="00B01BDB">
      <w:pPr>
        <w:pStyle w:val="Clanek11"/>
      </w:pPr>
      <w:r>
        <w:t>Příjemce v</w:t>
      </w:r>
      <w:r w:rsidR="00A5552C">
        <w:t>hodným způsobem</w:t>
      </w:r>
      <w:r>
        <w:t xml:space="preserve"> </w:t>
      </w:r>
      <w:r w:rsidR="00B058E5">
        <w:t>uzná</w:t>
      </w:r>
      <w:r>
        <w:t xml:space="preserve">, že Poskytovatel Grantovou činnost </w:t>
      </w:r>
      <w:r w:rsidR="00A5552C">
        <w:t>podpořil,</w:t>
      </w:r>
      <w:r w:rsidR="00B058E5">
        <w:t xml:space="preserve"> a to</w:t>
      </w:r>
      <w:r w:rsidR="00A5552C">
        <w:t xml:space="preserve"> zejména v  publikacích vztahujících se ke Grantové činnosti</w:t>
      </w:r>
      <w:r w:rsidR="00B058E5">
        <w:t>.</w:t>
      </w:r>
    </w:p>
    <w:p w:rsidR="00BA4AC7" w:rsidRPr="00BA4AC7" w:rsidRDefault="00BA4AC7" w:rsidP="00BA4AC7">
      <w:pPr>
        <w:pStyle w:val="Nadpis1"/>
      </w:pPr>
      <w:bookmarkStart w:id="4" w:name="_Ref504755528"/>
      <w:r w:rsidRPr="00BA4AC7">
        <w:lastRenderedPageBreak/>
        <w:t>UVEŘEJNĚNÍ SMLOUVY V REGISTRU SMLUV</w:t>
      </w:r>
      <w:bookmarkEnd w:id="4"/>
    </w:p>
    <w:p w:rsidR="00BA4AC7" w:rsidRDefault="00BA4AC7" w:rsidP="00BA4AC7">
      <w:pPr>
        <w:pStyle w:val="Clanek11"/>
      </w:pPr>
      <w:bookmarkStart w:id="5" w:name="_Ref504755485"/>
      <w:r>
        <w:t>Pro případ, že Zákon o registru stanoví povinnost tuto Smlouvu uveřejnit v registru smluv, se Strany dohodly, že její uveřejnění v registru smluv dle Zákona o registru smluv zajistí Příjemce, a to nejpozději do 30 dní od uzavření této Smlouvy a plně v souladu s požadavky Zákona o registru smluv.</w:t>
      </w:r>
      <w:bookmarkEnd w:id="5"/>
    </w:p>
    <w:p w:rsidR="00210346" w:rsidRDefault="00BA4AC7" w:rsidP="00BA4AC7">
      <w:pPr>
        <w:pStyle w:val="Clanek11"/>
      </w:pPr>
      <w:r>
        <w:t xml:space="preserve">Příjemce </w:t>
      </w:r>
      <w:r w:rsidR="00210346">
        <w:t>je povinen</w:t>
      </w:r>
    </w:p>
    <w:p w:rsidR="00210346" w:rsidRDefault="00210346" w:rsidP="00210346">
      <w:pPr>
        <w:pStyle w:val="Claneka"/>
      </w:pPr>
      <w:r>
        <w:t xml:space="preserve">znečitelnit ve Smlouvě před jejím odesláním správci registru smluv ty její části, které jsou dle Zákona o registru smluv vyloučeny z uveřejnění, a to zejména ty její části, </w:t>
      </w:r>
      <w:r w:rsidRPr="00210346">
        <w:t xml:space="preserve">které obsahují osobní údaje zaměstnanců či jiných pracovníků </w:t>
      </w:r>
      <w:r>
        <w:t>Poskytovatele</w:t>
      </w:r>
      <w:r w:rsidRPr="00210346">
        <w:t xml:space="preserve"> nebo obchodní tajemství </w:t>
      </w:r>
      <w:r>
        <w:t>Poskytovatele</w:t>
      </w:r>
      <w:r w:rsidRPr="00210346">
        <w:t xml:space="preserve">, o jehož znečitelnění </w:t>
      </w:r>
      <w:r>
        <w:t>Poskytovatel</w:t>
      </w:r>
      <w:r w:rsidRPr="00210346">
        <w:t xml:space="preserve"> písemně či e-mailem požádal</w:t>
      </w:r>
      <w:r w:rsidR="001D3E0B">
        <w:t xml:space="preserve"> či požádá</w:t>
      </w:r>
      <w:r w:rsidRPr="00210346">
        <w:t xml:space="preserve"> </w:t>
      </w:r>
      <w:r>
        <w:t>Příjemce;</w:t>
      </w:r>
    </w:p>
    <w:p w:rsidR="00210346" w:rsidRDefault="00210346" w:rsidP="00210346">
      <w:pPr>
        <w:pStyle w:val="Claneka"/>
      </w:pPr>
      <w:r>
        <w:t>uveřejnit tuto Smlouvu v registru smluv pouze v takové podobě, kterou Poskytovatel předem písemně či e-mailem odsouhlasí; a</w:t>
      </w:r>
    </w:p>
    <w:p w:rsidR="00210346" w:rsidRDefault="00210346" w:rsidP="00210346">
      <w:pPr>
        <w:pStyle w:val="Claneka"/>
      </w:pPr>
      <w:r>
        <w:t>vyplnit ve formuláři pro uveřejnění Smlouvy v registru smluv adresu datové schránky Poskytovatele, aby správce registru smluv mohl Poskytovateli zaslat potvrzení o uveřejnění podle § 5 odst. 4 Zákona o registru smluv.</w:t>
      </w:r>
    </w:p>
    <w:p w:rsidR="00BA4AC7" w:rsidRDefault="00210346" w:rsidP="00BA4AC7">
      <w:pPr>
        <w:pStyle w:val="Clanek11"/>
      </w:pPr>
      <w:r>
        <w:t xml:space="preserve">Neuveřejní-li Příjemce tuto Smlouvu v registru smluv ve lhůtě ujednané v článku </w:t>
      </w:r>
      <w:r>
        <w:fldChar w:fldCharType="begin"/>
      </w:r>
      <w:r>
        <w:instrText xml:space="preserve"> REF _Ref504755485 \r \h </w:instrText>
      </w:r>
      <w:r>
        <w:fldChar w:fldCharType="separate"/>
      </w:r>
      <w:r w:rsidR="00955995">
        <w:t>7.1</w:t>
      </w:r>
      <w:r>
        <w:fldChar w:fldCharType="end"/>
      </w:r>
      <w:r>
        <w:t xml:space="preserve">, bude </w:t>
      </w:r>
      <w:r w:rsidR="00BA4AC7">
        <w:t>Poskytovatel oprávněn tuto Smlouvu uveřejnit v registru smluv</w:t>
      </w:r>
      <w:r>
        <w:t xml:space="preserve"> sám.</w:t>
      </w:r>
      <w:r w:rsidR="00BA4AC7">
        <w:t xml:space="preserve"> </w:t>
      </w:r>
    </w:p>
    <w:p w:rsidR="00BA4AC7" w:rsidRDefault="00BA4AC7" w:rsidP="00BA4AC7">
      <w:pPr>
        <w:pStyle w:val="Clanek11"/>
      </w:pPr>
      <w:r>
        <w:t xml:space="preserve">Ujednání tohoto článku </w:t>
      </w:r>
      <w:r w:rsidR="00210346">
        <w:fldChar w:fldCharType="begin"/>
      </w:r>
      <w:r w:rsidR="00210346">
        <w:instrText xml:space="preserve"> REF _Ref504755528 \r \h </w:instrText>
      </w:r>
      <w:r w:rsidR="00210346">
        <w:fldChar w:fldCharType="separate"/>
      </w:r>
      <w:r w:rsidR="00955995">
        <w:t>7</w:t>
      </w:r>
      <w:r w:rsidR="00210346">
        <w:fldChar w:fldCharType="end"/>
      </w:r>
      <w:r>
        <w:t xml:space="preserve"> se použijí </w:t>
      </w:r>
      <w:r w:rsidRPr="00210346">
        <w:rPr>
          <w:i/>
        </w:rPr>
        <w:t>mutatis mutandis</w:t>
      </w:r>
      <w:r>
        <w:t xml:space="preserve"> také na uveřejňování jakéhokoli dodatku k této Smlouvě v registru smluv.</w:t>
      </w:r>
    </w:p>
    <w:p w:rsidR="00210346" w:rsidRDefault="00BA4AC7" w:rsidP="00BA4AC7">
      <w:pPr>
        <w:pStyle w:val="Clanek11"/>
      </w:pPr>
      <w:r>
        <w:t xml:space="preserve">Pokud Zákon o registru nestanoví povinnost tuto Smlouvu uveřejnit v registru smluv, tento </w:t>
      </w:r>
      <w:r w:rsidR="00210346">
        <w:t xml:space="preserve">článek </w:t>
      </w:r>
      <w:r w:rsidR="00210346">
        <w:fldChar w:fldCharType="begin"/>
      </w:r>
      <w:r w:rsidR="00210346">
        <w:instrText xml:space="preserve"> REF _Ref504755528 \r \h </w:instrText>
      </w:r>
      <w:r w:rsidR="00210346">
        <w:fldChar w:fldCharType="separate"/>
      </w:r>
      <w:r w:rsidR="00955995">
        <w:t>7</w:t>
      </w:r>
      <w:r w:rsidR="00210346">
        <w:fldChar w:fldCharType="end"/>
      </w:r>
      <w:r>
        <w:t xml:space="preserve"> se nepoužije.</w:t>
      </w:r>
      <w:r w:rsidR="00210346">
        <w:t xml:space="preserve"> </w:t>
      </w:r>
    </w:p>
    <w:p w:rsidR="001D3E0B" w:rsidRPr="00383B83" w:rsidRDefault="001D3E0B" w:rsidP="001D3E0B">
      <w:pPr>
        <w:pStyle w:val="Nadpis1"/>
      </w:pPr>
      <w:r w:rsidRPr="00BA4AC7">
        <w:t>FARMAKOVIGILANCE</w:t>
      </w:r>
    </w:p>
    <w:p w:rsidR="00F7706D" w:rsidRDefault="00F7706D" w:rsidP="007A5514">
      <w:pPr>
        <w:pStyle w:val="Clanek11"/>
      </w:pPr>
      <w:r>
        <w:t>Příjemce se zavazuje nahlásit Poskytovateli podezření na nežádoucí účinky Výrobků GSK, o kterých se dozvěděl, které se vyskytly na území České republiky. Hlásit je nutno bez zbytečného odkladu tj. do 24 hodin farmakovigilanční osobě Poskytovatele</w:t>
      </w:r>
      <w:r w:rsidR="007A5514">
        <w:t>, a to na e-mailovou adresu uvedenou v </w:t>
      </w:r>
      <w:r w:rsidR="007A5514">
        <w:rPr>
          <w:u w:val="single"/>
        </w:rPr>
        <w:t>příloze č. 1</w:t>
      </w:r>
      <w:r>
        <w:t>.</w:t>
      </w:r>
      <w:r w:rsidR="007A5514">
        <w:t xml:space="preserve"> Příjemce</w:t>
      </w:r>
      <w:r>
        <w:t xml:space="preserve"> nebude poskytovat žádné osobní identifikační údaje o dotčené osobě bez jejího souhlasu.</w:t>
      </w:r>
    </w:p>
    <w:p w:rsidR="001D3E0B" w:rsidRPr="00383B83" w:rsidRDefault="006559B1" w:rsidP="001D3E0B">
      <w:pPr>
        <w:pStyle w:val="Nadpis1"/>
      </w:pPr>
      <w:r>
        <w:t>komunikace stran</w:t>
      </w:r>
    </w:p>
    <w:p w:rsidR="00F136A2" w:rsidRDefault="00F136A2" w:rsidP="00F136A2">
      <w:pPr>
        <w:pStyle w:val="Clanek11"/>
      </w:pPr>
      <w:r>
        <w:t xml:space="preserve">Jakékoliv oznámení, sdělení nebo dokument, který má být doručen podle této Smlouvy, může být doručen osobně, kurýrem nebo zaslán doporučenou poštovní zásilkou a/nebo v případech výslovně sjednaných v této Smlouvě může být doručen e-mailem (elektronickou poštou) Straně, které má být doručen. Kontaktní údaje Stran tvoří </w:t>
      </w:r>
      <w:r w:rsidRPr="00F136A2">
        <w:rPr>
          <w:u w:val="single"/>
        </w:rPr>
        <w:t xml:space="preserve">přílohu č. </w:t>
      </w:r>
      <w:r w:rsidR="00D078A4">
        <w:rPr>
          <w:u w:val="single"/>
        </w:rPr>
        <w:t>1</w:t>
      </w:r>
      <w:r>
        <w:t>.</w:t>
      </w:r>
    </w:p>
    <w:p w:rsidR="00F136A2" w:rsidRDefault="00F136A2" w:rsidP="00F136A2">
      <w:pPr>
        <w:pStyle w:val="Clanek11"/>
      </w:pPr>
      <w:r>
        <w:t xml:space="preserve">Jakékoli oznámení bude považováno za řádně doručené příslušné Straně okamžikem jeho dojití do sféry adresáta. </w:t>
      </w:r>
    </w:p>
    <w:p w:rsidR="006559B1" w:rsidRDefault="00F136A2" w:rsidP="00231A7B">
      <w:pPr>
        <w:pStyle w:val="Clanek11"/>
      </w:pPr>
      <w:r>
        <w:t xml:space="preserve">Každá Strana písemně či e-mailem oznámí bez zbytečného odkladu druhé Straně jakékoliv změny kontaktních údajů uvedených v </w:t>
      </w:r>
      <w:r w:rsidRPr="00F136A2">
        <w:rPr>
          <w:u w:val="single"/>
        </w:rPr>
        <w:t xml:space="preserve">příloze č. </w:t>
      </w:r>
      <w:r w:rsidR="00D078A4">
        <w:rPr>
          <w:u w:val="single"/>
        </w:rPr>
        <w:t>1</w:t>
      </w:r>
      <w:r>
        <w:t>; doručením tohoto oznámení druhé Straně dojde ke změně kontaktních údajů dotčené Strany bez nutnosti uzavření písemného dodatku ke Smlouvě.</w:t>
      </w:r>
    </w:p>
    <w:p w:rsidR="00F136A2" w:rsidRDefault="00F136A2" w:rsidP="00F136A2">
      <w:pPr>
        <w:pStyle w:val="Clanek11"/>
        <w:keepNext/>
      </w:pPr>
      <w:r w:rsidRPr="00F136A2">
        <w:rPr>
          <w:b/>
          <w:iCs w:val="0"/>
          <w:caps/>
          <w:kern w:val="32"/>
          <w:szCs w:val="32"/>
        </w:rPr>
        <w:t xml:space="preserve">ODSTOUPENÍ OD SMLOUVY; ZRUŠENÍ </w:t>
      </w:r>
      <w:r>
        <w:rPr>
          <w:b/>
          <w:iCs w:val="0"/>
          <w:caps/>
          <w:kern w:val="32"/>
          <w:szCs w:val="32"/>
        </w:rPr>
        <w:t>grantové činnosti</w:t>
      </w:r>
    </w:p>
    <w:p w:rsidR="00F136A2" w:rsidRDefault="00F136A2" w:rsidP="00F136A2">
      <w:pPr>
        <w:pStyle w:val="Clanek11"/>
        <w:keepNext/>
      </w:pPr>
      <w:r>
        <w:t>Kterákoli Strana může od této Smlouvy odstoupit písemným oznámením doručeným druhé Straně, a to v případech stanovených touto Smlouvou nebo zákonem.</w:t>
      </w:r>
    </w:p>
    <w:p w:rsidR="00DE5F7A" w:rsidRDefault="00F136A2" w:rsidP="00F136A2">
      <w:pPr>
        <w:pStyle w:val="Clanek11"/>
      </w:pPr>
      <w:r>
        <w:t xml:space="preserve">Poskytovatel je oprávněn odstoupit od této Smlouvy v zákonem stanovených případech, zejména pak v případech podstatného porušení povinností Příjemce stanovených v této Smlouvě; za takové podstatné porušení se považuje zejména </w:t>
      </w:r>
      <w:r w:rsidR="00DE5F7A">
        <w:t>porušení povinnosti Příjemce</w:t>
      </w:r>
    </w:p>
    <w:p w:rsidR="00F136A2" w:rsidRDefault="00F136A2" w:rsidP="00DE5F7A">
      <w:pPr>
        <w:pStyle w:val="Claneka"/>
      </w:pPr>
      <w:r>
        <w:t xml:space="preserve">použít Grant výhradně za účelem ujednaným v článku </w:t>
      </w:r>
      <w:r>
        <w:fldChar w:fldCharType="begin"/>
      </w:r>
      <w:r>
        <w:instrText xml:space="preserve"> REF _Ref504676149 \r \h </w:instrText>
      </w:r>
      <w:r>
        <w:fldChar w:fldCharType="separate"/>
      </w:r>
      <w:r w:rsidR="00955995">
        <w:t>3</w:t>
      </w:r>
      <w:r>
        <w:fldChar w:fldCharType="end"/>
      </w:r>
      <w:r>
        <w:t xml:space="preserve"> a v souladu s podmínkami stanovenými touto Smlouvou</w:t>
      </w:r>
      <w:r w:rsidR="00DE5F7A">
        <w:t>; nebo</w:t>
      </w:r>
    </w:p>
    <w:p w:rsidR="00DE5F7A" w:rsidRDefault="00DE5F7A" w:rsidP="00DE5F7A">
      <w:pPr>
        <w:pStyle w:val="Claneka"/>
      </w:pPr>
      <w:r>
        <w:t>uchovávat záznamy a doklady o plnění povinností</w:t>
      </w:r>
      <w:r w:rsidR="003E4C5A">
        <w:t xml:space="preserve"> Příjemce</w:t>
      </w:r>
      <w:r>
        <w:t xml:space="preserve"> dle této Smlouvy</w:t>
      </w:r>
      <w:r w:rsidR="00114BD6">
        <w:t xml:space="preserve"> a poskytnout je Poskytovateli ve smyslu článku </w:t>
      </w:r>
      <w:r w:rsidR="00114BD6">
        <w:fldChar w:fldCharType="begin"/>
      </w:r>
      <w:r w:rsidR="00114BD6">
        <w:instrText xml:space="preserve"> REF _Ref504760022 \r \h </w:instrText>
      </w:r>
      <w:r w:rsidR="00114BD6">
        <w:fldChar w:fldCharType="separate"/>
      </w:r>
      <w:r w:rsidR="00955995">
        <w:t>5.1(f)</w:t>
      </w:r>
      <w:r w:rsidR="00114BD6">
        <w:fldChar w:fldCharType="end"/>
      </w:r>
      <w:r w:rsidR="00114BD6">
        <w:t>.</w:t>
      </w:r>
    </w:p>
    <w:p w:rsidR="00F136A2" w:rsidRDefault="00F136A2" w:rsidP="00F136A2">
      <w:pPr>
        <w:pStyle w:val="Clanek11"/>
      </w:pPr>
      <w:r>
        <w:lastRenderedPageBreak/>
        <w:t>Odstoupí-li kterákoli Strana od Smlouvy, je Příjemce povinen do 10 dní od doručení oznámení o odstoupení příslušné Straně vrátit Poskytovateli Grant.</w:t>
      </w:r>
    </w:p>
    <w:p w:rsidR="00F136A2" w:rsidRPr="00F136A2" w:rsidRDefault="00F136A2" w:rsidP="00F136A2">
      <w:pPr>
        <w:pStyle w:val="Clanek11"/>
      </w:pPr>
      <w:r>
        <w:t>Dojde-li ke zrušení Grantové činnosti, tato Smlouva se ruší a Příjemce je povinen do 10 dní od zrušení Grantové činnosti vrátit Poskytovateli Grant.</w:t>
      </w:r>
    </w:p>
    <w:p w:rsidR="001D3E0B" w:rsidRDefault="00F136A2" w:rsidP="00F136A2">
      <w:pPr>
        <w:pStyle w:val="Nadpis1"/>
      </w:pPr>
      <w:r w:rsidRPr="00F136A2">
        <w:t>ROZHODNÉ PRÁVO A ŘEŠENÍ SPORŮ</w:t>
      </w:r>
    </w:p>
    <w:p w:rsidR="00F136A2" w:rsidRDefault="00F136A2" w:rsidP="00F136A2">
      <w:pPr>
        <w:pStyle w:val="Clanek11"/>
      </w:pPr>
      <w:r>
        <w:t xml:space="preserve">Tato Smlouva se řídí a bude vykládána v souladu s právním řádem České republiky, zejména Občanským zákoníkem. </w:t>
      </w:r>
    </w:p>
    <w:p w:rsidR="00F136A2" w:rsidRDefault="00F136A2" w:rsidP="00F136A2">
      <w:pPr>
        <w:pStyle w:val="Clanek11"/>
      </w:pPr>
      <w:r>
        <w:t>Veškeré případné spory vzniklé z této Smlouvy anebo v souvislosti s ní budou řešeny smírnou cestou. Pokud Strany nevyřeší jakýkoliv spor smírnou cestou do 30 dnů od započetí sporu, bude takový spor včetně otázek platnosti, výkladu, realizace či ukončení práv vzniklých ze Smlouvy řešen věcně a místně příslušným českým soudem, a to dle sídla Poskytovatele, ledaže právní předpisy stanoví příslušnost výlučnou.</w:t>
      </w:r>
    </w:p>
    <w:p w:rsidR="00F136A2" w:rsidRDefault="00F136A2" w:rsidP="00F136A2">
      <w:pPr>
        <w:pStyle w:val="Nadpis1"/>
      </w:pPr>
      <w:r>
        <w:t>ZÁVĚREČNÁ UJEDNÁNÍ</w:t>
      </w:r>
    </w:p>
    <w:p w:rsidR="00F136A2" w:rsidRDefault="00F136A2" w:rsidP="00F136A2">
      <w:pPr>
        <w:pStyle w:val="Clanek11"/>
      </w:pPr>
      <w:r>
        <w:t>Tato Smlouva nabývá účinnosti dnem jejího podpisu poslední ze Stran</w:t>
      </w:r>
      <w:r w:rsidR="003E4C5A">
        <w:t>; podléhá-li však tato Smlouva uveřejnění v registru smluv, nabývá účinnosti dle ustanovení Zákona o registru smluv</w:t>
      </w:r>
      <w:r>
        <w:t>.</w:t>
      </w:r>
    </w:p>
    <w:p w:rsidR="00F136A2" w:rsidRDefault="00F136A2" w:rsidP="00F136A2">
      <w:pPr>
        <w:pStyle w:val="Clanek11"/>
      </w:pPr>
      <w:r>
        <w:t xml:space="preserve">Tato Smlouva obsahuje úplnou dohodu Stran ve věci předmětu této Smlouvy a nahrazuje veškeré ostatní písemné či ústní dohody uzavřené Stranami ve věci předmětu této Smlouvy. </w:t>
      </w:r>
    </w:p>
    <w:p w:rsidR="00F136A2" w:rsidRDefault="00F136A2" w:rsidP="00F136A2">
      <w:pPr>
        <w:pStyle w:val="Clanek11"/>
      </w:pPr>
      <w:r>
        <w:t xml:space="preserve">Strany ujednaly uzavření této Smlouvy v písemné formě. Tato Smlouva může být měněna nebo zrušena, pokud není ve Smlouvě uvedeno jinak, pouze písemně, a to v případě změn Smlouvy číslovanými dodatky, které musí být vlastnoručně podepsány oprávněnými zástupci obou Stran. </w:t>
      </w:r>
    </w:p>
    <w:p w:rsidR="00F136A2" w:rsidRDefault="00F136A2" w:rsidP="00F136A2">
      <w:pPr>
        <w:pStyle w:val="Clanek11"/>
      </w:pPr>
      <w:r>
        <w:t xml:space="preserve">Pro případ uzavírání této Smlouvy a dodatků k ní Strany vylučují aplikaci ustanovení § 1740 odst. 3 Občanského zákoníku, které stanoví, že smlouva je uzavřena i v případě, že mezi stranami nebylo dosaženo úplné shody projevu vůle o jejím obsahu. </w:t>
      </w:r>
    </w:p>
    <w:p w:rsidR="00F136A2" w:rsidRDefault="006C2B24" w:rsidP="00F136A2">
      <w:pPr>
        <w:pStyle w:val="Clanek11"/>
      </w:pPr>
      <w:r>
        <w:t>Příjemce</w:t>
      </w:r>
      <w:r w:rsidR="00F136A2">
        <w:t xml:space="preserve"> prohlašuje, že se podrobně seznámil s povinnostmi, které mu vyplývají z této Smlouvy, a s důsledky, které způsobí jejich případné nesplnění. V tomto kontextu 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rsidR="00F136A2" w:rsidRDefault="006C2B24" w:rsidP="006C2B24">
      <w:pPr>
        <w:pStyle w:val="Clanek11"/>
      </w:pPr>
      <w:r>
        <w:t>Strany se výslovně dohodly, že Příjemce</w:t>
      </w:r>
      <w:r w:rsidR="00F136A2">
        <w:t xml:space="preserve"> není oprávněn postoupit jakékoli své pohledávky z této Smlouvy, ani tuto Smlouvu samotnou, třetí osobě bez předchozího písemného souhlasu</w:t>
      </w:r>
      <w:r>
        <w:t xml:space="preserve"> Poskytovatele</w:t>
      </w:r>
      <w:r w:rsidR="00F136A2">
        <w:t>, a to ani částečně, ani takov</w:t>
      </w:r>
      <w:r>
        <w:t>é pohledávky jakkoli zastavit.</w:t>
      </w:r>
    </w:p>
    <w:p w:rsidR="00F136A2" w:rsidRDefault="00F136A2" w:rsidP="00F136A2">
      <w:pPr>
        <w:pStyle w:val="Clanek11"/>
      </w:pPr>
      <w:r>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F136A2" w:rsidRDefault="00F136A2" w:rsidP="00F136A2">
      <w:pPr>
        <w:pStyle w:val="Clanek11"/>
      </w:pPr>
      <w:r>
        <w:t>Jestliže kterákoli ze Stran přehlédne nebo promine jakékoliv neplnění, porušení, prodlení nebo nedodržení nějaké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F136A2" w:rsidRDefault="00F136A2" w:rsidP="00F136A2">
      <w:pPr>
        <w:pStyle w:val="Clanek11"/>
      </w:pPr>
      <w:r>
        <w:t xml:space="preserve">Strany prohlašují, že veškeré informace, které si vzájemně poskytly při uzavírání této Smlouvy, jsou úplné, pravdivé a správné a zavazují se oznámit druhé Straně jakoukoli událost nebo změnu okolností, které by způsobily během doby trvání Smlouvy nekompletnost, nepravdivost nebo nepřesnost poskytnutých informací. </w:t>
      </w:r>
    </w:p>
    <w:p w:rsidR="00F136A2" w:rsidRDefault="00F136A2" w:rsidP="00F136A2">
      <w:pPr>
        <w:pStyle w:val="Clanek11"/>
      </w:pPr>
      <w:r>
        <w:t>Strany prohlašují, že jsou způsobilé uzavřít tuto Smlouvu, že získaly veškerá potřebná povolení a souhlasy k podpisu této Smlouvy a k plnění povinností z ní vyplývajících, a tato povolení a souhlasy jsou platné a účinné v plném rozsahu.</w:t>
      </w:r>
    </w:p>
    <w:p w:rsidR="00F136A2" w:rsidRDefault="00F136A2" w:rsidP="00F136A2">
      <w:pPr>
        <w:pStyle w:val="Clanek11"/>
      </w:pPr>
      <w:r>
        <w:lastRenderedPageBreak/>
        <w:t xml:space="preserve">Tato Smlouva je vyhotovena ve dvou stejnopisech, z nichž každá Strana obdrží po jednom vyhotovení. </w:t>
      </w:r>
    </w:p>
    <w:p w:rsidR="00F136A2" w:rsidRDefault="00F136A2" w:rsidP="00F136A2">
      <w:pPr>
        <w:pStyle w:val="Clanek11"/>
      </w:pPr>
      <w:r>
        <w:t>Nedílnou součástí této Smlouvy jsou následující přílohy:</w:t>
      </w:r>
    </w:p>
    <w:p w:rsidR="00F136A2" w:rsidRDefault="00D078A4" w:rsidP="006C2B24">
      <w:pPr>
        <w:pStyle w:val="Claneka"/>
      </w:pPr>
      <w:r>
        <w:rPr>
          <w:u w:val="single"/>
        </w:rPr>
        <w:t>p</w:t>
      </w:r>
      <w:r w:rsidR="00F136A2" w:rsidRPr="006C2B24">
        <w:rPr>
          <w:u w:val="single"/>
        </w:rPr>
        <w:t>říloha č. 1</w:t>
      </w:r>
      <w:r w:rsidR="00F136A2">
        <w:t xml:space="preserve">: </w:t>
      </w:r>
      <w:r>
        <w:t>Kontaktní údaje Stran; a</w:t>
      </w:r>
    </w:p>
    <w:p w:rsidR="00F136A2" w:rsidRDefault="00D078A4" w:rsidP="006C2B24">
      <w:pPr>
        <w:pStyle w:val="Claneka"/>
      </w:pPr>
      <w:r>
        <w:rPr>
          <w:u w:val="single"/>
        </w:rPr>
        <w:t>p</w:t>
      </w:r>
      <w:r w:rsidR="00F136A2" w:rsidRPr="006C2B24">
        <w:rPr>
          <w:u w:val="single"/>
        </w:rPr>
        <w:t>říloha č. 2</w:t>
      </w:r>
      <w:r w:rsidR="00F136A2">
        <w:t xml:space="preserve">: </w:t>
      </w:r>
      <w:r w:rsidRPr="006C2B24">
        <w:t>Žádost o Grant</w:t>
      </w:r>
      <w:r>
        <w:t>.</w:t>
      </w:r>
    </w:p>
    <w:p w:rsidR="00F136A2" w:rsidRDefault="00F136A2" w:rsidP="00F136A2">
      <w:pPr>
        <w:pStyle w:val="Clanek11"/>
      </w:pPr>
      <w:r>
        <w:t>V případě rozporů mezi zněním Smlouvy samotné a zněním jejích příloh má přednost znění Smlouvy samotné.</w:t>
      </w:r>
    </w:p>
    <w:p w:rsidR="00F136A2" w:rsidRDefault="00F136A2" w:rsidP="006A0A1B">
      <w:pPr>
        <w:pStyle w:val="Bezmezer"/>
      </w:pPr>
    </w:p>
    <w:p w:rsidR="00F136A2" w:rsidRDefault="00F136A2" w:rsidP="006A0A1B">
      <w:pPr>
        <w:pStyle w:val="Bezmezer"/>
        <w:jc w:val="center"/>
      </w:pPr>
      <w:r>
        <w:t>* * *</w:t>
      </w:r>
    </w:p>
    <w:p w:rsidR="00F136A2" w:rsidRPr="006A0A1B" w:rsidRDefault="00F136A2" w:rsidP="006A0A1B">
      <w:pPr>
        <w:pStyle w:val="Bezmezer"/>
      </w:pPr>
      <w:r>
        <w:t xml:space="preserve"> </w:t>
      </w:r>
    </w:p>
    <w:p w:rsidR="00B20F4D" w:rsidRPr="00C14B97" w:rsidRDefault="00C14B97" w:rsidP="00CC3CA3">
      <w:pPr>
        <w:jc w:val="left"/>
        <w:rPr>
          <w:rFonts w:ascii="Arial Narrow" w:hAnsi="Arial Narrow" w:cs="Arial"/>
          <w:i/>
          <w:caps/>
        </w:rPr>
      </w:pPr>
      <w:r>
        <w:rPr>
          <w:rFonts w:ascii="Arial Narrow" w:hAnsi="Arial Narrow" w:cs="Arial"/>
          <w:i/>
        </w:rPr>
        <w:t>P</w:t>
      </w:r>
      <w:r w:rsidRPr="00C14B97">
        <w:rPr>
          <w:rFonts w:ascii="Arial Narrow" w:hAnsi="Arial Narrow" w:cs="Arial"/>
          <w:i/>
        </w:rPr>
        <w:t>odpisová strana následuje</w:t>
      </w:r>
      <w:r>
        <w:rPr>
          <w:rFonts w:ascii="Arial Narrow" w:hAnsi="Arial Narrow" w:cs="Arial"/>
          <w:i/>
        </w:rPr>
        <w:t>.</w:t>
      </w:r>
    </w:p>
    <w:p w:rsidR="00261137" w:rsidRPr="00383B83" w:rsidRDefault="00261137" w:rsidP="006C2B24">
      <w:pPr>
        <w:pStyle w:val="Nadpis1"/>
        <w:numPr>
          <w:ilvl w:val="0"/>
          <w:numId w:val="0"/>
        </w:numPr>
        <w:ind w:left="567" w:hanging="567"/>
      </w:pPr>
      <w:r w:rsidRPr="00383B83">
        <w:br w:type="page"/>
      </w:r>
      <w:bookmarkStart w:id="6" w:name="_Toc233105967"/>
      <w:bookmarkStart w:id="7" w:name="_Toc378669495"/>
      <w:r w:rsidR="00234A53" w:rsidRPr="00383B83">
        <w:lastRenderedPageBreak/>
        <w:t>podpisová strana</w:t>
      </w:r>
      <w:bookmarkEnd w:id="6"/>
      <w:bookmarkEnd w:id="7"/>
    </w:p>
    <w:p w:rsidR="00234A53" w:rsidRPr="00383B83" w:rsidRDefault="00635FEC" w:rsidP="00234A53">
      <w:pPr>
        <w:rPr>
          <w:rFonts w:ascii="Arial Narrow" w:hAnsi="Arial Narrow" w:cs="Arial"/>
          <w:b/>
        </w:rPr>
      </w:pPr>
      <w:r w:rsidRPr="00383B83">
        <w:rPr>
          <w:rFonts w:ascii="Arial Narrow" w:hAnsi="Arial Narrow" w:cs="Arial"/>
          <w:b/>
        </w:rPr>
        <w:t>S</w:t>
      </w:r>
      <w:r w:rsidR="00234A53" w:rsidRPr="00383B83">
        <w:rPr>
          <w:rFonts w:ascii="Arial Narrow" w:hAnsi="Arial Narrow" w:cs="Arial"/>
          <w:b/>
        </w:rPr>
        <w:t xml:space="preserve">trany tímto výslovně prohlašují, že </w:t>
      </w:r>
      <w:r w:rsidR="000708BF" w:rsidRPr="00383B83">
        <w:rPr>
          <w:rFonts w:ascii="Arial Narrow" w:hAnsi="Arial Narrow" w:cs="Arial"/>
          <w:b/>
        </w:rPr>
        <w:t xml:space="preserve">si tuto Smlouvu před jejím podpisem přečetly, že byla uzavřena po vzájemném projednání a že </w:t>
      </w:r>
      <w:r w:rsidR="00234A53" w:rsidRPr="00383B83">
        <w:rPr>
          <w:rFonts w:ascii="Arial Narrow" w:hAnsi="Arial Narrow" w:cs="Arial"/>
          <w:b/>
        </w:rPr>
        <w:t>vyjadřuje jejich pravou a svobodnou vůli, na důkaz čehož připojují níže své podpisy.</w:t>
      </w:r>
    </w:p>
    <w:tbl>
      <w:tblPr>
        <w:tblW w:w="5000" w:type="pct"/>
        <w:tblLook w:val="0000" w:firstRow="0" w:lastRow="0" w:firstColumn="0" w:lastColumn="0" w:noHBand="0" w:noVBand="0"/>
      </w:tblPr>
      <w:tblGrid>
        <w:gridCol w:w="4535"/>
        <w:gridCol w:w="4536"/>
      </w:tblGrid>
      <w:tr w:rsidR="001C2AEE" w:rsidRPr="00383B83" w:rsidTr="006C2B24">
        <w:tc>
          <w:tcPr>
            <w:tcW w:w="2500" w:type="pct"/>
          </w:tcPr>
          <w:p w:rsidR="001C2AEE" w:rsidRDefault="006C2B24" w:rsidP="001C2AEE">
            <w:pPr>
              <w:rPr>
                <w:rFonts w:ascii="Arial Narrow" w:hAnsi="Arial Narrow" w:cs="Arial"/>
                <w:b/>
              </w:rPr>
            </w:pPr>
            <w:r w:rsidRPr="006C2B24">
              <w:rPr>
                <w:rFonts w:ascii="Arial Narrow" w:hAnsi="Arial Narrow" w:cs="Arial"/>
                <w:b/>
              </w:rPr>
              <w:t>Veterinární a farmaceutická univerzita Brno</w:t>
            </w:r>
          </w:p>
          <w:p w:rsidR="006C2B24" w:rsidRPr="006C2B24" w:rsidRDefault="006C2B24" w:rsidP="001C2AEE">
            <w:pPr>
              <w:rPr>
                <w:rFonts w:ascii="Arial Narrow" w:hAnsi="Arial Narrow" w:cs="Arial"/>
                <w:b/>
              </w:rPr>
            </w:pPr>
            <w:r w:rsidRPr="006C2B24">
              <w:rPr>
                <w:rFonts w:ascii="Arial Narrow" w:hAnsi="Arial Narrow" w:cs="Arial"/>
                <w:b/>
              </w:rPr>
              <w:t>Farmaceutická fakulta</w:t>
            </w:r>
          </w:p>
        </w:tc>
        <w:tc>
          <w:tcPr>
            <w:tcW w:w="2500" w:type="pct"/>
          </w:tcPr>
          <w:p w:rsidR="001C2AEE" w:rsidRPr="00383B83" w:rsidRDefault="006C2B24" w:rsidP="006C2B24">
            <w:pPr>
              <w:jc w:val="left"/>
              <w:rPr>
                <w:rFonts w:ascii="Arial Narrow" w:hAnsi="Arial Narrow" w:cs="Arial"/>
              </w:rPr>
            </w:pPr>
            <w:r w:rsidRPr="006C2B24">
              <w:rPr>
                <w:rFonts w:ascii="Arial Narrow" w:hAnsi="Arial Narrow" w:cs="Arial"/>
                <w:b/>
              </w:rPr>
              <w:t>GlaxoSmithKline Consumer Healthcare Czech Republic s.r.o.</w:t>
            </w:r>
          </w:p>
        </w:tc>
      </w:tr>
      <w:tr w:rsidR="001C2AEE" w:rsidRPr="00383B83" w:rsidTr="006C2B24">
        <w:tc>
          <w:tcPr>
            <w:tcW w:w="2500" w:type="pct"/>
          </w:tcPr>
          <w:p w:rsidR="001C2AEE" w:rsidRPr="00383B83" w:rsidRDefault="001C2AEE" w:rsidP="001C2AEE">
            <w:pPr>
              <w:rPr>
                <w:rFonts w:ascii="Arial Narrow" w:hAnsi="Arial Narrow" w:cs="Arial"/>
              </w:rPr>
            </w:pPr>
            <w:r w:rsidRPr="00383B83">
              <w:rPr>
                <w:rFonts w:ascii="Arial Narrow" w:hAnsi="Arial Narrow" w:cs="Arial"/>
              </w:rPr>
              <w:t xml:space="preserve">Datum: </w:t>
            </w:r>
          </w:p>
        </w:tc>
        <w:tc>
          <w:tcPr>
            <w:tcW w:w="2500" w:type="pct"/>
          </w:tcPr>
          <w:p w:rsidR="001C2AEE" w:rsidRPr="00383B83" w:rsidRDefault="001C2AEE" w:rsidP="001C2AEE">
            <w:pPr>
              <w:rPr>
                <w:rFonts w:ascii="Arial Narrow" w:hAnsi="Arial Narrow" w:cs="Arial"/>
                <w:b/>
              </w:rPr>
            </w:pPr>
            <w:r w:rsidRPr="00383B83">
              <w:rPr>
                <w:rFonts w:ascii="Arial Narrow" w:hAnsi="Arial Narrow" w:cs="Arial"/>
              </w:rPr>
              <w:t xml:space="preserve">Datum: </w:t>
            </w:r>
          </w:p>
        </w:tc>
      </w:tr>
      <w:tr w:rsidR="001C2AEE" w:rsidRPr="00383B83" w:rsidTr="006C2B24">
        <w:tc>
          <w:tcPr>
            <w:tcW w:w="2500" w:type="pct"/>
          </w:tcPr>
          <w:p w:rsidR="001C2AEE" w:rsidRPr="00383B83" w:rsidRDefault="001C2AEE" w:rsidP="001C2AEE">
            <w:pPr>
              <w:rPr>
                <w:rFonts w:ascii="Arial Narrow" w:hAnsi="Arial Narrow" w:cs="Arial"/>
              </w:rPr>
            </w:pPr>
          </w:p>
          <w:p w:rsidR="001C2AEE" w:rsidRPr="00383B83" w:rsidRDefault="001C2AEE" w:rsidP="001C2AEE">
            <w:pPr>
              <w:rPr>
                <w:rFonts w:ascii="Arial Narrow" w:hAnsi="Arial Narrow" w:cs="Arial"/>
              </w:rPr>
            </w:pPr>
            <w:r w:rsidRPr="00383B83">
              <w:rPr>
                <w:rFonts w:ascii="Arial Narrow" w:hAnsi="Arial Narrow" w:cs="Arial"/>
              </w:rPr>
              <w:t>_______________________________________</w:t>
            </w:r>
          </w:p>
        </w:tc>
        <w:tc>
          <w:tcPr>
            <w:tcW w:w="2500" w:type="pct"/>
          </w:tcPr>
          <w:p w:rsidR="001C2AEE" w:rsidRPr="00383B83" w:rsidRDefault="001C2AEE" w:rsidP="001C2AEE">
            <w:pPr>
              <w:rPr>
                <w:rFonts w:ascii="Arial Narrow" w:hAnsi="Arial Narrow" w:cs="Arial"/>
              </w:rPr>
            </w:pPr>
          </w:p>
          <w:p w:rsidR="001C2AEE" w:rsidRPr="00383B83" w:rsidRDefault="001C2AEE" w:rsidP="001C2AEE">
            <w:pPr>
              <w:rPr>
                <w:rFonts w:ascii="Arial Narrow" w:hAnsi="Arial Narrow" w:cs="Arial"/>
              </w:rPr>
            </w:pPr>
            <w:r w:rsidRPr="00383B83">
              <w:rPr>
                <w:rFonts w:ascii="Arial Narrow" w:hAnsi="Arial Narrow" w:cs="Arial"/>
              </w:rPr>
              <w:t>_______________________________________</w:t>
            </w:r>
          </w:p>
        </w:tc>
      </w:tr>
      <w:tr w:rsidR="001C2AEE" w:rsidRPr="00383B83" w:rsidTr="006C2B24">
        <w:tc>
          <w:tcPr>
            <w:tcW w:w="2500" w:type="pct"/>
          </w:tcPr>
          <w:p w:rsidR="001C2AEE" w:rsidRPr="00383B83" w:rsidRDefault="00C83373" w:rsidP="00612D7D">
            <w:pPr>
              <w:jc w:val="left"/>
              <w:rPr>
                <w:rFonts w:ascii="Arial Narrow" w:hAnsi="Arial Narrow" w:cs="Arial"/>
              </w:rPr>
            </w:pPr>
            <w:r w:rsidRPr="00383B83">
              <w:rPr>
                <w:rFonts w:ascii="Arial Narrow" w:hAnsi="Arial Narrow" w:cs="Arial"/>
              </w:rPr>
              <w:t>J</w:t>
            </w:r>
            <w:r w:rsidR="001C2AEE" w:rsidRPr="00383B83">
              <w:rPr>
                <w:rFonts w:ascii="Arial Narrow" w:hAnsi="Arial Narrow" w:cs="Arial"/>
              </w:rPr>
              <w:t xml:space="preserve">méno: </w:t>
            </w:r>
            <w:r w:rsidR="00955995" w:rsidRPr="00955995">
              <w:rPr>
                <w:rFonts w:ascii="Arial Narrow" w:hAnsi="Arial Narrow" w:cs="Arial"/>
                <w:b/>
              </w:rPr>
              <w:t>PharmDr. Jan Šaloun, Ph.D.</w:t>
            </w:r>
            <w:r w:rsidR="006C2B24" w:rsidRPr="00612D7D">
              <w:rPr>
                <w:rFonts w:ascii="Arial Narrow" w:hAnsi="Arial Narrow" w:cs="Arial"/>
              </w:rPr>
              <w:t xml:space="preserve"> </w:t>
            </w:r>
          </w:p>
          <w:p w:rsidR="001C2AEE" w:rsidRPr="00383B83" w:rsidRDefault="00C83373" w:rsidP="001C2AEE">
            <w:pPr>
              <w:rPr>
                <w:rFonts w:ascii="Arial Narrow" w:hAnsi="Arial Narrow" w:cs="Arial"/>
              </w:rPr>
            </w:pPr>
            <w:r w:rsidRPr="00383B83">
              <w:rPr>
                <w:rFonts w:ascii="Arial Narrow" w:hAnsi="Arial Narrow" w:cs="Arial"/>
              </w:rPr>
              <w:t>F</w:t>
            </w:r>
            <w:r w:rsidR="001C2AEE" w:rsidRPr="00383B83">
              <w:rPr>
                <w:rFonts w:ascii="Arial Narrow" w:hAnsi="Arial Narrow" w:cs="Arial"/>
              </w:rPr>
              <w:t xml:space="preserve">unkce: </w:t>
            </w:r>
            <w:r w:rsidR="00955995" w:rsidRPr="00955995">
              <w:rPr>
                <w:rFonts w:ascii="Arial Narrow" w:hAnsi="Arial Narrow" w:cs="Arial"/>
                <w:bCs/>
                <w:szCs w:val="22"/>
              </w:rPr>
              <w:t>vedoucí Vzdělávacího institutu FaF VFU Brno</w:t>
            </w:r>
          </w:p>
        </w:tc>
        <w:tc>
          <w:tcPr>
            <w:tcW w:w="2500" w:type="pct"/>
          </w:tcPr>
          <w:p w:rsidR="006C2B24" w:rsidRDefault="00C83373" w:rsidP="001C2AEE">
            <w:pPr>
              <w:rPr>
                <w:rFonts w:ascii="Arial Narrow" w:hAnsi="Arial Narrow" w:cs="Arial"/>
                <w:bCs/>
                <w:szCs w:val="22"/>
              </w:rPr>
            </w:pPr>
            <w:r w:rsidRPr="00383B83">
              <w:rPr>
                <w:rFonts w:ascii="Arial Narrow" w:hAnsi="Arial Narrow" w:cs="Arial"/>
              </w:rPr>
              <w:t>J</w:t>
            </w:r>
            <w:r w:rsidR="001C2AEE" w:rsidRPr="00383B83">
              <w:rPr>
                <w:rFonts w:ascii="Arial Narrow" w:hAnsi="Arial Narrow" w:cs="Arial"/>
              </w:rPr>
              <w:t xml:space="preserve">méno: </w:t>
            </w:r>
            <w:r w:rsidR="006C2B24" w:rsidRPr="006C2B24">
              <w:rPr>
                <w:rFonts w:ascii="Arial Narrow" w:hAnsi="Arial Narrow" w:cs="Arial"/>
                <w:b/>
              </w:rPr>
              <w:t>T</w:t>
            </w:r>
            <w:r w:rsidR="006C2B24" w:rsidRPr="006C2B24">
              <w:rPr>
                <w:rFonts w:ascii="Arial Narrow" w:hAnsi="Arial Narrow" w:cs="Arial"/>
                <w:b/>
                <w:bCs/>
                <w:szCs w:val="22"/>
              </w:rPr>
              <w:t xml:space="preserve">omáš </w:t>
            </w:r>
            <w:r w:rsidR="006C2B24">
              <w:rPr>
                <w:rFonts w:ascii="Arial Narrow" w:hAnsi="Arial Narrow" w:cs="Arial"/>
                <w:b/>
                <w:bCs/>
                <w:szCs w:val="22"/>
              </w:rPr>
              <w:t>F</w:t>
            </w:r>
            <w:r w:rsidR="006C2B24" w:rsidRPr="006C2B24">
              <w:rPr>
                <w:rFonts w:ascii="Arial Narrow" w:hAnsi="Arial Narrow" w:cs="Arial"/>
                <w:b/>
                <w:bCs/>
                <w:szCs w:val="22"/>
              </w:rPr>
              <w:t>ojt</w:t>
            </w:r>
          </w:p>
          <w:p w:rsidR="001C2AEE" w:rsidRPr="00383B83" w:rsidRDefault="00C83373" w:rsidP="001C2AEE">
            <w:pPr>
              <w:rPr>
                <w:rFonts w:ascii="Arial Narrow" w:hAnsi="Arial Narrow" w:cs="Arial"/>
              </w:rPr>
            </w:pPr>
            <w:r w:rsidRPr="00383B83">
              <w:rPr>
                <w:rFonts w:ascii="Arial Narrow" w:hAnsi="Arial Narrow" w:cs="Arial"/>
              </w:rPr>
              <w:t>F</w:t>
            </w:r>
            <w:r w:rsidR="001C2AEE" w:rsidRPr="00383B83">
              <w:rPr>
                <w:rFonts w:ascii="Arial Narrow" w:hAnsi="Arial Narrow" w:cs="Arial"/>
              </w:rPr>
              <w:t xml:space="preserve">unkce: </w:t>
            </w:r>
            <w:r w:rsidR="006C2B24">
              <w:rPr>
                <w:rFonts w:ascii="Arial Narrow" w:hAnsi="Arial Narrow" w:cs="Arial"/>
                <w:bCs/>
                <w:szCs w:val="22"/>
              </w:rPr>
              <w:t>jednatel</w:t>
            </w:r>
          </w:p>
        </w:tc>
      </w:tr>
      <w:tr w:rsidR="00955995" w:rsidRPr="00383B83" w:rsidTr="00936008">
        <w:tc>
          <w:tcPr>
            <w:tcW w:w="2500" w:type="pct"/>
          </w:tcPr>
          <w:p w:rsidR="00955995" w:rsidRPr="00383B83" w:rsidRDefault="00955995" w:rsidP="00955995">
            <w:pPr>
              <w:rPr>
                <w:rFonts w:ascii="Arial Narrow" w:hAnsi="Arial Narrow" w:cs="Arial"/>
              </w:rPr>
            </w:pPr>
            <w:r w:rsidRPr="00383B83">
              <w:rPr>
                <w:rFonts w:ascii="Arial Narrow" w:hAnsi="Arial Narrow" w:cs="Arial"/>
              </w:rPr>
              <w:t xml:space="preserve">Datum: </w:t>
            </w:r>
          </w:p>
        </w:tc>
        <w:tc>
          <w:tcPr>
            <w:tcW w:w="2500" w:type="pct"/>
          </w:tcPr>
          <w:p w:rsidR="00955995" w:rsidRPr="00383B83" w:rsidRDefault="00955995" w:rsidP="00955995">
            <w:pPr>
              <w:rPr>
                <w:rFonts w:ascii="Arial Narrow" w:hAnsi="Arial Narrow" w:cs="Arial"/>
                <w:b/>
              </w:rPr>
            </w:pPr>
            <w:r w:rsidRPr="00383B83">
              <w:rPr>
                <w:rFonts w:ascii="Arial Narrow" w:hAnsi="Arial Narrow" w:cs="Arial"/>
              </w:rPr>
              <w:t xml:space="preserve">Datum: </w:t>
            </w:r>
          </w:p>
        </w:tc>
      </w:tr>
      <w:tr w:rsidR="00955995" w:rsidRPr="00383B83" w:rsidTr="006C2B24">
        <w:tc>
          <w:tcPr>
            <w:tcW w:w="2500" w:type="pct"/>
          </w:tcPr>
          <w:p w:rsidR="00955995" w:rsidRPr="00383B83" w:rsidRDefault="00955995" w:rsidP="00955995">
            <w:pPr>
              <w:rPr>
                <w:rFonts w:ascii="Arial Narrow" w:hAnsi="Arial Narrow" w:cs="Arial"/>
              </w:rPr>
            </w:pPr>
          </w:p>
          <w:p w:rsidR="00955995" w:rsidRPr="00383B83" w:rsidRDefault="00955995" w:rsidP="00955995">
            <w:pPr>
              <w:rPr>
                <w:rFonts w:ascii="Arial Narrow" w:hAnsi="Arial Narrow" w:cs="Arial"/>
              </w:rPr>
            </w:pPr>
            <w:r w:rsidRPr="00383B83">
              <w:rPr>
                <w:rFonts w:ascii="Arial Narrow" w:hAnsi="Arial Narrow" w:cs="Arial"/>
              </w:rPr>
              <w:t>_______________________________________</w:t>
            </w:r>
          </w:p>
        </w:tc>
        <w:tc>
          <w:tcPr>
            <w:tcW w:w="2500" w:type="pct"/>
          </w:tcPr>
          <w:p w:rsidR="00955995" w:rsidRPr="00383B83" w:rsidRDefault="00955995" w:rsidP="00955995">
            <w:pPr>
              <w:rPr>
                <w:rFonts w:ascii="Arial Narrow" w:hAnsi="Arial Narrow" w:cs="Arial"/>
              </w:rPr>
            </w:pPr>
          </w:p>
          <w:p w:rsidR="00955995" w:rsidRPr="00383B83" w:rsidRDefault="00955995" w:rsidP="00955995">
            <w:pPr>
              <w:rPr>
                <w:rFonts w:ascii="Arial Narrow" w:hAnsi="Arial Narrow" w:cs="Arial"/>
              </w:rPr>
            </w:pPr>
            <w:r w:rsidRPr="00383B83">
              <w:rPr>
                <w:rFonts w:ascii="Arial Narrow" w:hAnsi="Arial Narrow" w:cs="Arial"/>
              </w:rPr>
              <w:t>____________________________________</w:t>
            </w:r>
          </w:p>
        </w:tc>
      </w:tr>
      <w:tr w:rsidR="00955995" w:rsidRPr="00383B83" w:rsidTr="006C2B24">
        <w:tc>
          <w:tcPr>
            <w:tcW w:w="2500" w:type="pct"/>
          </w:tcPr>
          <w:p w:rsidR="00955995" w:rsidRPr="00383B83" w:rsidRDefault="00955995" w:rsidP="00955995">
            <w:pPr>
              <w:jc w:val="left"/>
              <w:rPr>
                <w:rFonts w:ascii="Arial Narrow" w:hAnsi="Arial Narrow" w:cs="Arial"/>
              </w:rPr>
            </w:pPr>
            <w:r w:rsidRPr="00383B83">
              <w:rPr>
                <w:rFonts w:ascii="Arial Narrow" w:hAnsi="Arial Narrow" w:cs="Arial"/>
              </w:rPr>
              <w:t xml:space="preserve">Jméno: </w:t>
            </w:r>
            <w:r w:rsidRPr="00955995">
              <w:rPr>
                <w:rFonts w:ascii="Arial Narrow" w:hAnsi="Arial Narrow" w:cs="Arial"/>
                <w:b/>
              </w:rPr>
              <w:t>Doc. PharmDr. Ing. Radka Opatřilová,</w:t>
            </w:r>
            <w:r w:rsidRPr="00955995">
              <w:rPr>
                <w:rFonts w:ascii="Arial Narrow" w:hAnsi="Arial Narrow" w:cs="Arial"/>
                <w:b/>
              </w:rPr>
              <w:t xml:space="preserve"> </w:t>
            </w:r>
            <w:r w:rsidRPr="00955995">
              <w:rPr>
                <w:rFonts w:ascii="Arial Narrow" w:hAnsi="Arial Narrow" w:cs="Arial"/>
                <w:b/>
              </w:rPr>
              <w:t>Ph.D.</w:t>
            </w:r>
            <w:r w:rsidRPr="00955995">
              <w:rPr>
                <w:rFonts w:ascii="Arial Narrow" w:hAnsi="Arial Narrow" w:cs="Arial"/>
                <w:b/>
              </w:rPr>
              <w:t>,</w:t>
            </w:r>
            <w:r w:rsidRPr="00955995">
              <w:rPr>
                <w:rFonts w:ascii="Arial Narrow" w:hAnsi="Arial Narrow" w:cs="Arial"/>
                <w:b/>
              </w:rPr>
              <w:t xml:space="preserve"> MBA</w:t>
            </w:r>
            <w:bookmarkStart w:id="8" w:name="_GoBack"/>
            <w:bookmarkEnd w:id="8"/>
          </w:p>
          <w:p w:rsidR="00955995" w:rsidRPr="00383B83" w:rsidRDefault="00955995" w:rsidP="00955995">
            <w:pPr>
              <w:rPr>
                <w:rFonts w:ascii="Arial Narrow" w:hAnsi="Arial Narrow" w:cs="Arial"/>
              </w:rPr>
            </w:pPr>
            <w:r w:rsidRPr="00383B83">
              <w:rPr>
                <w:rFonts w:ascii="Arial Narrow" w:hAnsi="Arial Narrow" w:cs="Arial"/>
              </w:rPr>
              <w:t xml:space="preserve">Funkce: </w:t>
            </w:r>
            <w:r w:rsidRPr="006C2B24">
              <w:rPr>
                <w:rFonts w:ascii="Arial Narrow" w:hAnsi="Arial Narrow" w:cs="Arial"/>
                <w:bCs/>
                <w:szCs w:val="22"/>
              </w:rPr>
              <w:t>děkan</w:t>
            </w:r>
            <w:r>
              <w:rPr>
                <w:rFonts w:ascii="Arial Narrow" w:hAnsi="Arial Narrow" w:cs="Arial"/>
                <w:bCs/>
                <w:szCs w:val="22"/>
              </w:rPr>
              <w:t>ka</w:t>
            </w:r>
            <w:r w:rsidRPr="006C2B24">
              <w:rPr>
                <w:rFonts w:ascii="Arial Narrow" w:hAnsi="Arial Narrow" w:cs="Arial"/>
                <w:bCs/>
                <w:szCs w:val="22"/>
              </w:rPr>
              <w:t xml:space="preserve"> fakulty</w:t>
            </w:r>
          </w:p>
        </w:tc>
        <w:tc>
          <w:tcPr>
            <w:tcW w:w="2500" w:type="pct"/>
          </w:tcPr>
          <w:p w:rsidR="00955995" w:rsidRPr="00383B83" w:rsidRDefault="00955995" w:rsidP="00955995">
            <w:pPr>
              <w:rPr>
                <w:rFonts w:ascii="Arial Narrow" w:hAnsi="Arial Narrow" w:cs="Arial"/>
              </w:rPr>
            </w:pPr>
            <w:r w:rsidRPr="00383B83">
              <w:rPr>
                <w:rFonts w:ascii="Arial Narrow" w:hAnsi="Arial Narrow" w:cs="Arial"/>
              </w:rPr>
              <w:t xml:space="preserve">Jméno: </w:t>
            </w:r>
            <w:r w:rsidRPr="006C2B24">
              <w:rPr>
                <w:rFonts w:ascii="Arial Narrow" w:hAnsi="Arial Narrow" w:cs="Arial"/>
                <w:b/>
              </w:rPr>
              <w:t>P</w:t>
            </w:r>
            <w:r w:rsidRPr="006C2B24">
              <w:rPr>
                <w:rFonts w:ascii="Arial Narrow" w:hAnsi="Arial Narrow" w:cs="Arial"/>
                <w:b/>
                <w:bCs/>
                <w:szCs w:val="22"/>
              </w:rPr>
              <w:t xml:space="preserve">avel </w:t>
            </w:r>
            <w:r>
              <w:rPr>
                <w:rFonts w:ascii="Arial Narrow" w:hAnsi="Arial Narrow" w:cs="Arial"/>
                <w:b/>
                <w:bCs/>
                <w:szCs w:val="22"/>
              </w:rPr>
              <w:t>B</w:t>
            </w:r>
            <w:r w:rsidRPr="006C2B24">
              <w:rPr>
                <w:rFonts w:ascii="Arial Narrow" w:hAnsi="Arial Narrow" w:cs="Arial"/>
                <w:b/>
                <w:bCs/>
                <w:szCs w:val="22"/>
              </w:rPr>
              <w:t>ehenský</w:t>
            </w:r>
          </w:p>
          <w:p w:rsidR="00955995" w:rsidRPr="00383B83" w:rsidRDefault="00955995" w:rsidP="00955995">
            <w:pPr>
              <w:rPr>
                <w:rFonts w:ascii="Arial Narrow" w:hAnsi="Arial Narrow" w:cs="Arial"/>
              </w:rPr>
            </w:pPr>
            <w:r w:rsidRPr="00383B83">
              <w:rPr>
                <w:rFonts w:ascii="Arial Narrow" w:hAnsi="Arial Narrow" w:cs="Arial"/>
              </w:rPr>
              <w:t xml:space="preserve">Funkce: </w:t>
            </w:r>
            <w:r>
              <w:rPr>
                <w:rFonts w:ascii="Arial Narrow" w:hAnsi="Arial Narrow" w:cs="Arial"/>
                <w:bCs/>
                <w:szCs w:val="22"/>
              </w:rPr>
              <w:t>jednatel</w:t>
            </w:r>
          </w:p>
        </w:tc>
      </w:tr>
    </w:tbl>
    <w:p w:rsidR="0034550B" w:rsidRDefault="0034550B" w:rsidP="001C2AEE">
      <w:pPr>
        <w:rPr>
          <w:rFonts w:ascii="Arial Narrow" w:hAnsi="Arial Narrow" w:cs="Arial"/>
        </w:rPr>
      </w:pPr>
    </w:p>
    <w:p w:rsidR="0034550B" w:rsidRDefault="0034550B">
      <w:pPr>
        <w:spacing w:before="0" w:after="0"/>
        <w:jc w:val="left"/>
        <w:rPr>
          <w:rFonts w:ascii="Arial Narrow" w:hAnsi="Arial Narrow" w:cs="Arial"/>
        </w:rPr>
      </w:pPr>
      <w:r>
        <w:rPr>
          <w:rFonts w:ascii="Arial Narrow" w:hAnsi="Arial Narrow" w:cs="Arial"/>
        </w:rPr>
        <w:br w:type="page"/>
      </w:r>
    </w:p>
    <w:p w:rsidR="0034550B" w:rsidRPr="0034550B" w:rsidRDefault="0034550B" w:rsidP="0034550B">
      <w:pPr>
        <w:pStyle w:val="Bezmezer"/>
        <w:spacing w:before="120" w:after="120"/>
        <w:jc w:val="center"/>
        <w:rPr>
          <w:b/>
          <w:u w:val="single"/>
        </w:rPr>
      </w:pPr>
      <w:r w:rsidRPr="0034550B">
        <w:rPr>
          <w:b/>
          <w:u w:val="single"/>
        </w:rPr>
        <w:lastRenderedPageBreak/>
        <w:t>PŘÍLOHA Č. 1</w:t>
      </w:r>
    </w:p>
    <w:p w:rsidR="0034550B" w:rsidRDefault="0034550B" w:rsidP="0034550B">
      <w:pPr>
        <w:pStyle w:val="Bezmezer"/>
        <w:spacing w:before="120" w:after="120"/>
        <w:jc w:val="center"/>
        <w:rPr>
          <w:b/>
        </w:rPr>
      </w:pPr>
      <w:r w:rsidRPr="0034550B">
        <w:rPr>
          <w:b/>
        </w:rPr>
        <w:t>KONTAKTNÍ ÚDAJE STRAN</w:t>
      </w:r>
    </w:p>
    <w:p w:rsidR="0034550B" w:rsidRPr="0034550B" w:rsidRDefault="0034550B" w:rsidP="0034550B">
      <w:pPr>
        <w:pStyle w:val="Bezmezer"/>
        <w:spacing w:before="480" w:after="120"/>
        <w:rPr>
          <w:b/>
        </w:rPr>
      </w:pPr>
      <w:r w:rsidRPr="0034550B">
        <w:rPr>
          <w:b/>
        </w:rPr>
        <w:t>1.</w:t>
      </w:r>
      <w:r w:rsidRPr="0034550B">
        <w:rPr>
          <w:b/>
        </w:rPr>
        <w:tab/>
        <w:t>KONTAKTNÍ ÚDAJE POSKYTOVATELE:</w:t>
      </w:r>
    </w:p>
    <w:p w:rsidR="0034550B" w:rsidRPr="0034550B" w:rsidRDefault="0034550B" w:rsidP="0034550B">
      <w:pPr>
        <w:pStyle w:val="Bezmezer"/>
        <w:spacing w:before="120" w:after="120"/>
        <w:ind w:left="720"/>
        <w:rPr>
          <w:b/>
        </w:rPr>
      </w:pPr>
      <w:r w:rsidRPr="0034550B">
        <w:rPr>
          <w:b/>
        </w:rPr>
        <w:t>GlaxoSmithKline Consumer Healthcare Czech Republic s.r.o.</w:t>
      </w:r>
    </w:p>
    <w:p w:rsidR="0034550B" w:rsidRPr="0034550B" w:rsidRDefault="0034550B" w:rsidP="0034550B">
      <w:pPr>
        <w:pStyle w:val="Bezmezer"/>
        <w:spacing w:before="120" w:after="120"/>
        <w:ind w:left="720"/>
        <w:rPr>
          <w:u w:val="single"/>
        </w:rPr>
      </w:pPr>
      <w:r w:rsidRPr="0034550B">
        <w:rPr>
          <w:u w:val="single"/>
        </w:rPr>
        <w:t>Kontaktn</w:t>
      </w:r>
      <w:r w:rsidR="00FC31B0">
        <w:rPr>
          <w:u w:val="single"/>
        </w:rPr>
        <w:t>á</w:t>
      </w:r>
      <w:r w:rsidRPr="0034550B">
        <w:rPr>
          <w:u w:val="single"/>
        </w:rPr>
        <w:t xml:space="preserve"> osob</w:t>
      </w:r>
      <w:r w:rsidR="00FC31B0">
        <w:rPr>
          <w:u w:val="single"/>
        </w:rPr>
        <w:t>a</w:t>
      </w:r>
      <w:r w:rsidRPr="0034550B">
        <w:rPr>
          <w:u w:val="single"/>
        </w:rPr>
        <w:t>:</w:t>
      </w:r>
    </w:p>
    <w:p w:rsidR="0034550B" w:rsidRPr="0034550B" w:rsidRDefault="0034550B" w:rsidP="0034550B">
      <w:pPr>
        <w:pStyle w:val="Bezmezer"/>
        <w:ind w:left="720"/>
      </w:pPr>
      <w:r w:rsidRPr="0034550B">
        <w:t xml:space="preserve">jméno: </w:t>
      </w:r>
      <w:r w:rsidRPr="0034550B">
        <w:tab/>
      </w:r>
      <w:r w:rsidRPr="0034550B">
        <w:tab/>
      </w:r>
      <w:r w:rsidR="00FC31B0">
        <w:t xml:space="preserve">Zuzana Orszaghová </w:t>
      </w:r>
    </w:p>
    <w:p w:rsidR="0034550B" w:rsidRPr="0034550B" w:rsidRDefault="0034550B" w:rsidP="0034550B">
      <w:pPr>
        <w:pStyle w:val="Bezmezer"/>
        <w:ind w:left="720"/>
      </w:pPr>
      <w:r w:rsidRPr="0034550B">
        <w:t>e-mail:</w:t>
      </w:r>
      <w:r w:rsidRPr="0034550B">
        <w:tab/>
      </w:r>
      <w:r w:rsidRPr="0034550B">
        <w:tab/>
      </w:r>
      <w:r w:rsidR="00FC31B0">
        <w:t>zuzana.z.orszaghova@gsk.com</w:t>
      </w:r>
    </w:p>
    <w:p w:rsidR="0034550B" w:rsidRPr="006A0A1B" w:rsidRDefault="0034550B" w:rsidP="0034550B">
      <w:pPr>
        <w:pStyle w:val="Bezmezer"/>
        <w:ind w:left="720"/>
      </w:pPr>
      <w:r w:rsidRPr="0034550B">
        <w:t xml:space="preserve">tel: </w:t>
      </w:r>
      <w:r w:rsidRPr="0034550B">
        <w:tab/>
      </w:r>
      <w:r w:rsidRPr="0034550B">
        <w:tab/>
      </w:r>
      <w:r w:rsidR="00FC31B0">
        <w:t xml:space="preserve">731 637 291 </w:t>
      </w:r>
    </w:p>
    <w:p w:rsidR="0034550B" w:rsidRPr="0034550B" w:rsidRDefault="0034550B" w:rsidP="0034550B">
      <w:pPr>
        <w:pStyle w:val="Bezmezer"/>
        <w:ind w:left="720"/>
      </w:pPr>
    </w:p>
    <w:p w:rsidR="0034550B" w:rsidRPr="0034550B" w:rsidRDefault="0034550B" w:rsidP="00D078A4">
      <w:pPr>
        <w:pStyle w:val="Bezmezer"/>
        <w:spacing w:before="120" w:after="120"/>
        <w:ind w:left="720"/>
        <w:rPr>
          <w:u w:val="single"/>
        </w:rPr>
      </w:pPr>
      <w:r>
        <w:rPr>
          <w:u w:val="single"/>
        </w:rPr>
        <w:t>Kontaktní údaje</w:t>
      </w:r>
      <w:r w:rsidRPr="0034550B">
        <w:rPr>
          <w:u w:val="single"/>
        </w:rPr>
        <w:t xml:space="preserve"> pro hlášení podezření na nežádoucí účinky</w:t>
      </w:r>
      <w:r w:rsidR="00D078A4">
        <w:rPr>
          <w:u w:val="single"/>
        </w:rPr>
        <w:t xml:space="preserve"> (farmakovigilance)</w:t>
      </w:r>
      <w:r w:rsidRPr="0034550B">
        <w:rPr>
          <w:u w:val="single"/>
        </w:rPr>
        <w:t>:</w:t>
      </w:r>
    </w:p>
    <w:p w:rsidR="0034550B" w:rsidRPr="0034550B" w:rsidRDefault="0034550B" w:rsidP="0034550B">
      <w:pPr>
        <w:pStyle w:val="Bezmezer"/>
        <w:ind w:left="720"/>
      </w:pPr>
      <w:r w:rsidRPr="0034550B">
        <w:t xml:space="preserve">e-mail: </w:t>
      </w:r>
      <w:r w:rsidRPr="0034550B">
        <w:tab/>
      </w:r>
      <w:r w:rsidRPr="0034550B">
        <w:tab/>
      </w:r>
      <w:hyperlink r:id="rId9" w:history="1">
        <w:r w:rsidR="00FC31B0" w:rsidRPr="006B2D0F">
          <w:rPr>
            <w:rStyle w:val="Hypertextovodkaz"/>
            <w:rFonts w:ascii="Arial Narrow" w:hAnsi="Arial Narrow"/>
          </w:rPr>
          <w:t>ch.safety@gsk.com</w:t>
        </w:r>
      </w:hyperlink>
      <w:r>
        <w:t xml:space="preserve"> </w:t>
      </w:r>
      <w:r w:rsidRPr="0034550B">
        <w:t xml:space="preserve"> </w:t>
      </w:r>
    </w:p>
    <w:p w:rsidR="0034550B" w:rsidRPr="0034550B" w:rsidRDefault="0034550B" w:rsidP="0034550B">
      <w:pPr>
        <w:pStyle w:val="Bezmezer"/>
        <w:spacing w:before="480" w:after="120"/>
        <w:rPr>
          <w:b/>
        </w:rPr>
      </w:pPr>
      <w:r w:rsidRPr="0034550B">
        <w:rPr>
          <w:b/>
        </w:rPr>
        <w:t>2.</w:t>
      </w:r>
      <w:r w:rsidRPr="0034550B">
        <w:rPr>
          <w:b/>
        </w:rPr>
        <w:tab/>
        <w:t>KONTAKTNÍ ÚDAJE PŘÍJEMCE:</w:t>
      </w:r>
    </w:p>
    <w:p w:rsidR="0034550B" w:rsidRPr="0034550B" w:rsidRDefault="0034550B" w:rsidP="0034550B">
      <w:pPr>
        <w:pStyle w:val="Bezmezer"/>
        <w:ind w:left="720"/>
        <w:rPr>
          <w:b/>
        </w:rPr>
      </w:pPr>
      <w:r w:rsidRPr="0034550B">
        <w:rPr>
          <w:b/>
        </w:rPr>
        <w:t>Veterinární a farmaceutická univerzita Brno – Farmaceutická fakulta</w:t>
      </w:r>
    </w:p>
    <w:p w:rsidR="0034550B" w:rsidRPr="0034550B" w:rsidRDefault="0034550B" w:rsidP="0034550B">
      <w:pPr>
        <w:pStyle w:val="Bezmezer"/>
        <w:spacing w:before="120" w:after="120"/>
        <w:ind w:left="720"/>
        <w:rPr>
          <w:u w:val="single"/>
        </w:rPr>
      </w:pPr>
      <w:r w:rsidRPr="0034550B">
        <w:rPr>
          <w:u w:val="single"/>
        </w:rPr>
        <w:t>Kontaktní osoby:</w:t>
      </w:r>
    </w:p>
    <w:p w:rsidR="0034550B" w:rsidRPr="0034550B" w:rsidRDefault="0034550B" w:rsidP="00D078A4">
      <w:pPr>
        <w:pStyle w:val="Bezmezer"/>
        <w:ind w:left="720"/>
      </w:pPr>
      <w:r w:rsidRPr="0034550B">
        <w:t xml:space="preserve">jméno: </w:t>
      </w:r>
      <w:r w:rsidRPr="0034550B">
        <w:tab/>
      </w:r>
      <w:r w:rsidRPr="0034550B">
        <w:tab/>
      </w:r>
      <w:r w:rsidR="00D078A4">
        <w:t>PharmDr. Jan Šaloun, Ph.D., vedoucí Vzdělávacího institutu FaF VFU Brno</w:t>
      </w:r>
    </w:p>
    <w:p w:rsidR="0034550B" w:rsidRPr="0034550B" w:rsidRDefault="0034550B" w:rsidP="0034550B">
      <w:pPr>
        <w:pStyle w:val="Bezmezer"/>
        <w:ind w:left="720"/>
      </w:pPr>
      <w:r w:rsidRPr="0034550B">
        <w:t>e-mail:</w:t>
      </w:r>
      <w:r w:rsidRPr="0034550B">
        <w:tab/>
      </w:r>
      <w:r w:rsidRPr="0034550B">
        <w:tab/>
      </w:r>
      <w:hyperlink r:id="rId10" w:history="1">
        <w:r w:rsidR="00D078A4" w:rsidRPr="000213FC">
          <w:rPr>
            <w:rStyle w:val="Hypertextovodkaz"/>
            <w:rFonts w:ascii="Arial Narrow" w:hAnsi="Arial Narrow"/>
          </w:rPr>
          <w:t>SALOUNJ@vfu.cz</w:t>
        </w:r>
      </w:hyperlink>
      <w:r w:rsidR="00D078A4">
        <w:t xml:space="preserve"> </w:t>
      </w:r>
    </w:p>
    <w:p w:rsidR="0034550B" w:rsidRPr="0034550B" w:rsidRDefault="0034550B" w:rsidP="0034550B">
      <w:pPr>
        <w:pStyle w:val="Bezmezer"/>
        <w:ind w:left="720"/>
      </w:pPr>
      <w:r w:rsidRPr="0034550B">
        <w:t xml:space="preserve">tel: </w:t>
      </w:r>
      <w:r w:rsidRPr="0034550B">
        <w:tab/>
      </w:r>
      <w:r w:rsidRPr="0034550B">
        <w:tab/>
      </w:r>
      <w:r w:rsidR="00D078A4" w:rsidRPr="00D078A4">
        <w:t>+420 54156 2813, +420 776 279 453</w:t>
      </w:r>
    </w:p>
    <w:p w:rsidR="0034550B" w:rsidRPr="0034550B" w:rsidRDefault="0034550B" w:rsidP="0034550B">
      <w:pPr>
        <w:pStyle w:val="Bezmezer"/>
        <w:spacing w:before="120" w:after="120"/>
        <w:ind w:left="720"/>
        <w:rPr>
          <w:u w:val="single"/>
        </w:rPr>
      </w:pPr>
      <w:r w:rsidRPr="0034550B">
        <w:rPr>
          <w:u w:val="single"/>
        </w:rPr>
        <w:t>Bankovní spojení:</w:t>
      </w:r>
    </w:p>
    <w:p w:rsidR="0034550B" w:rsidRDefault="0034550B" w:rsidP="0034550B">
      <w:pPr>
        <w:pStyle w:val="Bezmezer"/>
        <w:ind w:left="720"/>
      </w:pPr>
      <w:r w:rsidRPr="0034550B">
        <w:t xml:space="preserve">Účet č.: </w:t>
      </w:r>
      <w:r w:rsidRPr="0034550B">
        <w:tab/>
      </w:r>
      <w:r>
        <w:tab/>
      </w:r>
      <w:r w:rsidR="00D078A4" w:rsidRPr="00D078A4">
        <w:t>154568547/0300</w:t>
      </w:r>
    </w:p>
    <w:p w:rsidR="00D078A4" w:rsidRDefault="00D078A4" w:rsidP="00D078A4">
      <w:pPr>
        <w:pStyle w:val="Bezmezer"/>
      </w:pPr>
    </w:p>
    <w:p w:rsidR="00D078A4" w:rsidRDefault="00D078A4" w:rsidP="00D078A4">
      <w:pPr>
        <w:pStyle w:val="Bezmezer"/>
      </w:pPr>
    </w:p>
    <w:p w:rsidR="00D078A4" w:rsidRDefault="00D078A4">
      <w:pPr>
        <w:spacing w:before="0" w:after="0"/>
        <w:jc w:val="left"/>
        <w:rPr>
          <w:rFonts w:ascii="Arial Narrow" w:hAnsi="Arial Narrow"/>
        </w:rPr>
      </w:pPr>
      <w:r>
        <w:br w:type="page"/>
      </w:r>
    </w:p>
    <w:p w:rsidR="00D078A4" w:rsidRPr="0034550B" w:rsidRDefault="00D078A4" w:rsidP="00D078A4">
      <w:pPr>
        <w:pStyle w:val="Bezmezer"/>
        <w:spacing w:before="120" w:after="120"/>
        <w:jc w:val="center"/>
        <w:rPr>
          <w:b/>
          <w:u w:val="single"/>
        </w:rPr>
      </w:pPr>
      <w:r>
        <w:rPr>
          <w:b/>
          <w:u w:val="single"/>
        </w:rPr>
        <w:lastRenderedPageBreak/>
        <w:t>PŘÍLOHA Č. 2</w:t>
      </w:r>
    </w:p>
    <w:p w:rsidR="00D078A4" w:rsidRPr="0034550B" w:rsidRDefault="00D078A4" w:rsidP="00D078A4">
      <w:pPr>
        <w:pStyle w:val="Bezmezer"/>
        <w:jc w:val="center"/>
      </w:pPr>
      <w:r w:rsidRPr="00D078A4">
        <w:rPr>
          <w:b/>
        </w:rPr>
        <w:t>ŽÁDOST O GRANT</w:t>
      </w:r>
    </w:p>
    <w:sectPr w:rsidR="00D078A4" w:rsidRPr="0034550B" w:rsidSect="000D6F14">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B9" w:rsidRDefault="005F29B9">
      <w:r>
        <w:separator/>
      </w:r>
    </w:p>
  </w:endnote>
  <w:endnote w:type="continuationSeparator" w:id="0">
    <w:p w:rsidR="005F29B9" w:rsidRDefault="005F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CF" w:rsidRPr="000F1DF5" w:rsidRDefault="00C71ECF" w:rsidP="00115C64">
    <w:pPr>
      <w:pStyle w:val="Zpat"/>
      <w:tabs>
        <w:tab w:val="clear" w:pos="4703"/>
        <w:tab w:val="clear" w:pos="9406"/>
      </w:tabs>
      <w:jc w:val="right"/>
      <w:rPr>
        <w:rFonts w:ascii="Arial" w:hAnsi="Arial" w:cs="Arial"/>
        <w:b/>
        <w:sz w:val="15"/>
        <w:szCs w:val="15"/>
      </w:rPr>
    </w:pPr>
    <w:r>
      <w:tab/>
    </w:r>
    <w:r>
      <w:tab/>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2034AF">
      <w:rPr>
        <w:rStyle w:val="slostrnky"/>
        <w:rFonts w:ascii="Arial" w:hAnsi="Arial" w:cs="Arial"/>
        <w:b/>
        <w:noProof/>
        <w:sz w:val="15"/>
        <w:szCs w:val="15"/>
      </w:rPr>
      <w:t>8</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2034AF">
      <w:rPr>
        <w:rStyle w:val="slostrnky"/>
        <w:rFonts w:ascii="Arial" w:hAnsi="Arial" w:cs="Arial"/>
        <w:b/>
        <w:noProof/>
        <w:sz w:val="15"/>
        <w:szCs w:val="15"/>
      </w:rPr>
      <w:t>9</w:t>
    </w:r>
    <w:r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B9" w:rsidRDefault="005F29B9">
      <w:r>
        <w:separator/>
      </w:r>
    </w:p>
  </w:footnote>
  <w:footnote w:type="continuationSeparator" w:id="0">
    <w:p w:rsidR="005F29B9" w:rsidRDefault="005F29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D73A6E42"/>
    <w:lvl w:ilvl="0" w:tplc="5672EA24">
      <w:start w:val="1"/>
      <w:numFmt w:val="decimal"/>
      <w:lvlText w:val="(%1)"/>
      <w:lvlJc w:val="left"/>
      <w:pPr>
        <w:tabs>
          <w:tab w:val="num" w:pos="567"/>
        </w:tabs>
        <w:ind w:left="567" w:hanging="567"/>
      </w:pPr>
      <w:rPr>
        <w:rFonts w:ascii="Arial Narrow" w:hAnsi="Arial Narrow"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7"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18"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4B5D6A"/>
    <w:multiLevelType w:val="multilevel"/>
    <w:tmpl w:val="FC563D08"/>
    <w:lvl w:ilvl="0">
      <w:start w:val="1"/>
      <w:numFmt w:val="decimal"/>
      <w:pStyle w:val="Nadpis1"/>
      <w:lvlText w:val="%1."/>
      <w:lvlJc w:val="left"/>
      <w:pPr>
        <w:tabs>
          <w:tab w:val="num" w:pos="567"/>
        </w:tabs>
        <w:ind w:left="567" w:hanging="567"/>
      </w:pPr>
      <w:rPr>
        <w:rFonts w:ascii="Arial Narrow" w:hAnsi="Arial Narrow" w:cs="Arial" w:hint="default"/>
        <w:b/>
        <w:i w:val="0"/>
        <w:sz w:val="22"/>
      </w:rPr>
    </w:lvl>
    <w:lvl w:ilvl="1">
      <w:start w:val="1"/>
      <w:numFmt w:val="decimal"/>
      <w:pStyle w:val="Clanek11"/>
      <w:lvlText w:val="%1.%2"/>
      <w:lvlJc w:val="left"/>
      <w:pPr>
        <w:tabs>
          <w:tab w:val="num" w:pos="567"/>
        </w:tabs>
        <w:ind w:left="567" w:hanging="567"/>
      </w:pPr>
      <w:rPr>
        <w:rFonts w:ascii="Arial Narrow" w:hAnsi="Arial Narrow"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ascii="Arial Narrow" w:hAnsi="Arial Narrow" w:cs="Arial"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4"/>
  </w:num>
  <w:num w:numId="4">
    <w:abstractNumId w:val="21"/>
  </w:num>
  <w:num w:numId="5">
    <w:abstractNumId w:val="1"/>
  </w:num>
  <w:num w:numId="6">
    <w:abstractNumId w:val="8"/>
  </w:num>
  <w:num w:numId="7">
    <w:abstractNumId w:val="23"/>
  </w:num>
  <w:num w:numId="8">
    <w:abstractNumId w:val="20"/>
  </w:num>
  <w:num w:numId="9">
    <w:abstractNumId w:val="25"/>
  </w:num>
  <w:num w:numId="10">
    <w:abstractNumId w:val="9"/>
  </w:num>
  <w:num w:numId="11">
    <w:abstractNumId w:val="5"/>
  </w:num>
  <w:num w:numId="12">
    <w:abstractNumId w:val="27"/>
  </w:num>
  <w:num w:numId="13">
    <w:abstractNumId w:val="22"/>
  </w:num>
  <w:num w:numId="14">
    <w:abstractNumId w:val="15"/>
  </w:num>
  <w:num w:numId="15">
    <w:abstractNumId w:val="18"/>
  </w:num>
  <w:num w:numId="16">
    <w:abstractNumId w:val="6"/>
  </w:num>
  <w:num w:numId="17">
    <w:abstractNumId w:val="24"/>
  </w:num>
  <w:num w:numId="18">
    <w:abstractNumId w:val="3"/>
  </w:num>
  <w:num w:numId="19">
    <w:abstractNumId w:val="26"/>
  </w:num>
  <w:num w:numId="20">
    <w:abstractNumId w:val="7"/>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3"/>
  </w:num>
  <w:num w:numId="26">
    <w:abstractNumId w:val="2"/>
  </w:num>
  <w:num w:numId="27">
    <w:abstractNumId w:val="12"/>
  </w:num>
  <w:num w:numId="28">
    <w:abstractNumId w:val="0"/>
  </w:num>
  <w:num w:numId="29">
    <w:abstractNumId w:val="16"/>
  </w:num>
  <w:num w:numId="30">
    <w:abstractNumId w:val="4"/>
  </w:num>
  <w:num w:numId="31">
    <w:abstractNumId w:val="24"/>
  </w:num>
  <w:num w:numId="32">
    <w:abstractNumId w:val="2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23"/>
    <w:rsid w:val="000005BD"/>
    <w:rsid w:val="00005E16"/>
    <w:rsid w:val="0000715D"/>
    <w:rsid w:val="000100EE"/>
    <w:rsid w:val="0001501E"/>
    <w:rsid w:val="00033FD2"/>
    <w:rsid w:val="00045B0C"/>
    <w:rsid w:val="00051D3E"/>
    <w:rsid w:val="00061B1B"/>
    <w:rsid w:val="000708BF"/>
    <w:rsid w:val="000731E4"/>
    <w:rsid w:val="00074E6C"/>
    <w:rsid w:val="00084858"/>
    <w:rsid w:val="000A1323"/>
    <w:rsid w:val="000A3CEE"/>
    <w:rsid w:val="000C15A9"/>
    <w:rsid w:val="000C52D4"/>
    <w:rsid w:val="000D2DFE"/>
    <w:rsid w:val="000D3DD4"/>
    <w:rsid w:val="000D4BB6"/>
    <w:rsid w:val="000D6F14"/>
    <w:rsid w:val="000D7CC9"/>
    <w:rsid w:val="000E1A47"/>
    <w:rsid w:val="000F1DF5"/>
    <w:rsid w:val="000F5D73"/>
    <w:rsid w:val="001011BF"/>
    <w:rsid w:val="00114BD6"/>
    <w:rsid w:val="00115C64"/>
    <w:rsid w:val="00132F83"/>
    <w:rsid w:val="00136447"/>
    <w:rsid w:val="001436E6"/>
    <w:rsid w:val="00151FC6"/>
    <w:rsid w:val="001552C3"/>
    <w:rsid w:val="001632C9"/>
    <w:rsid w:val="00165105"/>
    <w:rsid w:val="00167129"/>
    <w:rsid w:val="0018546D"/>
    <w:rsid w:val="001A11F9"/>
    <w:rsid w:val="001B794C"/>
    <w:rsid w:val="001C2AEE"/>
    <w:rsid w:val="001D3E0B"/>
    <w:rsid w:val="001D50DD"/>
    <w:rsid w:val="002034AF"/>
    <w:rsid w:val="00204189"/>
    <w:rsid w:val="00210346"/>
    <w:rsid w:val="00214BB8"/>
    <w:rsid w:val="00214F33"/>
    <w:rsid w:val="002224E5"/>
    <w:rsid w:val="00231A7B"/>
    <w:rsid w:val="00233EC3"/>
    <w:rsid w:val="00234017"/>
    <w:rsid w:val="00234A53"/>
    <w:rsid w:val="00236E42"/>
    <w:rsid w:val="00252038"/>
    <w:rsid w:val="00261137"/>
    <w:rsid w:val="002670CF"/>
    <w:rsid w:val="00280D90"/>
    <w:rsid w:val="002B6347"/>
    <w:rsid w:val="002C2157"/>
    <w:rsid w:val="002E107B"/>
    <w:rsid w:val="002E1679"/>
    <w:rsid w:val="002F3819"/>
    <w:rsid w:val="00326A98"/>
    <w:rsid w:val="0034550B"/>
    <w:rsid w:val="00355FBC"/>
    <w:rsid w:val="00360886"/>
    <w:rsid w:val="00381CAE"/>
    <w:rsid w:val="00383B83"/>
    <w:rsid w:val="00397647"/>
    <w:rsid w:val="003A2578"/>
    <w:rsid w:val="003A26B7"/>
    <w:rsid w:val="003A5560"/>
    <w:rsid w:val="003A5DF0"/>
    <w:rsid w:val="003C02BC"/>
    <w:rsid w:val="003C0F2E"/>
    <w:rsid w:val="003C7F06"/>
    <w:rsid w:val="003D6B77"/>
    <w:rsid w:val="003E4C5A"/>
    <w:rsid w:val="003E5631"/>
    <w:rsid w:val="003F786E"/>
    <w:rsid w:val="00403B47"/>
    <w:rsid w:val="00420173"/>
    <w:rsid w:val="00424B61"/>
    <w:rsid w:val="0044081F"/>
    <w:rsid w:val="00452864"/>
    <w:rsid w:val="004607F9"/>
    <w:rsid w:val="00460A2C"/>
    <w:rsid w:val="004706E0"/>
    <w:rsid w:val="004757E5"/>
    <w:rsid w:val="004909C2"/>
    <w:rsid w:val="004A289E"/>
    <w:rsid w:val="004C3F3A"/>
    <w:rsid w:val="004D0A5A"/>
    <w:rsid w:val="004D61F1"/>
    <w:rsid w:val="004E5D8E"/>
    <w:rsid w:val="00517A06"/>
    <w:rsid w:val="00517BD7"/>
    <w:rsid w:val="00531E67"/>
    <w:rsid w:val="005438C2"/>
    <w:rsid w:val="005463D3"/>
    <w:rsid w:val="00546FB6"/>
    <w:rsid w:val="00556986"/>
    <w:rsid w:val="00563C5A"/>
    <w:rsid w:val="00567524"/>
    <w:rsid w:val="00572A5D"/>
    <w:rsid w:val="00576C25"/>
    <w:rsid w:val="005B1CB1"/>
    <w:rsid w:val="005C2C5F"/>
    <w:rsid w:val="005C46EE"/>
    <w:rsid w:val="005E6329"/>
    <w:rsid w:val="005F29B9"/>
    <w:rsid w:val="006044DC"/>
    <w:rsid w:val="00607027"/>
    <w:rsid w:val="00612D7D"/>
    <w:rsid w:val="00620684"/>
    <w:rsid w:val="00625107"/>
    <w:rsid w:val="00626F68"/>
    <w:rsid w:val="0063375C"/>
    <w:rsid w:val="00635FEC"/>
    <w:rsid w:val="006445BB"/>
    <w:rsid w:val="00645977"/>
    <w:rsid w:val="006550EA"/>
    <w:rsid w:val="006556B4"/>
    <w:rsid w:val="006559B1"/>
    <w:rsid w:val="006575D5"/>
    <w:rsid w:val="00670F77"/>
    <w:rsid w:val="00681752"/>
    <w:rsid w:val="00681C3F"/>
    <w:rsid w:val="00687000"/>
    <w:rsid w:val="006913F0"/>
    <w:rsid w:val="00694320"/>
    <w:rsid w:val="006A0A1B"/>
    <w:rsid w:val="006A25E0"/>
    <w:rsid w:val="006A4F0E"/>
    <w:rsid w:val="006C2B24"/>
    <w:rsid w:val="006D5B18"/>
    <w:rsid w:val="006E4462"/>
    <w:rsid w:val="006F2FC6"/>
    <w:rsid w:val="006F6350"/>
    <w:rsid w:val="006F7E96"/>
    <w:rsid w:val="00707A07"/>
    <w:rsid w:val="007328CF"/>
    <w:rsid w:val="00737889"/>
    <w:rsid w:val="0077430E"/>
    <w:rsid w:val="007812A1"/>
    <w:rsid w:val="00797195"/>
    <w:rsid w:val="00797DD8"/>
    <w:rsid w:val="007A0DFD"/>
    <w:rsid w:val="007A5514"/>
    <w:rsid w:val="007A5AC7"/>
    <w:rsid w:val="007C34A9"/>
    <w:rsid w:val="007D789D"/>
    <w:rsid w:val="007E1044"/>
    <w:rsid w:val="007F2154"/>
    <w:rsid w:val="008108B1"/>
    <w:rsid w:val="00812081"/>
    <w:rsid w:val="008218FD"/>
    <w:rsid w:val="008412BD"/>
    <w:rsid w:val="00841743"/>
    <w:rsid w:val="00852636"/>
    <w:rsid w:val="00861715"/>
    <w:rsid w:val="008667C5"/>
    <w:rsid w:val="00874E78"/>
    <w:rsid w:val="008A4992"/>
    <w:rsid w:val="008A6798"/>
    <w:rsid w:val="008B5BA8"/>
    <w:rsid w:val="008F3569"/>
    <w:rsid w:val="008F6868"/>
    <w:rsid w:val="008F7DFD"/>
    <w:rsid w:val="009001D1"/>
    <w:rsid w:val="00900C5C"/>
    <w:rsid w:val="00917FD4"/>
    <w:rsid w:val="00934436"/>
    <w:rsid w:val="00946CD8"/>
    <w:rsid w:val="00947A65"/>
    <w:rsid w:val="00950322"/>
    <w:rsid w:val="00955995"/>
    <w:rsid w:val="00962CFB"/>
    <w:rsid w:val="009653CC"/>
    <w:rsid w:val="00971E3A"/>
    <w:rsid w:val="00975CC4"/>
    <w:rsid w:val="009846D8"/>
    <w:rsid w:val="009C76F5"/>
    <w:rsid w:val="009D4120"/>
    <w:rsid w:val="009D5CA4"/>
    <w:rsid w:val="009F5527"/>
    <w:rsid w:val="00A02763"/>
    <w:rsid w:val="00A032F6"/>
    <w:rsid w:val="00A03D69"/>
    <w:rsid w:val="00A045F5"/>
    <w:rsid w:val="00A130DD"/>
    <w:rsid w:val="00A13CC7"/>
    <w:rsid w:val="00A20385"/>
    <w:rsid w:val="00A446FF"/>
    <w:rsid w:val="00A5552C"/>
    <w:rsid w:val="00A6248B"/>
    <w:rsid w:val="00A658BF"/>
    <w:rsid w:val="00A74CED"/>
    <w:rsid w:val="00A8169A"/>
    <w:rsid w:val="00AB79E1"/>
    <w:rsid w:val="00AC1DF4"/>
    <w:rsid w:val="00AD1771"/>
    <w:rsid w:val="00AE0032"/>
    <w:rsid w:val="00AF26A5"/>
    <w:rsid w:val="00B01BDB"/>
    <w:rsid w:val="00B058E5"/>
    <w:rsid w:val="00B1543C"/>
    <w:rsid w:val="00B174DA"/>
    <w:rsid w:val="00B20F4D"/>
    <w:rsid w:val="00B62C10"/>
    <w:rsid w:val="00B65E70"/>
    <w:rsid w:val="00B71F29"/>
    <w:rsid w:val="00B73913"/>
    <w:rsid w:val="00B84AE9"/>
    <w:rsid w:val="00BA4AC7"/>
    <w:rsid w:val="00BB042A"/>
    <w:rsid w:val="00BC5BD3"/>
    <w:rsid w:val="00BE0C27"/>
    <w:rsid w:val="00BE0D5C"/>
    <w:rsid w:val="00BF72D4"/>
    <w:rsid w:val="00BF7743"/>
    <w:rsid w:val="00C010B4"/>
    <w:rsid w:val="00C07942"/>
    <w:rsid w:val="00C14B97"/>
    <w:rsid w:val="00C20B10"/>
    <w:rsid w:val="00C23A8F"/>
    <w:rsid w:val="00C25EA6"/>
    <w:rsid w:val="00C44BC7"/>
    <w:rsid w:val="00C54BEE"/>
    <w:rsid w:val="00C57669"/>
    <w:rsid w:val="00C71ECF"/>
    <w:rsid w:val="00C779FD"/>
    <w:rsid w:val="00C83373"/>
    <w:rsid w:val="00C91FA0"/>
    <w:rsid w:val="00C93545"/>
    <w:rsid w:val="00C94952"/>
    <w:rsid w:val="00C96716"/>
    <w:rsid w:val="00C96A38"/>
    <w:rsid w:val="00CA0408"/>
    <w:rsid w:val="00CB25C5"/>
    <w:rsid w:val="00CB5118"/>
    <w:rsid w:val="00CC3CA3"/>
    <w:rsid w:val="00CD6039"/>
    <w:rsid w:val="00CE5E82"/>
    <w:rsid w:val="00CF7B10"/>
    <w:rsid w:val="00D078A4"/>
    <w:rsid w:val="00D115EA"/>
    <w:rsid w:val="00D269E2"/>
    <w:rsid w:val="00D37DE0"/>
    <w:rsid w:val="00D644A4"/>
    <w:rsid w:val="00D65193"/>
    <w:rsid w:val="00D73F0B"/>
    <w:rsid w:val="00D75C48"/>
    <w:rsid w:val="00D77ECC"/>
    <w:rsid w:val="00D8772B"/>
    <w:rsid w:val="00DB050C"/>
    <w:rsid w:val="00DC024C"/>
    <w:rsid w:val="00DC0410"/>
    <w:rsid w:val="00DC7EBA"/>
    <w:rsid w:val="00DE5F7A"/>
    <w:rsid w:val="00E06EC2"/>
    <w:rsid w:val="00E07E67"/>
    <w:rsid w:val="00E17B1D"/>
    <w:rsid w:val="00E235BD"/>
    <w:rsid w:val="00E2532A"/>
    <w:rsid w:val="00E42D1A"/>
    <w:rsid w:val="00E47028"/>
    <w:rsid w:val="00E51D76"/>
    <w:rsid w:val="00E62684"/>
    <w:rsid w:val="00E64F21"/>
    <w:rsid w:val="00E7618E"/>
    <w:rsid w:val="00E8475A"/>
    <w:rsid w:val="00E94CD7"/>
    <w:rsid w:val="00EB2C63"/>
    <w:rsid w:val="00EC4025"/>
    <w:rsid w:val="00ED3DB0"/>
    <w:rsid w:val="00ED7945"/>
    <w:rsid w:val="00EF4594"/>
    <w:rsid w:val="00F00B1C"/>
    <w:rsid w:val="00F129AE"/>
    <w:rsid w:val="00F136A2"/>
    <w:rsid w:val="00F33555"/>
    <w:rsid w:val="00F53B4C"/>
    <w:rsid w:val="00F71F66"/>
    <w:rsid w:val="00F7706D"/>
    <w:rsid w:val="00F81417"/>
    <w:rsid w:val="00F95109"/>
    <w:rsid w:val="00FA41BE"/>
    <w:rsid w:val="00FB02D9"/>
    <w:rsid w:val="00FC31B0"/>
    <w:rsid w:val="00FD0419"/>
    <w:rsid w:val="00FD3065"/>
    <w:rsid w:val="00FD5105"/>
    <w:rsid w:val="00FD615C"/>
    <w:rsid w:val="00FF031F"/>
    <w:rsid w:val="00FF5B9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3D109"/>
  <w15:docId w15:val="{8EFE6EB2-1579-4C67-88B2-55C0D3C4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01D1"/>
    <w:pPr>
      <w:spacing w:before="120" w:after="120"/>
      <w:jc w:val="both"/>
    </w:pPr>
    <w:rPr>
      <w:sz w:val="22"/>
      <w:szCs w:val="24"/>
      <w:lang w:eastAsia="en-US"/>
    </w:rPr>
  </w:style>
  <w:style w:type="paragraph" w:styleId="Nadpis1">
    <w:name w:val="heading 1"/>
    <w:basedOn w:val="Normln"/>
    <w:next w:val="Clanek11"/>
    <w:qFormat/>
    <w:rsid w:val="00383B83"/>
    <w:pPr>
      <w:keepNext/>
      <w:numPr>
        <w:numId w:val="17"/>
      </w:numPr>
      <w:spacing w:before="240" w:after="0"/>
      <w:outlineLvl w:val="0"/>
    </w:pPr>
    <w:rPr>
      <w:rFonts w:ascii="Arial Narrow" w:hAnsi="Arial Narrow"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383B83"/>
    <w:pPr>
      <w:keepNext w:val="0"/>
      <w:widowControl w:val="0"/>
      <w:numPr>
        <w:numId w:val="17"/>
      </w:numPr>
      <w:spacing w:before="120" w:after="120"/>
    </w:pPr>
    <w:rPr>
      <w:rFonts w:ascii="Arial Narrow" w:hAnsi="Arial Narrow"/>
      <w:b w:val="0"/>
      <w:i w:val="0"/>
      <w:sz w:val="22"/>
    </w:rPr>
  </w:style>
  <w:style w:type="paragraph" w:customStyle="1" w:styleId="Claneka">
    <w:name w:val="Clanek (a)"/>
    <w:basedOn w:val="Normln"/>
    <w:qFormat/>
    <w:rsid w:val="00383B83"/>
    <w:pPr>
      <w:keepLines/>
      <w:widowControl w:val="0"/>
      <w:numPr>
        <w:ilvl w:val="2"/>
        <w:numId w:val="17"/>
      </w:numPr>
    </w:pPr>
    <w:rPr>
      <w:rFonts w:ascii="Arial Narrow" w:hAnsi="Arial Narrow"/>
    </w:rPr>
  </w:style>
  <w:style w:type="paragraph" w:customStyle="1" w:styleId="Claneki">
    <w:name w:val="Clanek (i)"/>
    <w:basedOn w:val="Normln"/>
    <w:qFormat/>
    <w:rsid w:val="003F786E"/>
    <w:pPr>
      <w:keepNext/>
      <w:numPr>
        <w:ilvl w:val="3"/>
        <w:numId w:val="17"/>
      </w:numPr>
    </w:pPr>
    <w:rPr>
      <w:rFonts w:ascii="Arial Narrow" w:hAnsi="Arial Narrow"/>
      <w:color w:val="000000"/>
    </w:rPr>
  </w:style>
  <w:style w:type="paragraph" w:customStyle="1" w:styleId="Text11">
    <w:name w:val="Text 1.1"/>
    <w:basedOn w:val="Normln"/>
    <w:qFormat/>
    <w:rsid w:val="00383B83"/>
    <w:pPr>
      <w:keepNext/>
      <w:ind w:left="561"/>
    </w:pPr>
    <w:rPr>
      <w:rFonts w:ascii="Arial Narrow" w:hAnsi="Arial Narrow"/>
      <w:szCs w:val="20"/>
    </w:rPr>
  </w:style>
  <w:style w:type="paragraph" w:customStyle="1" w:styleId="Texta">
    <w:name w:val="Text (a)"/>
    <w:basedOn w:val="Normln"/>
    <w:link w:val="TextaChar"/>
    <w:qFormat/>
    <w:rsid w:val="00383B83"/>
    <w:pPr>
      <w:keepNext/>
      <w:ind w:left="992"/>
    </w:pPr>
    <w:rPr>
      <w:rFonts w:ascii="Arial Narrow" w:hAnsi="Arial Narrow"/>
      <w:szCs w:val="20"/>
    </w:rPr>
  </w:style>
  <w:style w:type="paragraph" w:customStyle="1" w:styleId="Texti">
    <w:name w:val="Text (i)"/>
    <w:basedOn w:val="Normln"/>
    <w:link w:val="TextiChar"/>
    <w:qFormat/>
    <w:rsid w:val="00383B83"/>
    <w:pPr>
      <w:keepNext/>
      <w:ind w:left="1418"/>
    </w:pPr>
    <w:rPr>
      <w:rFonts w:ascii="Arial Narrow" w:hAnsi="Arial Narrow"/>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383B83"/>
    <w:pPr>
      <w:widowControl w:val="0"/>
      <w:numPr>
        <w:numId w:val="12"/>
      </w:numPr>
      <w:ind w:hanging="567"/>
    </w:pPr>
    <w:rPr>
      <w:rFonts w:ascii="Arial Narrow" w:hAnsi="Arial Narrow"/>
    </w:r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383B83"/>
    <w:pPr>
      <w:numPr>
        <w:numId w:val="28"/>
      </w:numPr>
      <w:tabs>
        <w:tab w:val="left" w:pos="992"/>
      </w:tabs>
      <w:ind w:left="992" w:hanging="425"/>
    </w:pPr>
    <w:rPr>
      <w:rFonts w:ascii="Arial Narrow" w:hAnsi="Arial Narrow"/>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383B83"/>
    <w:pPr>
      <w:numPr>
        <w:numId w:val="29"/>
      </w:numPr>
      <w:tabs>
        <w:tab w:val="left" w:pos="1418"/>
      </w:tabs>
      <w:ind w:left="1418" w:hanging="425"/>
    </w:pPr>
  </w:style>
  <w:style w:type="character" w:customStyle="1" w:styleId="Odrazkapro1a11Char">
    <w:name w:val="Odrazka pro 1 a 1.1 Char"/>
    <w:basedOn w:val="Standardnpsmoodstavce"/>
    <w:link w:val="Odrazkapro1a11"/>
    <w:rsid w:val="00383B83"/>
    <w:rPr>
      <w:rFonts w:ascii="Arial Narrow" w:hAnsi="Arial Narrow"/>
      <w:sz w:val="22"/>
      <w:szCs w:val="24"/>
      <w:lang w:eastAsia="en-US"/>
    </w:rPr>
  </w:style>
  <w:style w:type="paragraph" w:customStyle="1" w:styleId="Odrazkaproi">
    <w:name w:val="Odrazka pro (i)"/>
    <w:basedOn w:val="Texti"/>
    <w:link w:val="OdrazkaproiChar"/>
    <w:qFormat/>
    <w:rsid w:val="00383B83"/>
    <w:pPr>
      <w:numPr>
        <w:numId w:val="30"/>
      </w:numPr>
      <w:tabs>
        <w:tab w:val="left" w:pos="1843"/>
      </w:tabs>
      <w:ind w:left="1843" w:hanging="425"/>
    </w:pPr>
  </w:style>
  <w:style w:type="character" w:customStyle="1" w:styleId="TextaChar">
    <w:name w:val="Text (a) Char"/>
    <w:basedOn w:val="Standardnpsmoodstavce"/>
    <w:link w:val="Texta"/>
    <w:rsid w:val="00383B83"/>
    <w:rPr>
      <w:rFonts w:ascii="Arial Narrow" w:hAnsi="Arial Narrow"/>
      <w:sz w:val="22"/>
      <w:lang w:eastAsia="en-US"/>
    </w:rPr>
  </w:style>
  <w:style w:type="character" w:customStyle="1" w:styleId="OdrazkaproaChar">
    <w:name w:val="Odrazka pro (a) Char"/>
    <w:basedOn w:val="TextaChar"/>
    <w:link w:val="Odrazkaproa"/>
    <w:rsid w:val="00383B83"/>
    <w:rPr>
      <w:rFonts w:ascii="Arial Narrow" w:hAnsi="Arial Narrow"/>
      <w:sz w:val="22"/>
      <w:lang w:eastAsia="en-US"/>
    </w:rPr>
  </w:style>
  <w:style w:type="character" w:customStyle="1" w:styleId="TextiChar">
    <w:name w:val="Text (i) Char"/>
    <w:basedOn w:val="Standardnpsmoodstavce"/>
    <w:link w:val="Texti"/>
    <w:rsid w:val="00383B83"/>
    <w:rPr>
      <w:rFonts w:ascii="Arial Narrow" w:hAnsi="Arial Narrow"/>
      <w:sz w:val="22"/>
      <w:lang w:eastAsia="en-US"/>
    </w:rPr>
  </w:style>
  <w:style w:type="character" w:customStyle="1" w:styleId="OdrazkaproiChar">
    <w:name w:val="Odrazka pro (i) Char"/>
    <w:basedOn w:val="TextiChar"/>
    <w:link w:val="Odrazkaproi"/>
    <w:rsid w:val="00383B83"/>
    <w:rPr>
      <w:rFonts w:ascii="Arial Narrow" w:hAnsi="Arial Narrow"/>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Bezmezer">
    <w:name w:val="No Spacing"/>
    <w:uiPriority w:val="1"/>
    <w:qFormat/>
    <w:rsid w:val="00383B83"/>
    <w:pPr>
      <w:jc w:val="both"/>
    </w:pPr>
    <w:rPr>
      <w:rFonts w:ascii="Arial Narrow" w:hAnsi="Arial Narrow"/>
      <w:sz w:val="22"/>
      <w:szCs w:val="24"/>
      <w:lang w:eastAsia="en-US"/>
    </w:rPr>
  </w:style>
  <w:style w:type="table" w:styleId="Mkatabulky">
    <w:name w:val="Table Grid"/>
    <w:basedOn w:val="Normlntabulka"/>
    <w:rsid w:val="008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rdnpsmoodstavce"/>
    <w:uiPriority w:val="99"/>
    <w:semiHidden/>
    <w:unhideWhenUsed/>
    <w:rsid w:val="00FC31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tnispolupra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OUNJ@vfu.cz" TargetMode="External"/><Relationship Id="rId4" Type="http://schemas.openxmlformats.org/officeDocument/2006/relationships/settings" Target="settings.xml"/><Relationship Id="rId9" Type="http://schemas.openxmlformats.org/officeDocument/2006/relationships/hyperlink" Target="mailto:ch.safety@gs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amp;P_Template_Smlouva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BA7D-D6E5-4FC6-9013-74C4C810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H&amp;P_Template_Smlouva_CZ</Template>
  <TotalTime>0</TotalTime>
  <Pages>9</Pages>
  <Words>2502</Words>
  <Characters>14766</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17234</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HHP</dc:creator>
  <cp:lastModifiedBy>BEDNARIKOVAL</cp:lastModifiedBy>
  <cp:revision>2</cp:revision>
  <cp:lastPrinted>2018-03-19T10:20:00Z</cp:lastPrinted>
  <dcterms:created xsi:type="dcterms:W3CDTF">2018-03-19T10:30:00Z</dcterms:created>
  <dcterms:modified xsi:type="dcterms:W3CDTF">2018-03-19T10:30:00Z</dcterms:modified>
</cp:coreProperties>
</file>