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1"/>
        <w:ind w:left="3554" w:right="3555" w:firstLine="0"/>
      </w:pPr>
      <w:r>
        <w:rPr>
          <w:shadow/>
        </w:rPr>
        <w:t>DODATEK</w:t>
      </w:r>
      <w:r>
        <w:rPr>
          <w:shadow w:val="0"/>
        </w:rPr>
        <w:t> </w:t>
      </w:r>
      <w:r>
        <w:rPr>
          <w:emboss/>
        </w:rPr>
        <w:t>č.</w:t>
      </w:r>
      <w:r>
        <w:rPr>
          <w:shadow w:val="0"/>
        </w:rPr>
        <w:t> </w:t>
      </w:r>
      <w:r>
        <w:rPr>
          <w:shadow/>
        </w:rPr>
        <w:t>1</w:t>
      </w:r>
    </w:p>
    <w:p>
      <w:pPr>
        <w:spacing w:before="120"/>
        <w:ind w:left="382" w:right="378" w:hanging="2"/>
        <w:jc w:val="center"/>
        <w:rPr>
          <w:b/>
          <w:sz w:val="32"/>
        </w:rPr>
      </w:pPr>
      <w:r>
        <w:rPr>
          <w:b/>
          <w:shadow/>
          <w:sz w:val="32"/>
        </w:rPr>
        <w:t>ke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Smlouvě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o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sdružených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službách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dodávky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elektřiny</w:t>
      </w:r>
      <w:r>
        <w:rPr>
          <w:b/>
          <w:shadow w:val="0"/>
          <w:sz w:val="32"/>
        </w:rPr>
        <w:t> </w:t>
      </w:r>
      <w:r>
        <w:rPr>
          <w:b/>
          <w:emboss/>
          <w:sz w:val="32"/>
        </w:rPr>
        <w:t>č.3510744352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pro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zákazníka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Centrum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sociální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a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ošetřovatelské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pomoci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v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Praze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10,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příspěvková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organizace</w:t>
      </w:r>
    </w:p>
    <w:p>
      <w:pPr>
        <w:spacing w:after="0"/>
        <w:jc w:val="center"/>
        <w:rPr>
          <w:sz w:val="32"/>
        </w:rPr>
        <w:sectPr>
          <w:headerReference w:type="default" r:id="rId5"/>
          <w:footerReference w:type="default" r:id="rId6"/>
          <w:type w:val="continuous"/>
          <w:pgSz w:w="11910" w:h="16840"/>
          <w:pgMar w:header="989" w:footer="2100" w:top="1660" w:bottom="2280" w:left="1300" w:right="1300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before="1"/>
        <w:ind w:left="118"/>
      </w:pPr>
      <w:r>
        <w:rPr/>
        <w:t>Smluvní strany:</w:t>
      </w:r>
    </w:p>
    <w:p>
      <w:pPr>
        <w:pStyle w:val="Heading2"/>
        <w:spacing w:before="125"/>
      </w:pPr>
      <w:r>
        <w:rPr/>
        <w:t>Pražská energetika, a. s.</w:t>
      </w:r>
    </w:p>
    <w:p>
      <w:pPr>
        <w:spacing w:after="0"/>
        <w:sectPr>
          <w:pgSz w:w="11910" w:h="16840"/>
          <w:pgMar w:header="989" w:footer="2100" w:top="1660" w:bottom="2280" w:left="1300" w:right="1300"/>
        </w:sectPr>
      </w:pPr>
    </w:p>
    <w:p>
      <w:pPr>
        <w:pStyle w:val="BodyText"/>
        <w:spacing w:before="117"/>
        <w:ind w:left="118" w:right="767"/>
      </w:pPr>
      <w:r>
        <w:rPr/>
        <w:t>se sídlem: zástupce: IČ:</w:t>
      </w:r>
    </w:p>
    <w:p>
      <w:pPr>
        <w:pStyle w:val="BodyText"/>
        <w:ind w:left="118" w:right="893"/>
      </w:pPr>
      <w:r>
        <w:rPr/>
        <w:t>DIČ: OR:</w:t>
      </w:r>
    </w:p>
    <w:p>
      <w:pPr>
        <w:pStyle w:val="BodyText"/>
        <w:ind w:left="118" w:right="20"/>
      </w:pPr>
      <w:r>
        <w:rPr/>
        <w:t>bankovní spojení: číslo účtu:</w:t>
      </w:r>
    </w:p>
    <w:p>
      <w:pPr>
        <w:pStyle w:val="BodyText"/>
        <w:spacing w:before="115"/>
        <w:ind w:left="118"/>
      </w:pPr>
      <w:r>
        <w:rPr/>
        <w:br w:type="column"/>
      </w:r>
      <w:r>
        <w:rPr/>
        <w:t>Praha 10, Na Hroudě 1492/4, PSČ 100 05</w:t>
      </w:r>
    </w:p>
    <w:p>
      <w:pPr>
        <w:pStyle w:val="BodyText"/>
        <w:ind w:left="118" w:right="5562"/>
      </w:pPr>
      <w:r>
        <w:rPr/>
        <w:t>xxx 60193913 CZ60193913</w:t>
      </w:r>
    </w:p>
    <w:p>
      <w:pPr>
        <w:pStyle w:val="BodyText"/>
        <w:spacing w:before="1"/>
        <w:ind w:left="118"/>
      </w:pPr>
      <w:r>
        <w:rPr/>
        <w:t>Městský soud v Praze, oddíl B, vložka</w:t>
      </w:r>
      <w:r>
        <w:rPr>
          <w:spacing w:val="53"/>
        </w:rPr>
        <w:t> </w:t>
      </w:r>
      <w:r>
        <w:rPr/>
        <w:t>2405</w:t>
      </w:r>
    </w:p>
    <w:p>
      <w:pPr>
        <w:pStyle w:val="BodyText"/>
        <w:ind w:left="118" w:right="6469"/>
      </w:pPr>
      <w:r>
        <w:rPr/>
        <w:t>xxx xxx</w:t>
      </w:r>
    </w:p>
    <w:p>
      <w:pPr>
        <w:spacing w:after="0"/>
        <w:sectPr>
          <w:type w:val="continuous"/>
          <w:pgSz w:w="11910" w:h="16840"/>
          <w:pgMar w:top="1660" w:bottom="2280" w:left="1300" w:right="1300"/>
          <w:cols w:num="2" w:equalWidth="0">
            <w:col w:w="1872" w:space="471"/>
            <w:col w:w="6967"/>
          </w:cols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18"/>
      </w:pPr>
      <w:r>
        <w:rPr/>
        <w:t>(dále jen “PRE”)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8"/>
      </w:pPr>
      <w:r>
        <w:rPr/>
        <w:t>a</w:t>
      </w:r>
    </w:p>
    <w:p>
      <w:pPr>
        <w:pStyle w:val="BodyText"/>
        <w:spacing w:before="4"/>
      </w:pPr>
    </w:p>
    <w:p>
      <w:pPr>
        <w:pStyle w:val="Heading2"/>
        <w:tabs>
          <w:tab w:pos="1421" w:val="left" w:leader="none"/>
          <w:tab w:pos="2543" w:val="left" w:leader="none"/>
          <w:tab w:pos="2900" w:val="left" w:leader="none"/>
          <w:tab w:pos="4808" w:val="left" w:leader="none"/>
          <w:tab w:pos="5897" w:val="left" w:leader="none"/>
          <w:tab w:pos="6253" w:val="left" w:leader="none"/>
          <w:tab w:pos="7153" w:val="left" w:leader="none"/>
          <w:tab w:pos="7719" w:val="left" w:leader="none"/>
        </w:tabs>
        <w:spacing w:line="242" w:lineRule="auto"/>
        <w:ind w:right="123"/>
      </w:pPr>
      <w:r>
        <w:rPr/>
        <w:t>Centrum</w:t>
        <w:tab/>
        <w:t>sociální</w:t>
        <w:tab/>
        <w:t>a</w:t>
        <w:tab/>
        <w:t>ošetřovatelské</w:t>
        <w:tab/>
        <w:t>pomoci</w:t>
        <w:tab/>
        <w:t>v</w:t>
        <w:tab/>
        <w:t>Praze</w:t>
        <w:tab/>
        <w:t>10,</w:t>
        <w:tab/>
      </w:r>
      <w:r>
        <w:rPr>
          <w:spacing w:val="-1"/>
        </w:rPr>
        <w:t>příspěvková </w:t>
      </w:r>
      <w:r>
        <w:rPr/>
        <w:t>organizace</w:t>
      </w:r>
    </w:p>
    <w:p>
      <w:pPr>
        <w:spacing w:after="0" w:line="242" w:lineRule="auto"/>
        <w:sectPr>
          <w:type w:val="continuous"/>
          <w:pgSz w:w="11910" w:h="16840"/>
          <w:pgMar w:top="1660" w:bottom="2280" w:left="1300" w:right="1300"/>
        </w:sectPr>
      </w:pPr>
    </w:p>
    <w:p>
      <w:pPr>
        <w:pStyle w:val="BodyText"/>
        <w:ind w:left="118" w:right="767"/>
      </w:pPr>
      <w:r>
        <w:rPr/>
        <w:t>se sídlem: zástupce: IČ:</w:t>
      </w:r>
    </w:p>
    <w:p>
      <w:pPr>
        <w:pStyle w:val="BodyText"/>
        <w:ind w:left="118" w:right="893"/>
      </w:pPr>
      <w:r>
        <w:rPr/>
        <w:t>DIČ: OR:</w:t>
      </w:r>
    </w:p>
    <w:p>
      <w:pPr>
        <w:pStyle w:val="BodyText"/>
        <w:ind w:left="118" w:right="20"/>
      </w:pPr>
      <w:r>
        <w:rPr/>
        <w:t>bankovní spojení: číslo účtu:</w:t>
      </w:r>
    </w:p>
    <w:p>
      <w:pPr>
        <w:pStyle w:val="BodyText"/>
        <w:ind w:left="118" w:right="3921"/>
      </w:pPr>
      <w:r>
        <w:rPr/>
        <w:br w:type="column"/>
      </w:r>
      <w:r>
        <w:rPr/>
        <w:t>Praha 10, Sámova 7, PSČ 10100 Ing. Richard Černý, ředitel 70873241</w:t>
      </w:r>
    </w:p>
    <w:p>
      <w:pPr>
        <w:pStyle w:val="BodyText"/>
        <w:ind w:left="118"/>
      </w:pPr>
      <w:r>
        <w:rPr/>
        <w:t>CZ70873241</w:t>
      </w:r>
    </w:p>
    <w:p>
      <w:pPr>
        <w:pStyle w:val="BodyText"/>
        <w:ind w:left="118"/>
      </w:pPr>
      <w:r>
        <w:rPr/>
        <w:t>Městského soudu v Praze, oddíl Pr, vložka 159</w:t>
      </w:r>
    </w:p>
    <w:p>
      <w:pPr>
        <w:pStyle w:val="BodyText"/>
        <w:ind w:left="118" w:right="6688"/>
      </w:pPr>
      <w:r>
        <w:rPr/>
        <w:t>xxx xxx</w:t>
      </w:r>
    </w:p>
    <w:p>
      <w:pPr>
        <w:spacing w:after="0"/>
        <w:sectPr>
          <w:type w:val="continuous"/>
          <w:pgSz w:w="11910" w:h="16840"/>
          <w:pgMar w:top="1660" w:bottom="2280" w:left="1300" w:right="1300"/>
          <w:cols w:num="2" w:equalWidth="0">
            <w:col w:w="1872" w:space="252"/>
            <w:col w:w="71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90"/>
        <w:ind w:left="118"/>
      </w:pPr>
      <w:r>
        <w:rPr/>
        <w:t>(dále jen „Zákazník“)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8"/>
        <w:ind w:left="2252"/>
      </w:pPr>
      <w:r>
        <w:rPr/>
        <w:t>uzavírají níže uvedeného dne, měsíce a roku tento</w:t>
      </w:r>
    </w:p>
    <w:p>
      <w:pPr>
        <w:pStyle w:val="BodyText"/>
        <w:ind w:left="471" w:right="469" w:hanging="1"/>
        <w:jc w:val="center"/>
      </w:pPr>
      <w:r>
        <w:rPr/>
        <w:t>Dodatek č. 1 ke Smlouvě o sdružených službách dodávky elektřiny č. 3510744352, uzavřené mezi smluvními stranami dne 16.12.2015, ve znění všech pozdějších dodatků (dále jen „Smlouva“), jak následuje:</w:t>
      </w:r>
    </w:p>
    <w:p>
      <w:pPr>
        <w:pStyle w:val="BodyText"/>
      </w:pPr>
    </w:p>
    <w:p>
      <w:pPr>
        <w:pStyle w:val="BodyText"/>
        <w:ind w:left="3554" w:right="3554"/>
        <w:jc w:val="center"/>
      </w:pPr>
      <w:r>
        <w:rPr/>
        <w:t>(dále jen „Dodatek“)</w:t>
      </w:r>
    </w:p>
    <w:p>
      <w:pPr>
        <w:spacing w:after="0"/>
        <w:jc w:val="center"/>
        <w:sectPr>
          <w:type w:val="continuous"/>
          <w:pgSz w:w="11910" w:h="16840"/>
          <w:pgMar w:top="1660" w:bottom="2280" w:left="1300" w:right="1300"/>
        </w:sectPr>
      </w:pPr>
    </w:p>
    <w:p>
      <w:pPr>
        <w:pStyle w:val="BodyText"/>
        <w:spacing w:before="6"/>
        <w:rPr>
          <w:sz w:val="22"/>
        </w:rPr>
      </w:pPr>
    </w:p>
    <w:p>
      <w:pPr>
        <w:pStyle w:val="Heading3"/>
        <w:numPr>
          <w:ilvl w:val="0"/>
          <w:numId w:val="1"/>
        </w:numPr>
        <w:tabs>
          <w:tab w:pos="3949" w:val="left" w:leader="none"/>
          <w:tab w:pos="3950" w:val="left" w:leader="none"/>
        </w:tabs>
        <w:spacing w:line="240" w:lineRule="auto" w:before="90" w:after="0"/>
        <w:ind w:left="3949" w:right="0" w:hanging="722"/>
        <w:jc w:val="left"/>
      </w:pPr>
      <w:r>
        <w:rPr/>
        <w:t>PŘEDMĚT</w:t>
      </w:r>
      <w:r>
        <w:rPr>
          <w:spacing w:val="-1"/>
        </w:rPr>
        <w:t> </w:t>
      </w:r>
      <w:r>
        <w:rPr/>
        <w:t>DODATKU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6"/>
        </w:rPr>
      </w:pPr>
    </w:p>
    <w:p>
      <w:pPr>
        <w:pStyle w:val="BodyText"/>
        <w:ind w:left="118"/>
      </w:pPr>
      <w:r>
        <w:rPr/>
        <w:t>Předmětem tohoto Dodatku je úprava Smlouvy v následujícím znění:</w:t>
      </w:r>
    </w:p>
    <w:p>
      <w:pPr>
        <w:pStyle w:val="BodyText"/>
        <w:spacing w:before="10"/>
        <w:rPr>
          <w:sz w:val="34"/>
        </w:rPr>
      </w:pPr>
    </w:p>
    <w:p>
      <w:pPr>
        <w:pStyle w:val="Heading3"/>
        <w:numPr>
          <w:ilvl w:val="0"/>
          <w:numId w:val="2"/>
        </w:numPr>
        <w:tabs>
          <w:tab w:pos="431" w:val="left" w:leader="none"/>
        </w:tabs>
        <w:spacing w:line="240" w:lineRule="auto" w:before="0" w:after="0"/>
        <w:ind w:left="430" w:right="0" w:hanging="312"/>
        <w:jc w:val="left"/>
      </w:pPr>
      <w:r>
        <w:rPr/>
        <w:t>Cena silové elektřiny na rok</w:t>
      </w:r>
      <w:r>
        <w:rPr>
          <w:spacing w:val="-2"/>
        </w:rPr>
        <w:t> </w:t>
      </w:r>
      <w:r>
        <w:rPr/>
        <w:t>2017</w:t>
      </w:r>
    </w:p>
    <w:p>
      <w:pPr>
        <w:pStyle w:val="BodyText"/>
        <w:spacing w:before="115"/>
        <w:ind w:left="118" w:right="116"/>
        <w:jc w:val="both"/>
      </w:pPr>
      <w:r>
        <w:rPr/>
        <w:t>Smluvní strany se dohodly na ceně za dodávky silové elektřiny pro další období. Cena silové elektřiny dle této Smlouvy je smluvní a na období od 01.01.2017 do 31.12.2017 je stanovena ve výši </w:t>
      </w:r>
      <w:r>
        <w:rPr>
          <w:b/>
        </w:rPr>
        <w:t>1 050 Kč/MWh</w:t>
      </w:r>
      <w:r>
        <w:rPr/>
        <w:t>.</w:t>
      </w:r>
    </w:p>
    <w:p>
      <w:pPr>
        <w:pStyle w:val="BodyText"/>
        <w:spacing w:before="121"/>
        <w:ind w:left="118"/>
      </w:pPr>
      <w:r>
        <w:rPr/>
        <w:t>Uvedená cena platí 24 hodin denně celý rok.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18" w:right="0" w:firstLine="0"/>
        <w:jc w:val="left"/>
        <w:rPr>
          <w:sz w:val="24"/>
        </w:rPr>
      </w:pPr>
      <w:r>
        <w:rPr>
          <w:b/>
          <w:sz w:val="24"/>
        </w:rPr>
        <w:t>Cena neobsahuje daň z přidané hodnoty a daň z elektřiny</w:t>
      </w:r>
      <w:r>
        <w:rPr>
          <w:sz w:val="24"/>
        </w:rPr>
        <w:t>. K uvedené ceně bude připočítávána daň z přidané hodnoty a daň z elektřiny podle zvláštního právního předpisu.</w:t>
      </w:r>
    </w:p>
    <w:p>
      <w:pPr>
        <w:pStyle w:val="BodyText"/>
        <w:spacing w:before="5"/>
      </w:pPr>
    </w:p>
    <w:p>
      <w:pPr>
        <w:pStyle w:val="Heading3"/>
        <w:numPr>
          <w:ilvl w:val="0"/>
          <w:numId w:val="2"/>
        </w:numPr>
        <w:tabs>
          <w:tab w:pos="420" w:val="left" w:leader="none"/>
        </w:tabs>
        <w:spacing w:line="274" w:lineRule="exact" w:before="0" w:after="0"/>
        <w:ind w:left="419" w:right="0" w:hanging="301"/>
        <w:jc w:val="left"/>
      </w:pPr>
      <w:r>
        <w:rPr/>
        <w:t>čl. XVI. Platnost a účinnost smlouvy</w:t>
      </w:r>
    </w:p>
    <w:p>
      <w:pPr>
        <w:pStyle w:val="BodyText"/>
        <w:spacing w:line="274" w:lineRule="exact"/>
        <w:ind w:left="118"/>
      </w:pPr>
      <w:r>
        <w:rPr/>
        <w:t>Bod b) se mění tímto zněním:</w:t>
      </w:r>
    </w:p>
    <w:p>
      <w:pPr>
        <w:pStyle w:val="BodyText"/>
      </w:pPr>
    </w:p>
    <w:p>
      <w:pPr>
        <w:pStyle w:val="BodyText"/>
        <w:ind w:left="118"/>
      </w:pPr>
      <w:r>
        <w:rPr/>
        <w:t>b) Tato Smlouva se uzavírá na dobu určitou do 31.12.2017.</w:t>
      </w:r>
    </w:p>
    <w:p>
      <w:pPr>
        <w:pStyle w:val="BodyText"/>
        <w:rPr>
          <w:sz w:val="26"/>
        </w:rPr>
      </w:pPr>
    </w:p>
    <w:p>
      <w:pPr>
        <w:pStyle w:val="Heading3"/>
        <w:numPr>
          <w:ilvl w:val="0"/>
          <w:numId w:val="1"/>
        </w:numPr>
        <w:tabs>
          <w:tab w:pos="3604" w:val="left" w:leader="none"/>
          <w:tab w:pos="3605" w:val="left" w:leader="none"/>
        </w:tabs>
        <w:spacing w:line="240" w:lineRule="auto" w:before="186" w:after="0"/>
        <w:ind w:left="3604" w:right="0" w:hanging="720"/>
        <w:jc w:val="left"/>
      </w:pPr>
      <w:r>
        <w:rPr/>
        <w:t>ZÁVĚREČNÁ USTANOVENÍ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720"/>
        <w:jc w:val="left"/>
        <w:rPr>
          <w:sz w:val="24"/>
        </w:rPr>
      </w:pPr>
      <w:r>
        <w:rPr>
          <w:sz w:val="24"/>
        </w:rPr>
        <w:t>Ostatní údaje uvedené ve Smlouvě zůstávají</w:t>
      </w:r>
      <w:r>
        <w:rPr>
          <w:spacing w:val="-3"/>
          <w:sz w:val="24"/>
        </w:rPr>
        <w:t> </w:t>
      </w:r>
      <w:r>
        <w:rPr>
          <w:sz w:val="24"/>
        </w:rPr>
        <w:t>nezměněny.</w:t>
      </w:r>
    </w:p>
    <w:p>
      <w:pPr>
        <w:pStyle w:val="ListParagraph"/>
        <w:numPr>
          <w:ilvl w:val="0"/>
          <w:numId w:val="3"/>
        </w:numPr>
        <w:tabs>
          <w:tab w:pos="838" w:val="left" w:leader="none"/>
          <w:tab w:pos="839" w:val="left" w:leader="none"/>
        </w:tabs>
        <w:spacing w:line="240" w:lineRule="auto" w:before="118" w:after="0"/>
        <w:ind w:left="838" w:right="120" w:hanging="720"/>
        <w:jc w:val="left"/>
        <w:rPr>
          <w:sz w:val="24"/>
        </w:rPr>
      </w:pPr>
      <w:r>
        <w:rPr>
          <w:sz w:val="24"/>
        </w:rPr>
        <w:t>Tento Dodatek je vyhotoven ve dvou (2) stejnopisech, z nichž každý má platnost originálu. ZÁKAZNÍK obdrží jeden (1) stejnopis, PRE obdrží jeden (1)</w:t>
      </w:r>
      <w:r>
        <w:rPr>
          <w:spacing w:val="-12"/>
          <w:sz w:val="24"/>
        </w:rPr>
        <w:t> </w:t>
      </w:r>
      <w:r>
        <w:rPr>
          <w:sz w:val="24"/>
        </w:rPr>
        <w:t>stejnopis.</w:t>
      </w:r>
    </w:p>
    <w:p>
      <w:pPr>
        <w:pStyle w:val="ListParagraph"/>
        <w:numPr>
          <w:ilvl w:val="0"/>
          <w:numId w:val="3"/>
        </w:numPr>
        <w:tabs>
          <w:tab w:pos="838" w:val="left" w:leader="none"/>
          <w:tab w:pos="839" w:val="left" w:leader="none"/>
        </w:tabs>
        <w:spacing w:line="240" w:lineRule="auto" w:before="120" w:after="0"/>
        <w:ind w:left="838" w:right="112" w:hanging="720"/>
        <w:jc w:val="left"/>
        <w:rPr>
          <w:sz w:val="24"/>
        </w:rPr>
      </w:pPr>
      <w:r>
        <w:rPr>
          <w:sz w:val="24"/>
        </w:rPr>
        <w:t>Tento Dodatek nabývá platnosti a účinnosti dnem jeho podpisu oběma smluvními stranami.</w:t>
      </w:r>
    </w:p>
    <w:p>
      <w:pPr>
        <w:pStyle w:val="BodyText"/>
        <w:rPr>
          <w:sz w:val="26"/>
        </w:rPr>
      </w:pPr>
    </w:p>
    <w:p>
      <w:pPr>
        <w:tabs>
          <w:tab w:pos="4542" w:val="left" w:leader="none"/>
          <w:tab w:pos="6419" w:val="left" w:leader="none"/>
        </w:tabs>
        <w:spacing w:before="231"/>
        <w:ind w:left="826" w:right="0" w:firstLine="0"/>
        <w:jc w:val="left"/>
        <w:rPr>
          <w:sz w:val="22"/>
        </w:rPr>
      </w:pPr>
      <w:r>
        <w:rPr>
          <w:sz w:val="22"/>
        </w:rPr>
        <w:t>V Praze</w:t>
      </w:r>
      <w:r>
        <w:rPr>
          <w:spacing w:val="-1"/>
          <w:sz w:val="22"/>
        </w:rPr>
        <w:t> </w:t>
      </w:r>
      <w:r>
        <w:rPr>
          <w:sz w:val="22"/>
        </w:rPr>
        <w:t>dne 22.11.2016</w:t>
        <w:tab/>
        <w:t>V Praze</w:t>
      </w:r>
      <w:r>
        <w:rPr>
          <w:spacing w:val="-1"/>
          <w:sz w:val="22"/>
        </w:rPr>
        <w:t> </w:t>
      </w:r>
      <w:r>
        <w:rPr>
          <w:sz w:val="22"/>
        </w:rPr>
        <w:t>dne</w:t>
        <w:tab/>
        <w:t>…………………….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6"/>
        <w:gridCol w:w="4166"/>
      </w:tblGrid>
      <w:tr>
        <w:trPr>
          <w:trHeight w:val="328" w:hRule="atLeast"/>
        </w:trPr>
        <w:tc>
          <w:tcPr>
            <w:tcW w:w="41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</w:p>
        </w:tc>
        <w:tc>
          <w:tcPr>
            <w:tcW w:w="4166" w:type="dxa"/>
          </w:tcPr>
          <w:p>
            <w:pPr>
              <w:pStyle w:val="TableParagraph"/>
              <w:ind w:left="366"/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</w:p>
        </w:tc>
      </w:tr>
      <w:tr>
        <w:trPr>
          <w:trHeight w:val="604" w:hRule="atLeast"/>
        </w:trPr>
        <w:tc>
          <w:tcPr>
            <w:tcW w:w="4166" w:type="dxa"/>
          </w:tcPr>
          <w:p>
            <w:pPr>
              <w:pStyle w:val="TableParagraph"/>
              <w:spacing w:line="240" w:lineRule="auto" w:before="52"/>
              <w:ind w:left="959" w:right="1125"/>
              <w:jc w:val="center"/>
              <w:rPr>
                <w:sz w:val="24"/>
              </w:rPr>
            </w:pPr>
            <w:r>
              <w:rPr>
                <w:sz w:val="24"/>
              </w:rPr>
              <w:t>xxx</w:t>
            </w:r>
          </w:p>
          <w:p>
            <w:pPr>
              <w:pStyle w:val="TableParagraph"/>
              <w:spacing w:line="256" w:lineRule="exact"/>
              <w:ind w:left="960" w:right="1125"/>
              <w:jc w:val="center"/>
              <w:rPr>
                <w:sz w:val="24"/>
              </w:rPr>
            </w:pPr>
            <w:r>
              <w:rPr>
                <w:sz w:val="24"/>
              </w:rPr>
              <w:t>vedoucí sekce Prodej</w:t>
            </w:r>
          </w:p>
        </w:tc>
        <w:tc>
          <w:tcPr>
            <w:tcW w:w="4166" w:type="dxa"/>
          </w:tcPr>
          <w:p>
            <w:pPr>
              <w:pStyle w:val="TableParagraph"/>
              <w:spacing w:line="270" w:lineRule="atLeast" w:before="52"/>
              <w:ind w:left="1862" w:right="450" w:hanging="646"/>
              <w:rPr>
                <w:sz w:val="24"/>
              </w:rPr>
            </w:pPr>
            <w:r>
              <w:rPr>
                <w:sz w:val="24"/>
              </w:rPr>
              <w:t>Ing. Richard Černý, ředitel</w:t>
            </w:r>
          </w:p>
        </w:tc>
      </w:tr>
    </w:tbl>
    <w:sectPr>
      <w:pgSz w:w="11910" w:h="16840"/>
      <w:pgMar w:header="989" w:footer="2100" w:top="1660" w:bottom="2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75pt;margin-top:725.939697pt;width:309.95pt;height:65.6pt;mso-position-horizontal-relative:page;mso-position-vertical-relative:page;z-index:-5128" type="#_x0000_t202" filled="false" stroked="false">
          <v:textbox inset="0,0,0,0">
            <w:txbxContent>
              <w:p>
                <w:pPr>
                  <w:spacing w:line="275" w:lineRule="exact" w:before="12"/>
                  <w:ind w:left="20" w:right="0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Pražská energetika, a. s., sekce Prodej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Na Hroudě 1492/4, 100 05 Praha 10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Zapsaná v obchodním rejstříku vedeném Městským soudem v Praze, oddíl B, vložka číslo 2405 Bankovní spojení: xxx, č. účtu: xxx, IČ: 60193913, DIČ: CZ60193913</w:t>
                </w:r>
              </w:p>
              <w:p>
                <w:pPr>
                  <w:spacing w:line="180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telefon: 267 051 111, fax: 267 314 177, e-mail: </w:t>
                </w:r>
                <w:hyperlink r:id="rId1">
                  <w:r>
                    <w:rPr>
                      <w:sz w:val="16"/>
                    </w:rPr>
                    <w:t>prodej@pre.cz, </w:t>
                  </w:r>
                </w:hyperlink>
                <w:hyperlink r:id="rId2">
                  <w:r>
                    <w:rPr>
                      <w:sz w:val="16"/>
                      <w:u w:val="single"/>
                    </w:rPr>
                    <w:t>www.pre.cz</w:t>
                  </w:r>
                </w:hyperlink>
              </w:p>
              <w:p>
                <w:pPr>
                  <w:pStyle w:val="BodyText"/>
                  <w:spacing w:line="272" w:lineRule="exact"/>
                  <w:ind w:right="1484"/>
                  <w:jc w:val="righ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5176" from="69.503998pt,64.319984pt" to="525.933998pt,64.319984pt" stroked="true" strokeweight=".48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170013pt;margin-top:48.426624pt;width:214.45pt;height:15.3pt;mso-position-horizontal-relative:page;mso-position-vertical-relative:page;z-index:-515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Dodatek č. 1 ke Smlouvě PRE: 3510744352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)"/>
      <w:lvlJc w:val="left"/>
      <w:pPr>
        <w:ind w:left="838" w:hanging="720"/>
        <w:jc w:val="left"/>
      </w:pPr>
      <w:rPr>
        <w:rFonts w:hint="default" w:ascii="Times New Roman" w:hAnsi="Times New Roman" w:eastAsia="Times New Roman" w:cs="Times New Roman"/>
        <w:spacing w:val="-5"/>
        <w:w w:val="99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040" w:hanging="720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958" w:hanging="720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876" w:hanging="72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795" w:hanging="72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713" w:hanging="72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632" w:hanging="72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550" w:hanging="72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469" w:hanging="720"/>
      </w:pPr>
      <w:rPr>
        <w:rFonts w:hint="default"/>
        <w:lang w:val="cs-CZ" w:eastAsia="cs-CZ" w:bidi="cs-CZ"/>
      </w:rPr>
    </w:lvl>
  </w:abstractNum>
  <w:abstractNum w:abstractNumId="1">
    <w:multiLevelType w:val="hybridMultilevel"/>
    <w:lvl w:ilvl="0">
      <w:start w:val="1"/>
      <w:numFmt w:val="upperLetter"/>
      <w:lvlText w:val="%1)"/>
      <w:lvlJc w:val="left"/>
      <w:pPr>
        <w:ind w:left="430" w:hanging="312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326" w:hanging="31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213" w:hanging="31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099" w:hanging="31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986" w:hanging="31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873" w:hanging="31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759" w:hanging="31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646" w:hanging="31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533" w:hanging="312"/>
      </w:pPr>
      <w:rPr>
        <w:rFonts w:hint="default"/>
        <w:lang w:val="cs-CZ" w:eastAsia="cs-CZ" w:bidi="cs-CZ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49" w:hanging="723"/>
        <w:jc w:val="right"/>
      </w:pPr>
      <w:rPr>
        <w:rFonts w:hint="default" w:ascii="Times New Roman" w:hAnsi="Times New Roman" w:eastAsia="Times New Roman" w:cs="Times New Roman"/>
        <w:b/>
        <w:bCs/>
        <w:spacing w:val="-3"/>
        <w:w w:val="100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4476" w:hanging="723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5013" w:hanging="723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5549" w:hanging="723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6086" w:hanging="723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6623" w:hanging="723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7159" w:hanging="723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696" w:hanging="723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233" w:hanging="723"/>
      </w:pPr>
      <w:rPr>
        <w:rFonts w:hint="default"/>
        <w:lang w:val="cs-CZ" w:eastAsia="cs-CZ" w:bidi="cs-CZ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cs-CZ" w:eastAsia="cs-CZ" w:bidi="cs-CZ"/>
    </w:rPr>
  </w:style>
  <w:style w:styleId="Heading1" w:type="paragraph">
    <w:name w:val="Heading 1"/>
    <w:basedOn w:val="Normal"/>
    <w:uiPriority w:val="1"/>
    <w:qFormat/>
    <w:pPr>
      <w:spacing w:before="86"/>
      <w:ind w:left="382" w:right="378" w:hanging="2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cs-CZ" w:eastAsia="cs-CZ" w:bidi="cs-CZ"/>
    </w:rPr>
  </w:style>
  <w:style w:styleId="Heading2" w:type="paragraph">
    <w:name w:val="Heading 2"/>
    <w:basedOn w:val="Normal"/>
    <w:uiPriority w:val="1"/>
    <w:qFormat/>
    <w:pPr>
      <w:ind w:left="118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cs-CZ" w:eastAsia="cs-CZ" w:bidi="cs-CZ"/>
    </w:rPr>
  </w:style>
  <w:style w:styleId="Heading3" w:type="paragraph">
    <w:name w:val="Heading 3"/>
    <w:basedOn w:val="Normal"/>
    <w:uiPriority w:val="1"/>
    <w:qFormat/>
    <w:pPr>
      <w:ind w:left="20" w:hanging="722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ind w:left="838" w:hanging="720"/>
    </w:pPr>
    <w:rPr>
      <w:rFonts w:ascii="Times New Roman" w:hAnsi="Times New Roman" w:eastAsia="Times New Roman" w:cs="Times New Roman"/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spacing w:line="266" w:lineRule="exact"/>
      <w:ind w:left="200"/>
    </w:pPr>
    <w:rPr>
      <w:rFonts w:ascii="Times New Roman" w:hAnsi="Times New Roman" w:eastAsia="Times New Roman" w:cs="Times New Roman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dej@pre.cz" TargetMode="External"/><Relationship Id="rId2" Type="http://schemas.openxmlformats.org/officeDocument/2006/relationships/hyperlink" Target="http://www.pre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PRE, a.s.</dc:creator>
  <dc:title>Pražská energetika, a</dc:title>
  <dcterms:created xsi:type="dcterms:W3CDTF">2018-03-28T12:46:07Z</dcterms:created>
  <dcterms:modified xsi:type="dcterms:W3CDTF">2018-03-28T12:46:07Z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2018-03-28T00:00:00Z</vt:filetime>
  </property>
</Properties>
</file>